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0FD940">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bCs/>
          <w:color w:val="auto"/>
          <w:spacing w:val="-6"/>
          <w:sz w:val="44"/>
          <w:szCs w:val="44"/>
          <w:highlight w:val="none"/>
          <w:lang w:val="en-US" w:eastAsia="zh-CN"/>
        </w:rPr>
      </w:pPr>
      <w:r>
        <w:rPr>
          <w:rFonts w:hint="eastAsia" w:ascii="方正小标宋简体" w:hAnsi="方正小标宋简体" w:eastAsia="方正小标宋简体" w:cs="方正小标宋简体"/>
          <w:bCs/>
          <w:color w:val="auto"/>
          <w:spacing w:val="-6"/>
          <w:sz w:val="44"/>
          <w:szCs w:val="44"/>
          <w:highlight w:val="none"/>
          <w:lang w:val="en-US" w:eastAsia="zh-CN"/>
        </w:rPr>
        <w:t>关于分布式光伏可开放容量的报告</w:t>
      </w:r>
      <w:bookmarkStart w:id="0" w:name="_GoBack"/>
      <w:bookmarkEnd w:id="0"/>
    </w:p>
    <w:p w14:paraId="426BE105">
      <w:pPr>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9"/>
        <w:rPr>
          <w:rFonts w:hint="eastAsia" w:ascii="仿宋" w:hAnsi="仿宋" w:eastAsia="仿宋" w:cs="仿宋"/>
          <w:bCs/>
          <w:color w:val="auto"/>
          <w:spacing w:val="-6"/>
          <w:sz w:val="32"/>
          <w:szCs w:val="32"/>
          <w:highlight w:val="none"/>
          <w:lang w:val="en-US" w:eastAsia="zh-CN"/>
        </w:rPr>
      </w:pPr>
      <w:r>
        <w:rPr>
          <w:rFonts w:hint="eastAsia" w:ascii="仿宋" w:hAnsi="仿宋" w:eastAsia="仿宋" w:cs="仿宋"/>
          <w:bCs/>
          <w:color w:val="auto"/>
          <w:spacing w:val="-6"/>
          <w:sz w:val="32"/>
          <w:szCs w:val="32"/>
          <w:highlight w:val="none"/>
          <w:lang w:val="en-US" w:eastAsia="zh-CN"/>
        </w:rPr>
        <w:t>隆尧县发展和改革局：</w:t>
      </w:r>
    </w:p>
    <w:p w14:paraId="6DA8255D">
      <w:pPr>
        <w:keepNext w:val="0"/>
        <w:keepLines w:val="0"/>
        <w:pageBreakBefore w:val="0"/>
        <w:widowControl w:val="0"/>
        <w:kinsoku/>
        <w:wordWrap/>
        <w:overflowPunct/>
        <w:topLinePunct w:val="0"/>
        <w:autoSpaceDE/>
        <w:autoSpaceDN/>
        <w:bidi w:val="0"/>
        <w:adjustRightInd/>
        <w:snapToGrid/>
        <w:spacing w:line="600" w:lineRule="exact"/>
        <w:ind w:left="0" w:leftChars="0" w:firstLine="616" w:firstLineChars="200"/>
        <w:jc w:val="left"/>
        <w:textAlignment w:val="auto"/>
        <w:outlineLvl w:val="9"/>
        <w:rPr>
          <w:rFonts w:hint="eastAsia" w:ascii="仿宋" w:hAnsi="仿宋" w:eastAsia="仿宋" w:cs="仿宋"/>
          <w:bCs/>
          <w:color w:val="auto"/>
          <w:spacing w:val="-6"/>
          <w:sz w:val="32"/>
          <w:szCs w:val="32"/>
          <w:highlight w:val="none"/>
          <w:lang w:val="en-US" w:eastAsia="zh-CN"/>
        </w:rPr>
      </w:pPr>
      <w:r>
        <w:rPr>
          <w:rFonts w:hint="eastAsia" w:ascii="仿宋" w:hAnsi="仿宋" w:eastAsia="仿宋" w:cs="仿宋"/>
          <w:bCs/>
          <w:color w:val="auto"/>
          <w:spacing w:val="-6"/>
          <w:sz w:val="32"/>
          <w:szCs w:val="32"/>
          <w:highlight w:val="none"/>
          <w:lang w:val="en-US" w:eastAsia="zh-CN"/>
        </w:rPr>
        <w:t>为落实河北省发展和改革委员会、国家能源局华北监管局《河北省分布式光伏发电开发建设管理实施细则（试行）》（冀发改能源规〔2025〕3号）文件要求，进一步引导分布式光伏规范开发，保障电力系统安全运行和可靠供应，现将本县域内新能源已并网容量及分布式光伏可开发容量情况进行报备，为后续开发分布式光伏提供参考，具体内容如下：</w:t>
      </w:r>
    </w:p>
    <w:p w14:paraId="075496BE">
      <w:pPr>
        <w:keepNext w:val="0"/>
        <w:keepLines w:val="0"/>
        <w:pageBreakBefore w:val="0"/>
        <w:widowControl w:val="0"/>
        <w:kinsoku/>
        <w:wordWrap/>
        <w:overflowPunct/>
        <w:topLinePunct w:val="0"/>
        <w:autoSpaceDE/>
        <w:autoSpaceDN/>
        <w:bidi w:val="0"/>
        <w:adjustRightInd/>
        <w:snapToGrid/>
        <w:spacing w:line="600" w:lineRule="exact"/>
        <w:ind w:left="0" w:leftChars="0" w:firstLine="616" w:firstLineChars="200"/>
        <w:jc w:val="left"/>
        <w:textAlignment w:val="auto"/>
        <w:outlineLvl w:val="9"/>
        <w:rPr>
          <w:rFonts w:hint="eastAsia" w:ascii="仿宋" w:hAnsi="仿宋" w:eastAsia="仿宋" w:cs="仿宋"/>
          <w:bCs/>
          <w:color w:val="auto"/>
          <w:spacing w:val="-6"/>
          <w:sz w:val="32"/>
          <w:szCs w:val="32"/>
          <w:highlight w:val="none"/>
          <w:lang w:val="en-US" w:eastAsia="zh-CN"/>
        </w:rPr>
      </w:pPr>
      <w:r>
        <w:rPr>
          <w:rFonts w:hint="eastAsia" w:ascii="仿宋" w:hAnsi="仿宋" w:eastAsia="仿宋" w:cs="仿宋"/>
          <w:bCs/>
          <w:color w:val="auto"/>
          <w:spacing w:val="-6"/>
          <w:sz w:val="32"/>
          <w:szCs w:val="32"/>
          <w:highlight w:val="none"/>
          <w:lang w:val="en-US" w:eastAsia="zh-CN"/>
        </w:rPr>
        <w:t>一、已并网容量情况</w:t>
      </w:r>
    </w:p>
    <w:p w14:paraId="42BEB8A8">
      <w:pPr>
        <w:keepNext w:val="0"/>
        <w:keepLines w:val="0"/>
        <w:pageBreakBefore w:val="0"/>
        <w:widowControl w:val="0"/>
        <w:kinsoku/>
        <w:wordWrap/>
        <w:overflowPunct/>
        <w:topLinePunct w:val="0"/>
        <w:autoSpaceDE/>
        <w:autoSpaceDN/>
        <w:bidi w:val="0"/>
        <w:adjustRightInd/>
        <w:snapToGrid/>
        <w:spacing w:line="600" w:lineRule="exact"/>
        <w:ind w:left="0" w:leftChars="0" w:firstLine="616" w:firstLineChars="200"/>
        <w:jc w:val="left"/>
        <w:textAlignment w:val="auto"/>
        <w:outlineLvl w:val="9"/>
        <w:rPr>
          <w:rFonts w:hint="eastAsia" w:ascii="仿宋" w:hAnsi="仿宋" w:eastAsia="仿宋" w:cs="仿宋"/>
          <w:bCs/>
          <w:color w:val="auto"/>
          <w:spacing w:val="-6"/>
          <w:sz w:val="32"/>
          <w:szCs w:val="32"/>
          <w:highlight w:val="none"/>
          <w:lang w:val="zh-CN" w:eastAsia="zh-CN"/>
        </w:rPr>
      </w:pPr>
      <w:r>
        <w:rPr>
          <w:rFonts w:hint="eastAsia" w:ascii="仿宋" w:hAnsi="仿宋" w:eastAsia="仿宋" w:cs="仿宋"/>
          <w:bCs/>
          <w:color w:val="auto"/>
          <w:spacing w:val="-6"/>
          <w:sz w:val="32"/>
          <w:szCs w:val="32"/>
          <w:highlight w:val="none"/>
          <w:lang w:val="zh-CN" w:eastAsia="zh-CN"/>
        </w:rPr>
        <w:t>截至202</w:t>
      </w:r>
      <w:r>
        <w:rPr>
          <w:rFonts w:hint="eastAsia" w:ascii="仿宋" w:hAnsi="仿宋" w:eastAsia="仿宋" w:cs="仿宋"/>
          <w:bCs/>
          <w:color w:val="auto"/>
          <w:spacing w:val="-6"/>
          <w:sz w:val="32"/>
          <w:szCs w:val="32"/>
          <w:highlight w:val="none"/>
          <w:lang w:val="en-US" w:eastAsia="zh-CN"/>
        </w:rPr>
        <w:t>6</w:t>
      </w:r>
      <w:r>
        <w:rPr>
          <w:rFonts w:hint="eastAsia" w:ascii="仿宋" w:hAnsi="仿宋" w:eastAsia="仿宋" w:cs="仿宋"/>
          <w:bCs/>
          <w:color w:val="auto"/>
          <w:spacing w:val="-6"/>
          <w:sz w:val="32"/>
          <w:szCs w:val="32"/>
          <w:highlight w:val="none"/>
          <w:lang w:val="zh-CN" w:eastAsia="zh-CN"/>
        </w:rPr>
        <w:t>年</w:t>
      </w:r>
      <w:r>
        <w:rPr>
          <w:rFonts w:hint="eastAsia" w:ascii="仿宋" w:hAnsi="仿宋" w:eastAsia="仿宋" w:cs="仿宋"/>
          <w:bCs/>
          <w:color w:val="auto"/>
          <w:spacing w:val="-6"/>
          <w:sz w:val="32"/>
          <w:szCs w:val="32"/>
          <w:highlight w:val="none"/>
          <w:lang w:val="en-US" w:eastAsia="zh-CN"/>
        </w:rPr>
        <w:t>10</w:t>
      </w:r>
      <w:r>
        <w:rPr>
          <w:rFonts w:hint="eastAsia" w:ascii="仿宋" w:hAnsi="仿宋" w:eastAsia="仿宋" w:cs="仿宋"/>
          <w:bCs/>
          <w:color w:val="auto"/>
          <w:spacing w:val="-6"/>
          <w:sz w:val="32"/>
          <w:szCs w:val="32"/>
          <w:highlight w:val="none"/>
          <w:lang w:val="zh-CN" w:eastAsia="zh-CN"/>
        </w:rPr>
        <w:t>月</w:t>
      </w:r>
      <w:r>
        <w:rPr>
          <w:rFonts w:hint="eastAsia" w:ascii="仿宋" w:hAnsi="仿宋" w:eastAsia="仿宋" w:cs="仿宋"/>
          <w:bCs/>
          <w:color w:val="auto"/>
          <w:spacing w:val="-6"/>
          <w:sz w:val="32"/>
          <w:szCs w:val="32"/>
          <w:highlight w:val="none"/>
          <w:lang w:val="en-US" w:eastAsia="zh-CN"/>
        </w:rPr>
        <w:t>1日</w:t>
      </w:r>
      <w:r>
        <w:rPr>
          <w:rFonts w:hint="eastAsia" w:ascii="仿宋" w:hAnsi="仿宋" w:eastAsia="仿宋" w:cs="仿宋"/>
          <w:bCs/>
          <w:color w:val="auto"/>
          <w:spacing w:val="-6"/>
          <w:sz w:val="32"/>
          <w:szCs w:val="32"/>
          <w:highlight w:val="none"/>
          <w:lang w:val="zh-CN" w:eastAsia="zh-CN"/>
        </w:rPr>
        <w:t>，本县域内已并网分布式光伏9</w:t>
      </w:r>
      <w:r>
        <w:rPr>
          <w:rFonts w:hint="eastAsia" w:ascii="仿宋" w:hAnsi="仿宋" w:eastAsia="仿宋" w:cs="仿宋"/>
          <w:bCs/>
          <w:color w:val="auto"/>
          <w:spacing w:val="-6"/>
          <w:sz w:val="32"/>
          <w:szCs w:val="32"/>
          <w:highlight w:val="none"/>
          <w:lang w:val="en-US" w:eastAsia="zh-CN"/>
        </w:rPr>
        <w:t>845</w:t>
      </w:r>
      <w:r>
        <w:rPr>
          <w:rFonts w:hint="eastAsia" w:ascii="仿宋" w:hAnsi="仿宋" w:eastAsia="仿宋" w:cs="仿宋"/>
          <w:bCs/>
          <w:color w:val="auto"/>
          <w:spacing w:val="-6"/>
          <w:sz w:val="32"/>
          <w:szCs w:val="32"/>
          <w:highlight w:val="none"/>
          <w:lang w:val="zh-CN" w:eastAsia="zh-CN"/>
        </w:rPr>
        <w:t>户、装机容量总计</w:t>
      </w:r>
      <w:r>
        <w:rPr>
          <w:rFonts w:hint="eastAsia" w:ascii="仿宋" w:hAnsi="仿宋" w:eastAsia="仿宋" w:cs="仿宋"/>
          <w:bCs/>
          <w:color w:val="auto"/>
          <w:spacing w:val="-6"/>
          <w:sz w:val="32"/>
          <w:szCs w:val="32"/>
          <w:highlight w:val="none"/>
          <w:lang w:val="en-US" w:eastAsia="zh-CN"/>
        </w:rPr>
        <w:t>296.79兆瓦</w:t>
      </w:r>
      <w:r>
        <w:rPr>
          <w:rFonts w:hint="eastAsia" w:ascii="仿宋" w:hAnsi="仿宋" w:eastAsia="仿宋" w:cs="仿宋"/>
          <w:bCs/>
          <w:color w:val="auto"/>
          <w:spacing w:val="-6"/>
          <w:sz w:val="32"/>
          <w:szCs w:val="32"/>
          <w:highlight w:val="none"/>
          <w:lang w:val="zh-CN" w:eastAsia="zh-CN"/>
        </w:rPr>
        <w:t>，在途分布式光伏</w:t>
      </w:r>
      <w:r>
        <w:rPr>
          <w:rFonts w:hint="eastAsia" w:ascii="仿宋" w:hAnsi="仿宋" w:eastAsia="仿宋" w:cs="仿宋"/>
          <w:bCs/>
          <w:color w:val="auto"/>
          <w:spacing w:val="-6"/>
          <w:sz w:val="32"/>
          <w:szCs w:val="32"/>
          <w:highlight w:val="none"/>
          <w:lang w:val="en-US" w:eastAsia="zh-CN"/>
        </w:rPr>
        <w:t>616</w:t>
      </w:r>
      <w:r>
        <w:rPr>
          <w:rFonts w:hint="eastAsia" w:ascii="仿宋" w:hAnsi="仿宋" w:eastAsia="仿宋" w:cs="仿宋"/>
          <w:bCs/>
          <w:color w:val="auto"/>
          <w:spacing w:val="-6"/>
          <w:sz w:val="32"/>
          <w:szCs w:val="32"/>
          <w:highlight w:val="none"/>
          <w:lang w:val="zh-CN" w:eastAsia="zh-CN"/>
        </w:rPr>
        <w:t>户、容量</w:t>
      </w:r>
      <w:r>
        <w:rPr>
          <w:rFonts w:hint="eastAsia" w:ascii="仿宋" w:hAnsi="仿宋" w:eastAsia="仿宋" w:cs="仿宋"/>
          <w:bCs/>
          <w:color w:val="auto"/>
          <w:spacing w:val="-6"/>
          <w:sz w:val="32"/>
          <w:szCs w:val="32"/>
          <w:highlight w:val="none"/>
          <w:lang w:val="en-US" w:eastAsia="zh-CN"/>
        </w:rPr>
        <w:t>70.29兆瓦</w:t>
      </w:r>
      <w:r>
        <w:rPr>
          <w:rFonts w:hint="eastAsia" w:ascii="仿宋" w:hAnsi="仿宋" w:eastAsia="仿宋" w:cs="仿宋"/>
          <w:bCs/>
          <w:color w:val="auto"/>
          <w:spacing w:val="-6"/>
          <w:sz w:val="32"/>
          <w:szCs w:val="32"/>
          <w:highlight w:val="none"/>
          <w:lang w:val="zh-CN" w:eastAsia="zh-CN"/>
        </w:rPr>
        <w:t>。</w:t>
      </w:r>
    </w:p>
    <w:p w14:paraId="081F7263">
      <w:pPr>
        <w:keepNext w:val="0"/>
        <w:keepLines w:val="0"/>
        <w:pageBreakBefore w:val="0"/>
        <w:widowControl w:val="0"/>
        <w:kinsoku/>
        <w:wordWrap/>
        <w:overflowPunct/>
        <w:topLinePunct w:val="0"/>
        <w:autoSpaceDE/>
        <w:autoSpaceDN/>
        <w:bidi w:val="0"/>
        <w:adjustRightInd/>
        <w:snapToGrid/>
        <w:spacing w:line="600" w:lineRule="exact"/>
        <w:ind w:left="0" w:leftChars="0" w:firstLine="616" w:firstLineChars="200"/>
        <w:jc w:val="left"/>
        <w:textAlignment w:val="auto"/>
        <w:outlineLvl w:val="9"/>
        <w:rPr>
          <w:rFonts w:hint="eastAsia" w:ascii="仿宋" w:hAnsi="仿宋" w:eastAsia="仿宋" w:cs="仿宋"/>
          <w:bCs/>
          <w:color w:val="auto"/>
          <w:spacing w:val="-6"/>
          <w:sz w:val="32"/>
          <w:szCs w:val="32"/>
          <w:highlight w:val="none"/>
          <w:lang w:val="en-US" w:eastAsia="zh-CN"/>
        </w:rPr>
      </w:pPr>
      <w:r>
        <w:rPr>
          <w:rFonts w:hint="eastAsia" w:ascii="仿宋" w:hAnsi="仿宋" w:eastAsia="仿宋" w:cs="仿宋"/>
          <w:bCs/>
          <w:color w:val="auto"/>
          <w:spacing w:val="-6"/>
          <w:sz w:val="32"/>
          <w:szCs w:val="32"/>
          <w:highlight w:val="none"/>
          <w:lang w:val="en-US" w:eastAsia="zh-CN"/>
        </w:rPr>
        <w:t>二、可开发容量情况</w:t>
      </w:r>
    </w:p>
    <w:p w14:paraId="07D6672D">
      <w:pPr>
        <w:keepNext w:val="0"/>
        <w:keepLines w:val="0"/>
        <w:pageBreakBefore w:val="0"/>
        <w:widowControl w:val="0"/>
        <w:kinsoku/>
        <w:wordWrap w:val="0"/>
        <w:overflowPunct/>
        <w:topLinePunct w:val="0"/>
        <w:autoSpaceDE/>
        <w:autoSpaceDN/>
        <w:bidi w:val="0"/>
        <w:adjustRightInd/>
        <w:snapToGrid/>
        <w:spacing w:line="600" w:lineRule="exact"/>
        <w:ind w:left="0" w:leftChars="0" w:firstLine="616" w:firstLineChars="200"/>
        <w:jc w:val="left"/>
        <w:textAlignment w:val="auto"/>
        <w:outlineLvl w:val="9"/>
        <w:rPr>
          <w:rFonts w:hint="eastAsia" w:ascii="仿宋" w:hAnsi="仿宋" w:eastAsia="仿宋" w:cs="仿宋"/>
          <w:bCs/>
          <w:color w:val="auto"/>
          <w:spacing w:val="-6"/>
          <w:sz w:val="32"/>
          <w:szCs w:val="32"/>
          <w:highlight w:val="none"/>
          <w:lang w:val="en-US" w:eastAsia="zh-CN"/>
        </w:rPr>
      </w:pPr>
      <w:r>
        <w:rPr>
          <w:rFonts w:hint="eastAsia" w:ascii="仿宋" w:hAnsi="仿宋" w:eastAsia="仿宋" w:cs="仿宋"/>
          <w:bCs/>
          <w:color w:val="auto"/>
          <w:spacing w:val="-6"/>
          <w:sz w:val="32"/>
          <w:szCs w:val="32"/>
          <w:highlight w:val="none"/>
          <w:lang w:val="en-US" w:eastAsia="zh-CN"/>
        </w:rPr>
        <w:t>为统筹推动分布式光伏发电项目持续健康有序发展，隆尧县供电公司按照冀发改能源规〔2025〕3号文件的通知要求，按照</w:t>
      </w:r>
      <w:r>
        <w:rPr>
          <w:rFonts w:hint="eastAsia" w:ascii="仿宋" w:hAnsi="仿宋" w:eastAsia="仿宋" w:cs="仿宋"/>
          <w:bCs/>
          <w:color w:val="auto"/>
          <w:spacing w:val="-6"/>
          <w:w w:val="99"/>
          <w:sz w:val="32"/>
          <w:szCs w:val="32"/>
          <w:highlight w:val="none"/>
          <w:lang w:val="en-US" w:eastAsia="zh-CN"/>
        </w:rPr>
        <w:t>《分布式电源接入电力系统承载力评估导则（DL/T2041-2025）》</w:t>
      </w:r>
      <w:r>
        <w:rPr>
          <w:rFonts w:hint="eastAsia" w:ascii="仿宋" w:hAnsi="仿宋" w:eastAsia="仿宋" w:cs="仿宋"/>
          <w:bCs/>
          <w:color w:val="auto"/>
          <w:spacing w:val="-6"/>
          <w:sz w:val="32"/>
          <w:szCs w:val="32"/>
          <w:highlight w:val="none"/>
          <w:lang w:val="en-US" w:eastAsia="zh-CN"/>
        </w:rPr>
        <w:t>的算法细则，并经计算：隆尧县县域四季度分布式光伏可开放容量为19.84 兆瓦。具体可开放容量详见附表。</w:t>
      </w:r>
    </w:p>
    <w:p w14:paraId="0D10A040">
      <w:pPr>
        <w:keepNext w:val="0"/>
        <w:keepLines w:val="0"/>
        <w:pageBreakBefore w:val="0"/>
        <w:widowControl w:val="0"/>
        <w:kinsoku/>
        <w:wordWrap/>
        <w:overflowPunct/>
        <w:topLinePunct w:val="0"/>
        <w:autoSpaceDE/>
        <w:autoSpaceDN/>
        <w:bidi w:val="0"/>
        <w:adjustRightInd/>
        <w:snapToGrid/>
        <w:spacing w:line="600" w:lineRule="exact"/>
        <w:ind w:left="1870" w:leftChars="304" w:hanging="1232" w:hangingChars="400"/>
        <w:jc w:val="left"/>
        <w:textAlignment w:val="auto"/>
        <w:outlineLvl w:val="9"/>
        <w:rPr>
          <w:rFonts w:hint="eastAsia" w:ascii="仿宋" w:hAnsi="仿宋" w:eastAsia="仿宋" w:cs="仿宋"/>
          <w:bCs/>
          <w:color w:val="auto"/>
          <w:spacing w:val="-6"/>
          <w:sz w:val="32"/>
          <w:szCs w:val="32"/>
          <w:highlight w:val="none"/>
          <w:lang w:val="en-US" w:eastAsia="zh-CN"/>
        </w:rPr>
      </w:pPr>
      <w:r>
        <w:rPr>
          <w:rFonts w:hint="eastAsia" w:ascii="仿宋" w:hAnsi="仿宋" w:eastAsia="仿宋" w:cs="仿宋"/>
          <w:bCs/>
          <w:color w:val="auto"/>
          <w:spacing w:val="-6"/>
          <w:sz w:val="32"/>
          <w:szCs w:val="32"/>
          <w:highlight w:val="none"/>
          <w:lang w:val="en-US" w:eastAsia="zh-CN"/>
        </w:rPr>
        <w:t>附件：1.邢台市隆尧县2026年四季度县域分布式光伏可开放容量公示表</w:t>
      </w:r>
    </w:p>
    <w:p w14:paraId="4DCA4F6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540" w:firstLineChars="500"/>
        <w:jc w:val="left"/>
        <w:textAlignment w:val="auto"/>
        <w:outlineLvl w:val="9"/>
        <w:rPr>
          <w:rFonts w:hint="eastAsia" w:ascii="仿宋" w:hAnsi="仿宋" w:eastAsia="仿宋" w:cs="仿宋"/>
          <w:bCs/>
          <w:color w:val="auto"/>
          <w:spacing w:val="-6"/>
          <w:sz w:val="32"/>
          <w:szCs w:val="32"/>
          <w:highlight w:val="none"/>
          <w:lang w:val="en-US" w:eastAsia="zh-CN"/>
        </w:rPr>
      </w:pPr>
      <w:r>
        <w:rPr>
          <w:rFonts w:hint="eastAsia" w:ascii="仿宋" w:hAnsi="仿宋" w:eastAsia="仿宋" w:cs="仿宋"/>
          <w:bCs/>
          <w:color w:val="auto"/>
          <w:spacing w:val="-6"/>
          <w:sz w:val="32"/>
          <w:szCs w:val="32"/>
          <w:highlight w:val="none"/>
          <w:lang w:val="en-US" w:eastAsia="zh-CN"/>
        </w:rPr>
        <w:t>2.邢台市隆尧县2026年四季度220千伏主变分布式</w:t>
      </w:r>
    </w:p>
    <w:p w14:paraId="591E873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848" w:firstLineChars="600"/>
        <w:jc w:val="left"/>
        <w:textAlignment w:val="auto"/>
        <w:outlineLvl w:val="9"/>
        <w:rPr>
          <w:rFonts w:hint="eastAsia" w:ascii="仿宋" w:hAnsi="仿宋" w:eastAsia="仿宋" w:cs="仿宋"/>
          <w:bCs/>
          <w:color w:val="auto"/>
          <w:spacing w:val="-6"/>
          <w:sz w:val="32"/>
          <w:szCs w:val="32"/>
          <w:highlight w:val="none"/>
          <w:lang w:val="en-US" w:eastAsia="zh-CN"/>
        </w:rPr>
      </w:pPr>
      <w:r>
        <w:rPr>
          <w:rFonts w:hint="eastAsia" w:ascii="仿宋" w:hAnsi="仿宋" w:eastAsia="仿宋" w:cs="仿宋"/>
          <w:bCs/>
          <w:color w:val="auto"/>
          <w:spacing w:val="-6"/>
          <w:sz w:val="32"/>
          <w:szCs w:val="32"/>
          <w:highlight w:val="none"/>
          <w:lang w:val="en-US" w:eastAsia="zh-CN"/>
        </w:rPr>
        <w:t>光伏可开放容量公示表</w:t>
      </w:r>
    </w:p>
    <w:p w14:paraId="684BFF1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848" w:firstLineChars="600"/>
        <w:jc w:val="left"/>
        <w:textAlignment w:val="auto"/>
        <w:outlineLvl w:val="9"/>
        <w:rPr>
          <w:rFonts w:hint="eastAsia" w:ascii="仿宋" w:hAnsi="仿宋" w:eastAsia="仿宋" w:cs="仿宋"/>
          <w:bCs/>
          <w:color w:val="auto"/>
          <w:spacing w:val="-6"/>
          <w:sz w:val="32"/>
          <w:szCs w:val="32"/>
          <w:highlight w:val="none"/>
          <w:lang w:val="en-US" w:eastAsia="zh-CN"/>
        </w:rPr>
      </w:pPr>
    </w:p>
    <w:p w14:paraId="5D3932E2">
      <w:pPr>
        <w:keepNext w:val="0"/>
        <w:keepLines w:val="0"/>
        <w:pageBreakBefore w:val="0"/>
        <w:widowControl w:val="0"/>
        <w:kinsoku/>
        <w:wordWrap/>
        <w:overflowPunct/>
        <w:topLinePunct w:val="0"/>
        <w:autoSpaceDE/>
        <w:autoSpaceDN/>
        <w:bidi w:val="0"/>
        <w:adjustRightInd/>
        <w:snapToGrid/>
        <w:spacing w:line="600" w:lineRule="exact"/>
        <w:ind w:firstLine="616" w:firstLineChars="200"/>
        <w:jc w:val="center"/>
        <w:textAlignment w:val="auto"/>
        <w:rPr>
          <w:rFonts w:hint="eastAsia" w:ascii="仿宋" w:hAnsi="仿宋" w:eastAsia="仿宋" w:cs="仿宋"/>
          <w:bCs/>
          <w:color w:val="auto"/>
          <w:spacing w:val="-6"/>
          <w:sz w:val="32"/>
          <w:szCs w:val="32"/>
          <w:highlight w:val="none"/>
          <w:lang w:val="en-US" w:eastAsia="zh-CN"/>
        </w:rPr>
      </w:pPr>
      <w:r>
        <w:rPr>
          <w:rFonts w:hint="eastAsia" w:ascii="仿宋" w:hAnsi="仿宋" w:eastAsia="仿宋" w:cs="仿宋"/>
          <w:bCs/>
          <w:color w:val="auto"/>
          <w:spacing w:val="-6"/>
          <w:sz w:val="32"/>
          <w:szCs w:val="32"/>
          <w:highlight w:val="none"/>
          <w:lang w:val="en-US" w:eastAsia="zh-CN"/>
        </w:rPr>
        <w:t xml:space="preserve">              国网隆尧县供电公司</w:t>
      </w:r>
    </w:p>
    <w:p w14:paraId="25F5C3A2">
      <w:pPr>
        <w:keepNext w:val="0"/>
        <w:keepLines w:val="0"/>
        <w:pageBreakBefore w:val="0"/>
        <w:widowControl w:val="0"/>
        <w:kinsoku/>
        <w:wordWrap/>
        <w:overflowPunct/>
        <w:topLinePunct w:val="0"/>
        <w:autoSpaceDE/>
        <w:autoSpaceDN/>
        <w:bidi w:val="0"/>
        <w:adjustRightInd/>
        <w:snapToGrid/>
        <w:spacing w:line="600" w:lineRule="exact"/>
        <w:ind w:firstLine="616" w:firstLineChars="200"/>
        <w:jc w:val="center"/>
        <w:textAlignment w:val="auto"/>
        <w:rPr>
          <w:rFonts w:hint="eastAsia" w:ascii="仿宋" w:hAnsi="仿宋" w:eastAsia="仿宋" w:cs="仿宋"/>
          <w:color w:val="auto"/>
          <w:sz w:val="32"/>
          <w:szCs w:val="32"/>
          <w:highlight w:val="none"/>
        </w:rPr>
      </w:pPr>
      <w:r>
        <w:rPr>
          <w:rFonts w:hint="eastAsia" w:ascii="仿宋" w:hAnsi="仿宋" w:eastAsia="仿宋" w:cs="仿宋"/>
          <w:bCs/>
          <w:color w:val="auto"/>
          <w:spacing w:val="-6"/>
          <w:sz w:val="32"/>
          <w:szCs w:val="32"/>
          <w:highlight w:val="none"/>
          <w:lang w:val="en-US" w:eastAsia="zh-CN"/>
        </w:rPr>
        <w:t xml:space="preserve">              二〇二六年十月二十日</w:t>
      </w:r>
    </w:p>
    <w:p w14:paraId="05FF3FF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16" w:firstLineChars="200"/>
        <w:jc w:val="left"/>
        <w:textAlignment w:val="auto"/>
        <w:outlineLvl w:val="9"/>
        <w:rPr>
          <w:rFonts w:hint="eastAsia" w:ascii="仿宋" w:hAnsi="仿宋" w:eastAsia="仿宋" w:cs="仿宋"/>
          <w:bCs/>
          <w:color w:val="auto"/>
          <w:spacing w:val="-6"/>
          <w:sz w:val="32"/>
          <w:szCs w:val="32"/>
          <w:highlight w:val="none"/>
          <w:lang w:val="en-US" w:eastAsia="zh-CN"/>
        </w:rPr>
        <w:sectPr>
          <w:pgSz w:w="11906" w:h="16838"/>
          <w:pgMar w:top="1984" w:right="1417" w:bottom="1417" w:left="1417" w:header="851" w:footer="992" w:gutter="0"/>
          <w:cols w:space="720" w:num="1"/>
          <w:docGrid w:type="lines" w:linePitch="312" w:charSpace="0"/>
        </w:sectPr>
      </w:pPr>
    </w:p>
    <w:p w14:paraId="3A36674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方正仿宋_GBK" w:hAnsi="方正仿宋_GBK" w:eastAsia="方正仿宋_GBK" w:cs="方正仿宋_GBK"/>
          <w:bCs/>
          <w:color w:val="auto"/>
          <w:spacing w:val="-6"/>
          <w:sz w:val="32"/>
          <w:szCs w:val="32"/>
          <w:highlight w:val="none"/>
          <w:lang w:val="en-US" w:eastAsia="zh-CN"/>
        </w:rPr>
      </w:pPr>
      <w:r>
        <w:rPr>
          <w:rFonts w:hint="eastAsia" w:ascii="方正仿宋_GBK" w:hAnsi="方正仿宋_GBK" w:eastAsia="方正仿宋_GBK" w:cs="方正仿宋_GBK"/>
          <w:bCs/>
          <w:color w:val="auto"/>
          <w:spacing w:val="-6"/>
          <w:sz w:val="32"/>
          <w:szCs w:val="32"/>
          <w:highlight w:val="none"/>
          <w:lang w:val="zh-CN" w:eastAsia="zh-CN"/>
        </w:rPr>
        <w:t>附件</w:t>
      </w:r>
      <w:r>
        <w:rPr>
          <w:rFonts w:hint="eastAsia" w:ascii="方正仿宋_GBK" w:hAnsi="方正仿宋_GBK" w:eastAsia="方正仿宋_GBK" w:cs="方正仿宋_GBK"/>
          <w:bCs/>
          <w:color w:val="auto"/>
          <w:spacing w:val="-6"/>
          <w:sz w:val="32"/>
          <w:szCs w:val="32"/>
          <w:highlight w:val="none"/>
          <w:lang w:val="en-US" w:eastAsia="zh-CN"/>
        </w:rPr>
        <w:t>1</w:t>
      </w:r>
    </w:p>
    <w:tbl>
      <w:tblPr>
        <w:tblStyle w:val="2"/>
        <w:tblW w:w="1363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340"/>
        <w:gridCol w:w="1648"/>
        <w:gridCol w:w="3639"/>
        <w:gridCol w:w="3921"/>
        <w:gridCol w:w="1619"/>
        <w:gridCol w:w="1466"/>
      </w:tblGrid>
      <w:tr w14:paraId="2F34D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5" w:hRule="atLeast"/>
        </w:trPr>
        <w:tc>
          <w:tcPr>
            <w:tcW w:w="13633" w:type="dxa"/>
            <w:gridSpan w:val="6"/>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712331F">
            <w:pPr>
              <w:keepNext w:val="0"/>
              <w:keepLines w:val="0"/>
              <w:widowControl/>
              <w:suppressLineNumbers w:val="0"/>
              <w:jc w:val="center"/>
              <w:textAlignment w:val="center"/>
              <w:rPr>
                <w:rFonts w:hint="eastAsia" w:ascii="宋体" w:hAnsi="宋体" w:eastAsia="宋体" w:cs="宋体"/>
                <w:b/>
                <w:i w:val="0"/>
                <w:color w:val="000000"/>
                <w:sz w:val="24"/>
                <w:szCs w:val="24"/>
                <w:highlight w:val="none"/>
                <w:u w:val="none"/>
              </w:rPr>
            </w:pPr>
            <w:r>
              <w:rPr>
                <w:rFonts w:hint="eastAsia" w:ascii="宋体" w:hAnsi="宋体" w:eastAsia="宋体" w:cs="宋体"/>
                <w:b/>
                <w:i w:val="0"/>
                <w:color w:val="000000"/>
                <w:kern w:val="0"/>
                <w:sz w:val="24"/>
                <w:szCs w:val="24"/>
                <w:highlight w:val="none"/>
                <w:u w:val="none"/>
                <w:lang w:val="en-US" w:eastAsia="zh-CN" w:bidi="ar"/>
              </w:rPr>
              <w:t>邢台市隆尧县2026年</w:t>
            </w:r>
            <w:r>
              <w:rPr>
                <w:rFonts w:hint="eastAsia" w:ascii="宋体" w:hAnsi="宋体" w:cs="宋体"/>
                <w:b/>
                <w:i w:val="0"/>
                <w:color w:val="000000"/>
                <w:kern w:val="0"/>
                <w:sz w:val="24"/>
                <w:szCs w:val="24"/>
                <w:highlight w:val="none"/>
                <w:u w:val="none"/>
                <w:lang w:val="en-US" w:eastAsia="zh-CN" w:bidi="ar"/>
              </w:rPr>
              <w:t>四季度</w:t>
            </w:r>
            <w:r>
              <w:rPr>
                <w:rFonts w:hint="eastAsia" w:ascii="宋体" w:hAnsi="宋体" w:eastAsia="宋体" w:cs="宋体"/>
                <w:b/>
                <w:i w:val="0"/>
                <w:color w:val="000000"/>
                <w:kern w:val="0"/>
                <w:sz w:val="24"/>
                <w:szCs w:val="24"/>
                <w:highlight w:val="none"/>
                <w:u w:val="none"/>
                <w:lang w:val="en-US" w:eastAsia="zh-CN" w:bidi="ar"/>
              </w:rPr>
              <w:t>县域分布式光伏可开放容量公示表</w:t>
            </w:r>
          </w:p>
        </w:tc>
      </w:tr>
      <w:tr w14:paraId="02B02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64" w:hRule="atLeast"/>
        </w:trPr>
        <w:tc>
          <w:tcPr>
            <w:tcW w:w="13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B13998">
            <w:pPr>
              <w:keepNext w:val="0"/>
              <w:keepLines w:val="0"/>
              <w:widowControl/>
              <w:suppressLineNumbers w:val="0"/>
              <w:jc w:val="center"/>
              <w:textAlignment w:val="center"/>
              <w:rPr>
                <w:rFonts w:hint="eastAsia" w:ascii="宋体" w:hAnsi="宋体" w:eastAsia="宋体" w:cs="宋体"/>
                <w:b/>
                <w:i w:val="0"/>
                <w:color w:val="000000"/>
                <w:sz w:val="22"/>
                <w:szCs w:val="22"/>
                <w:highlight w:val="none"/>
                <w:u w:val="none"/>
              </w:rPr>
            </w:pPr>
            <w:r>
              <w:rPr>
                <w:rFonts w:hint="eastAsia" w:ascii="宋体" w:hAnsi="宋体" w:eastAsia="宋体" w:cs="宋体"/>
                <w:b/>
                <w:i w:val="0"/>
                <w:color w:val="000000"/>
                <w:kern w:val="0"/>
                <w:sz w:val="22"/>
                <w:szCs w:val="22"/>
                <w:highlight w:val="none"/>
                <w:u w:val="none"/>
                <w:lang w:val="en-US" w:eastAsia="zh-CN" w:bidi="ar"/>
              </w:rPr>
              <w:t>序号</w:t>
            </w:r>
          </w:p>
        </w:tc>
        <w:tc>
          <w:tcPr>
            <w:tcW w:w="164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1C4EBD9">
            <w:pPr>
              <w:keepNext w:val="0"/>
              <w:keepLines w:val="0"/>
              <w:widowControl/>
              <w:suppressLineNumbers w:val="0"/>
              <w:jc w:val="center"/>
              <w:textAlignment w:val="center"/>
              <w:rPr>
                <w:rFonts w:hint="eastAsia" w:ascii="宋体" w:hAnsi="宋体" w:eastAsia="宋体" w:cs="宋体"/>
                <w:b/>
                <w:i w:val="0"/>
                <w:color w:val="000000"/>
                <w:sz w:val="22"/>
                <w:szCs w:val="22"/>
                <w:highlight w:val="none"/>
                <w:u w:val="none"/>
              </w:rPr>
            </w:pPr>
            <w:r>
              <w:rPr>
                <w:rFonts w:hint="eastAsia" w:ascii="宋体" w:hAnsi="宋体" w:eastAsia="宋体" w:cs="宋体"/>
                <w:b/>
                <w:i w:val="0"/>
                <w:color w:val="000000"/>
                <w:kern w:val="0"/>
                <w:sz w:val="22"/>
                <w:szCs w:val="22"/>
                <w:highlight w:val="none"/>
                <w:u w:val="none"/>
                <w:lang w:val="en-US" w:eastAsia="zh-CN" w:bidi="ar"/>
              </w:rPr>
              <w:t>县域</w:t>
            </w:r>
          </w:p>
        </w:tc>
        <w:tc>
          <w:tcPr>
            <w:tcW w:w="363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48B9EE">
            <w:pPr>
              <w:keepNext w:val="0"/>
              <w:keepLines w:val="0"/>
              <w:widowControl/>
              <w:suppressLineNumbers w:val="0"/>
              <w:jc w:val="center"/>
              <w:textAlignment w:val="center"/>
              <w:rPr>
                <w:rFonts w:hint="eastAsia" w:ascii="宋体" w:hAnsi="宋体" w:eastAsia="宋体" w:cs="宋体"/>
                <w:b/>
                <w:i w:val="0"/>
                <w:color w:val="000000"/>
                <w:sz w:val="22"/>
                <w:szCs w:val="22"/>
                <w:highlight w:val="none"/>
                <w:u w:val="none"/>
              </w:rPr>
            </w:pPr>
            <w:r>
              <w:rPr>
                <w:rFonts w:hint="eastAsia" w:ascii="宋体" w:hAnsi="宋体" w:eastAsia="宋体" w:cs="宋体"/>
                <w:b/>
                <w:i w:val="0"/>
                <w:color w:val="000000"/>
                <w:kern w:val="0"/>
                <w:sz w:val="22"/>
                <w:szCs w:val="22"/>
                <w:highlight w:val="none"/>
                <w:u w:val="none"/>
                <w:lang w:val="en-US" w:eastAsia="zh-CN" w:bidi="ar"/>
              </w:rPr>
              <w:t>已接入分布式光伏项目容量（MW）</w:t>
            </w:r>
          </w:p>
        </w:tc>
        <w:tc>
          <w:tcPr>
            <w:tcW w:w="392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C41186">
            <w:pPr>
              <w:keepNext w:val="0"/>
              <w:keepLines w:val="0"/>
              <w:widowControl/>
              <w:suppressLineNumbers w:val="0"/>
              <w:jc w:val="center"/>
              <w:textAlignment w:val="center"/>
              <w:rPr>
                <w:rFonts w:hint="eastAsia" w:ascii="宋体" w:hAnsi="宋体" w:eastAsia="宋体" w:cs="宋体"/>
                <w:b/>
                <w:i w:val="0"/>
                <w:color w:val="000000"/>
                <w:sz w:val="22"/>
                <w:szCs w:val="22"/>
                <w:highlight w:val="none"/>
                <w:u w:val="none"/>
              </w:rPr>
            </w:pPr>
            <w:r>
              <w:rPr>
                <w:rFonts w:hint="eastAsia" w:ascii="宋体" w:hAnsi="宋体" w:eastAsia="宋体" w:cs="宋体"/>
                <w:b/>
                <w:i w:val="0"/>
                <w:color w:val="000000"/>
                <w:kern w:val="0"/>
                <w:sz w:val="22"/>
                <w:szCs w:val="22"/>
                <w:highlight w:val="none"/>
                <w:u w:val="none"/>
                <w:lang w:val="en-US" w:eastAsia="zh-CN" w:bidi="ar"/>
              </w:rPr>
              <w:t>考虑在途项目后县域可开放容量（MW）</w:t>
            </w:r>
          </w:p>
        </w:tc>
        <w:tc>
          <w:tcPr>
            <w:tcW w:w="161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6A02FE">
            <w:pPr>
              <w:keepNext w:val="0"/>
              <w:keepLines w:val="0"/>
              <w:widowControl/>
              <w:suppressLineNumbers w:val="0"/>
              <w:jc w:val="center"/>
              <w:textAlignment w:val="center"/>
              <w:rPr>
                <w:rFonts w:hint="eastAsia" w:ascii="宋体" w:hAnsi="宋体" w:eastAsia="宋体" w:cs="宋体"/>
                <w:b/>
                <w:i w:val="0"/>
                <w:color w:val="000000"/>
                <w:sz w:val="22"/>
                <w:szCs w:val="22"/>
                <w:highlight w:val="none"/>
                <w:u w:val="none"/>
              </w:rPr>
            </w:pPr>
            <w:r>
              <w:rPr>
                <w:rFonts w:hint="eastAsia" w:ascii="宋体" w:hAnsi="宋体" w:eastAsia="宋体" w:cs="宋体"/>
                <w:b/>
                <w:i w:val="0"/>
                <w:color w:val="000000"/>
                <w:kern w:val="0"/>
                <w:sz w:val="22"/>
                <w:szCs w:val="22"/>
                <w:highlight w:val="none"/>
                <w:u w:val="none"/>
                <w:lang w:val="en-US" w:eastAsia="zh-CN" w:bidi="ar"/>
              </w:rPr>
              <w:t>评估等级</w:t>
            </w:r>
          </w:p>
        </w:tc>
        <w:tc>
          <w:tcPr>
            <w:tcW w:w="146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3F1659">
            <w:pPr>
              <w:keepNext w:val="0"/>
              <w:keepLines w:val="0"/>
              <w:widowControl/>
              <w:suppressLineNumbers w:val="0"/>
              <w:jc w:val="center"/>
              <w:textAlignment w:val="center"/>
              <w:rPr>
                <w:rFonts w:hint="eastAsia" w:ascii="宋体" w:hAnsi="宋体" w:eastAsia="宋体" w:cs="宋体"/>
                <w:b/>
                <w:i w:val="0"/>
                <w:color w:val="000000"/>
                <w:sz w:val="22"/>
                <w:szCs w:val="22"/>
                <w:highlight w:val="none"/>
                <w:u w:val="none"/>
              </w:rPr>
            </w:pPr>
            <w:r>
              <w:rPr>
                <w:rFonts w:hint="eastAsia" w:ascii="宋体" w:hAnsi="宋体" w:eastAsia="宋体" w:cs="宋体"/>
                <w:b/>
                <w:i w:val="0"/>
                <w:color w:val="000000"/>
                <w:kern w:val="0"/>
                <w:sz w:val="22"/>
                <w:szCs w:val="22"/>
                <w:highlight w:val="none"/>
                <w:u w:val="none"/>
                <w:lang w:val="en-US" w:eastAsia="zh-CN" w:bidi="ar"/>
              </w:rPr>
              <w:t>备注</w:t>
            </w:r>
          </w:p>
        </w:tc>
      </w:tr>
      <w:tr w14:paraId="3EF14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340"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14:paraId="44C6F764">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1648"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14:paraId="255A32A2">
            <w:pPr>
              <w:keepNext w:val="0"/>
              <w:keepLines w:val="0"/>
              <w:widowControl/>
              <w:suppressLineNumbers w:val="0"/>
              <w:jc w:val="center"/>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隆尧县</w:t>
            </w:r>
          </w:p>
        </w:tc>
        <w:tc>
          <w:tcPr>
            <w:tcW w:w="3639"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14:paraId="76415FB6">
            <w:pPr>
              <w:keepNext w:val="0"/>
              <w:keepLines w:val="0"/>
              <w:widowControl/>
              <w:suppressLineNumbers w:val="0"/>
              <w:jc w:val="center"/>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 xml:space="preserve">296.79 </w:t>
            </w:r>
          </w:p>
        </w:tc>
        <w:tc>
          <w:tcPr>
            <w:tcW w:w="3921" w:type="dxa"/>
            <w:tcBorders>
              <w:top w:val="single" w:color="000000" w:sz="4" w:space="0"/>
              <w:left w:val="single" w:color="000000" w:sz="4" w:space="0"/>
              <w:bottom w:val="single" w:color="000000" w:sz="4" w:space="0"/>
              <w:right w:val="single" w:color="000000" w:sz="4" w:space="0"/>
            </w:tcBorders>
            <w:shd w:val="clear" w:color="auto" w:fill="auto"/>
            <w:noWrap w:val="0"/>
            <w:tcMar>
              <w:top w:w="12" w:type="dxa"/>
              <w:left w:w="12" w:type="dxa"/>
              <w:right w:w="12" w:type="dxa"/>
            </w:tcMar>
            <w:vAlign w:val="center"/>
          </w:tcPr>
          <w:p w14:paraId="26D071C0">
            <w:pPr>
              <w:keepNext w:val="0"/>
              <w:keepLines w:val="0"/>
              <w:widowControl/>
              <w:suppressLineNumbers w:val="0"/>
              <w:jc w:val="center"/>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4"/>
                <w:szCs w:val="24"/>
                <w:highlight w:val="none"/>
                <w:u w:val="none"/>
                <w:lang w:val="en-US" w:eastAsia="zh-CN" w:bidi="ar"/>
              </w:rPr>
              <w:t xml:space="preserve">19.84 </w:t>
            </w:r>
          </w:p>
        </w:tc>
        <w:tc>
          <w:tcPr>
            <w:tcW w:w="161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DE24C5">
            <w:pPr>
              <w:keepNext w:val="0"/>
              <w:keepLines w:val="0"/>
              <w:widowControl/>
              <w:suppressLineNumbers w:val="0"/>
              <w:jc w:val="center"/>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绿色</w:t>
            </w:r>
          </w:p>
        </w:tc>
        <w:tc>
          <w:tcPr>
            <w:tcW w:w="146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89DCCFF">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w:t>
            </w:r>
          </w:p>
        </w:tc>
      </w:tr>
      <w:tr w14:paraId="0B843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13633" w:type="dxa"/>
            <w:gridSpan w:val="6"/>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EA6EB1">
            <w:pPr>
              <w:keepNext w:val="0"/>
              <w:keepLines w:val="0"/>
              <w:pageBreakBefore w:val="0"/>
              <w:widowControl/>
              <w:suppressLineNumbers w:val="0"/>
              <w:kinsoku/>
              <w:wordWrap/>
              <w:overflowPunct/>
              <w:topLinePunct w:val="0"/>
              <w:autoSpaceDE/>
              <w:autoSpaceDN/>
              <w:bidi w:val="0"/>
              <w:adjustRightInd/>
              <w:snapToGrid/>
              <w:ind w:firstLine="440" w:firstLineChars="200"/>
              <w:jc w:val="left"/>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 xml:space="preserve">1.因暂无渠道获取准确的已备案分布式电源项目数据，暂不开展可开放备案容量测算，评估等级按照考虑在途项目后县域可开放容量评估。 </w:t>
            </w:r>
          </w:p>
          <w:p w14:paraId="4DF5CAC1">
            <w:pPr>
              <w:keepNext w:val="0"/>
              <w:keepLines w:val="0"/>
              <w:pageBreakBefore w:val="0"/>
              <w:widowControl/>
              <w:suppressLineNumbers w:val="0"/>
              <w:kinsoku/>
              <w:wordWrap/>
              <w:overflowPunct/>
              <w:topLinePunct w:val="0"/>
              <w:autoSpaceDE/>
              <w:autoSpaceDN/>
              <w:bidi w:val="0"/>
              <w:adjustRightInd/>
              <w:snapToGrid/>
              <w:ind w:firstLine="440" w:firstLineChars="20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2.考虑在途项目后可开放容量，指评估时刻（本季度为2026年10月1日）除已并网及已受理但尚未并网的分布式电源外，电力系统可新增受理的分布式电源装机规模。</w:t>
            </w:r>
          </w:p>
        </w:tc>
      </w:tr>
      <w:tr w14:paraId="562B4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13633" w:type="dxa"/>
            <w:gridSpan w:val="6"/>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CA2A21">
            <w:pPr>
              <w:jc w:val="left"/>
              <w:rPr>
                <w:rFonts w:hint="eastAsia" w:ascii="宋体" w:hAnsi="宋体" w:eastAsia="宋体" w:cs="宋体"/>
                <w:i w:val="0"/>
                <w:color w:val="000000"/>
                <w:sz w:val="22"/>
                <w:szCs w:val="22"/>
                <w:highlight w:val="none"/>
                <w:u w:val="none"/>
              </w:rPr>
            </w:pPr>
          </w:p>
        </w:tc>
      </w:tr>
      <w:tr w14:paraId="2055B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13633" w:type="dxa"/>
            <w:gridSpan w:val="6"/>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15E3858">
            <w:pPr>
              <w:jc w:val="left"/>
              <w:rPr>
                <w:rFonts w:hint="eastAsia" w:ascii="宋体" w:hAnsi="宋体" w:eastAsia="宋体" w:cs="宋体"/>
                <w:i w:val="0"/>
                <w:color w:val="000000"/>
                <w:sz w:val="22"/>
                <w:szCs w:val="22"/>
                <w:highlight w:val="none"/>
                <w:u w:val="none"/>
              </w:rPr>
            </w:pPr>
          </w:p>
        </w:tc>
      </w:tr>
      <w:tr w14:paraId="0C925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13633" w:type="dxa"/>
            <w:gridSpan w:val="6"/>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6A4F34">
            <w:pPr>
              <w:jc w:val="left"/>
              <w:rPr>
                <w:rFonts w:hint="eastAsia" w:ascii="宋体" w:hAnsi="宋体" w:eastAsia="宋体" w:cs="宋体"/>
                <w:i w:val="0"/>
                <w:color w:val="000000"/>
                <w:sz w:val="22"/>
                <w:szCs w:val="22"/>
                <w:highlight w:val="none"/>
                <w:u w:val="none"/>
              </w:rPr>
            </w:pPr>
          </w:p>
        </w:tc>
      </w:tr>
      <w:tr w14:paraId="4C9C2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13633" w:type="dxa"/>
            <w:gridSpan w:val="6"/>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6EE476">
            <w:pPr>
              <w:jc w:val="left"/>
              <w:rPr>
                <w:rFonts w:hint="eastAsia" w:ascii="宋体" w:hAnsi="宋体" w:eastAsia="宋体" w:cs="宋体"/>
                <w:i w:val="0"/>
                <w:color w:val="000000"/>
                <w:sz w:val="22"/>
                <w:szCs w:val="22"/>
                <w:highlight w:val="none"/>
                <w:u w:val="none"/>
              </w:rPr>
            </w:pPr>
          </w:p>
        </w:tc>
      </w:tr>
      <w:tr w14:paraId="1FA2E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13633" w:type="dxa"/>
            <w:gridSpan w:val="6"/>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13ACA6">
            <w:pPr>
              <w:jc w:val="left"/>
              <w:rPr>
                <w:rFonts w:hint="eastAsia" w:ascii="宋体" w:hAnsi="宋体" w:eastAsia="宋体" w:cs="宋体"/>
                <w:i w:val="0"/>
                <w:color w:val="000000"/>
                <w:sz w:val="22"/>
                <w:szCs w:val="22"/>
                <w:highlight w:val="none"/>
                <w:u w:val="none"/>
              </w:rPr>
            </w:pPr>
          </w:p>
        </w:tc>
      </w:tr>
      <w:tr w14:paraId="01B26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13633" w:type="dxa"/>
            <w:gridSpan w:val="6"/>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5A23C28">
            <w:pPr>
              <w:jc w:val="left"/>
              <w:rPr>
                <w:rFonts w:hint="eastAsia" w:ascii="宋体" w:hAnsi="宋体" w:eastAsia="宋体" w:cs="宋体"/>
                <w:i w:val="0"/>
                <w:color w:val="000000"/>
                <w:sz w:val="22"/>
                <w:szCs w:val="22"/>
                <w:highlight w:val="none"/>
                <w:u w:val="none"/>
              </w:rPr>
            </w:pPr>
          </w:p>
        </w:tc>
      </w:tr>
      <w:tr w14:paraId="30D2A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trPr>
        <w:tc>
          <w:tcPr>
            <w:tcW w:w="13633" w:type="dxa"/>
            <w:gridSpan w:val="6"/>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27208C">
            <w:pPr>
              <w:jc w:val="left"/>
              <w:rPr>
                <w:rFonts w:hint="eastAsia" w:ascii="宋体" w:hAnsi="宋体" w:eastAsia="宋体" w:cs="宋体"/>
                <w:i w:val="0"/>
                <w:color w:val="000000"/>
                <w:sz w:val="22"/>
                <w:szCs w:val="22"/>
                <w:highlight w:val="none"/>
                <w:u w:val="none"/>
              </w:rPr>
            </w:pPr>
          </w:p>
        </w:tc>
      </w:tr>
      <w:tr w14:paraId="2FEE4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13633" w:type="dxa"/>
            <w:gridSpan w:val="6"/>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6165640">
            <w:pPr>
              <w:jc w:val="left"/>
              <w:rPr>
                <w:rFonts w:hint="eastAsia" w:ascii="宋体" w:hAnsi="宋体" w:eastAsia="宋体" w:cs="宋体"/>
                <w:i w:val="0"/>
                <w:color w:val="000000"/>
                <w:sz w:val="22"/>
                <w:szCs w:val="22"/>
                <w:highlight w:val="none"/>
                <w:u w:val="none"/>
              </w:rPr>
            </w:pPr>
          </w:p>
        </w:tc>
      </w:tr>
    </w:tbl>
    <w:p w14:paraId="1F7BDC23">
      <w:pPr>
        <w:keepNext w:val="0"/>
        <w:keepLines w:val="0"/>
        <w:widowControl/>
        <w:suppressLineNumbers w:val="0"/>
        <w:jc w:val="center"/>
        <w:textAlignment w:val="center"/>
        <w:rPr>
          <w:rFonts w:hint="default" w:ascii="宋体" w:hAnsi="宋体" w:cs="宋体"/>
          <w:b/>
          <w:i w:val="0"/>
          <w:color w:val="000000"/>
          <w:kern w:val="0"/>
          <w:sz w:val="24"/>
          <w:szCs w:val="24"/>
          <w:highlight w:val="none"/>
          <w:u w:val="none"/>
          <w:lang w:val="en-US" w:eastAsia="zh-CN" w:bidi="ar"/>
        </w:rPr>
      </w:pPr>
    </w:p>
    <w:p w14:paraId="4A935B45">
      <w:pPr>
        <w:keepNext w:val="0"/>
        <w:keepLines w:val="0"/>
        <w:widowControl/>
        <w:suppressLineNumbers w:val="0"/>
        <w:jc w:val="left"/>
        <w:textAlignment w:val="center"/>
        <w:rPr>
          <w:rFonts w:hint="default" w:ascii="宋体" w:hAnsi="宋体" w:eastAsia="宋体" w:cs="宋体"/>
          <w:b/>
          <w:i w:val="0"/>
          <w:color w:val="000000"/>
          <w:kern w:val="0"/>
          <w:sz w:val="24"/>
          <w:szCs w:val="24"/>
          <w:highlight w:val="none"/>
          <w:u w:val="none"/>
          <w:lang w:val="en-US" w:eastAsia="zh-CN" w:bidi="ar"/>
        </w:rPr>
      </w:pPr>
      <w:r>
        <w:rPr>
          <w:rFonts w:hint="eastAsia" w:ascii="宋体" w:hAnsi="宋体" w:eastAsia="宋体" w:cs="宋体"/>
          <w:b/>
          <w:i w:val="0"/>
          <w:color w:val="000000"/>
          <w:kern w:val="0"/>
          <w:sz w:val="24"/>
          <w:szCs w:val="24"/>
          <w:highlight w:val="none"/>
          <w:u w:val="none"/>
          <w:lang w:val="zh-CN" w:eastAsia="zh-CN" w:bidi="ar"/>
        </w:rPr>
        <w:br w:type="page"/>
      </w:r>
      <w:r>
        <w:rPr>
          <w:rFonts w:hint="eastAsia" w:ascii="方正仿宋_GBK" w:hAnsi="方正仿宋_GBK" w:eastAsia="方正仿宋_GBK" w:cs="方正仿宋_GBK"/>
          <w:bCs/>
          <w:color w:val="auto"/>
          <w:spacing w:val="-6"/>
          <w:sz w:val="32"/>
          <w:szCs w:val="32"/>
          <w:highlight w:val="none"/>
          <w:lang w:val="zh-CN" w:eastAsia="zh-CN"/>
        </w:rPr>
        <w:t>附件</w:t>
      </w:r>
      <w:r>
        <w:rPr>
          <w:rFonts w:hint="eastAsia" w:ascii="方正仿宋_GBK" w:hAnsi="方正仿宋_GBK" w:eastAsia="方正仿宋_GBK" w:cs="方正仿宋_GBK"/>
          <w:bCs/>
          <w:color w:val="auto"/>
          <w:spacing w:val="-6"/>
          <w:sz w:val="32"/>
          <w:szCs w:val="32"/>
          <w:highlight w:val="none"/>
          <w:lang w:val="en-US" w:eastAsia="zh-CN"/>
        </w:rPr>
        <w:t>2</w:t>
      </w:r>
    </w:p>
    <w:tbl>
      <w:tblPr>
        <w:tblStyle w:val="2"/>
        <w:tblpPr w:leftFromText="180" w:rightFromText="180" w:vertAnchor="text" w:horzAnchor="page" w:tblpX="1426" w:tblpY="304"/>
        <w:tblOverlap w:val="never"/>
        <w:tblW w:w="1398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403"/>
        <w:gridCol w:w="402"/>
        <w:gridCol w:w="1040"/>
        <w:gridCol w:w="5317"/>
        <w:gridCol w:w="1411"/>
        <w:gridCol w:w="1648"/>
        <w:gridCol w:w="1173"/>
        <w:gridCol w:w="1188"/>
        <w:gridCol w:w="1070"/>
        <w:gridCol w:w="330"/>
      </w:tblGrid>
      <w:tr w14:paraId="1E07C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4" w:hRule="atLeast"/>
        </w:trPr>
        <w:tc>
          <w:tcPr>
            <w:tcW w:w="13982" w:type="dxa"/>
            <w:gridSpan w:val="10"/>
            <w:tcBorders>
              <w:top w:val="nil"/>
              <w:left w:val="nil"/>
              <w:bottom w:val="nil"/>
              <w:right w:val="nil"/>
            </w:tcBorders>
            <w:noWrap/>
            <w:tcMar>
              <w:top w:w="12" w:type="dxa"/>
              <w:left w:w="12" w:type="dxa"/>
              <w:right w:w="12" w:type="dxa"/>
            </w:tcMar>
            <w:vAlign w:val="center"/>
          </w:tcPr>
          <w:p w14:paraId="4B195DDD">
            <w:pPr>
              <w:keepNext w:val="0"/>
              <w:keepLines w:val="0"/>
              <w:widowControl/>
              <w:suppressLineNumbers w:val="0"/>
              <w:jc w:val="center"/>
              <w:textAlignment w:val="center"/>
              <w:rPr>
                <w:rFonts w:hint="eastAsia" w:ascii="宋体" w:hAnsi="宋体" w:eastAsia="宋体" w:cs="宋体"/>
                <w:b/>
                <w:i w:val="0"/>
                <w:color w:val="000000"/>
                <w:kern w:val="0"/>
                <w:sz w:val="24"/>
                <w:szCs w:val="24"/>
                <w:highlight w:val="none"/>
                <w:u w:val="none"/>
                <w:lang w:val="en-US" w:eastAsia="zh-CN" w:bidi="ar"/>
              </w:rPr>
            </w:pPr>
            <w:r>
              <w:rPr>
                <w:rFonts w:hint="eastAsia" w:ascii="宋体" w:hAnsi="宋体" w:eastAsia="宋体" w:cs="宋体"/>
                <w:b/>
                <w:i w:val="0"/>
                <w:color w:val="000000"/>
                <w:kern w:val="0"/>
                <w:sz w:val="24"/>
                <w:szCs w:val="24"/>
                <w:highlight w:val="none"/>
                <w:u w:val="none"/>
                <w:lang w:val="en-US" w:eastAsia="zh-CN" w:bidi="ar"/>
              </w:rPr>
              <w:t>邢台市隆尧县2026年</w:t>
            </w:r>
            <w:r>
              <w:rPr>
                <w:rFonts w:hint="eastAsia" w:ascii="宋体" w:hAnsi="宋体" w:cs="宋体"/>
                <w:b/>
                <w:i w:val="0"/>
                <w:color w:val="000000"/>
                <w:kern w:val="0"/>
                <w:sz w:val="24"/>
                <w:szCs w:val="24"/>
                <w:highlight w:val="none"/>
                <w:u w:val="none"/>
                <w:lang w:val="en-US" w:eastAsia="zh-CN" w:bidi="ar"/>
              </w:rPr>
              <w:t>四季度</w:t>
            </w:r>
            <w:r>
              <w:rPr>
                <w:rFonts w:hint="eastAsia" w:ascii="宋体" w:hAnsi="宋体" w:eastAsia="宋体" w:cs="宋体"/>
                <w:b/>
                <w:i w:val="0"/>
                <w:color w:val="000000"/>
                <w:kern w:val="0"/>
                <w:sz w:val="24"/>
                <w:szCs w:val="24"/>
                <w:highlight w:val="none"/>
                <w:u w:val="none"/>
                <w:lang w:val="en-US" w:eastAsia="zh-CN" w:bidi="ar"/>
              </w:rPr>
              <w:t>220千伏主变分布式光伏可开放容量公示表</w:t>
            </w:r>
          </w:p>
        </w:tc>
      </w:tr>
      <w:tr w14:paraId="429F4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20" w:hRule="atLeast"/>
        </w:trPr>
        <w:tc>
          <w:tcPr>
            <w:tcW w:w="40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36B8F2">
            <w:pPr>
              <w:keepNext w:val="0"/>
              <w:keepLines w:val="0"/>
              <w:widowControl/>
              <w:suppressLineNumbers w:val="0"/>
              <w:jc w:val="center"/>
              <w:textAlignment w:val="center"/>
              <w:rPr>
                <w:rFonts w:hint="eastAsia" w:ascii="宋体" w:hAnsi="宋体" w:eastAsia="宋体" w:cs="宋体"/>
                <w:b/>
                <w:i w:val="0"/>
                <w:color w:val="000000"/>
                <w:sz w:val="22"/>
                <w:szCs w:val="22"/>
                <w:highlight w:val="none"/>
                <w:u w:val="none"/>
              </w:rPr>
            </w:pPr>
            <w:r>
              <w:rPr>
                <w:rFonts w:hint="eastAsia" w:ascii="宋体" w:hAnsi="宋体" w:eastAsia="宋体" w:cs="宋体"/>
                <w:b/>
                <w:i w:val="0"/>
                <w:color w:val="000000"/>
                <w:kern w:val="0"/>
                <w:sz w:val="22"/>
                <w:szCs w:val="22"/>
                <w:highlight w:val="none"/>
                <w:u w:val="none"/>
                <w:lang w:val="en-US" w:eastAsia="zh-CN" w:bidi="ar"/>
              </w:rPr>
              <w:t>序号</w:t>
            </w:r>
          </w:p>
        </w:tc>
        <w:tc>
          <w:tcPr>
            <w:tcW w:w="402"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342965">
            <w:pPr>
              <w:keepNext w:val="0"/>
              <w:keepLines w:val="0"/>
              <w:widowControl/>
              <w:suppressLineNumbers w:val="0"/>
              <w:jc w:val="center"/>
              <w:textAlignment w:val="center"/>
              <w:rPr>
                <w:rFonts w:hint="eastAsia" w:ascii="宋体" w:hAnsi="宋体" w:eastAsia="宋体" w:cs="宋体"/>
                <w:b/>
                <w:i w:val="0"/>
                <w:color w:val="000000"/>
                <w:sz w:val="22"/>
                <w:szCs w:val="22"/>
                <w:highlight w:val="none"/>
                <w:u w:val="none"/>
              </w:rPr>
            </w:pPr>
            <w:r>
              <w:rPr>
                <w:rFonts w:hint="eastAsia" w:ascii="宋体" w:hAnsi="宋体" w:eastAsia="宋体" w:cs="宋体"/>
                <w:b/>
                <w:i w:val="0"/>
                <w:color w:val="000000"/>
                <w:kern w:val="0"/>
                <w:sz w:val="22"/>
                <w:szCs w:val="22"/>
                <w:highlight w:val="none"/>
                <w:u w:val="none"/>
                <w:lang w:val="en-US" w:eastAsia="zh-CN" w:bidi="ar"/>
              </w:rPr>
              <w:t>县域</w:t>
            </w:r>
          </w:p>
        </w:tc>
        <w:tc>
          <w:tcPr>
            <w:tcW w:w="104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6E4507">
            <w:pPr>
              <w:keepNext w:val="0"/>
              <w:keepLines w:val="0"/>
              <w:widowControl/>
              <w:suppressLineNumbers w:val="0"/>
              <w:jc w:val="center"/>
              <w:textAlignment w:val="center"/>
              <w:rPr>
                <w:rFonts w:hint="eastAsia" w:ascii="宋体" w:hAnsi="宋体" w:eastAsia="宋体" w:cs="宋体"/>
                <w:b/>
                <w:i w:val="0"/>
                <w:color w:val="000000"/>
                <w:sz w:val="22"/>
                <w:szCs w:val="22"/>
                <w:highlight w:val="none"/>
                <w:u w:val="none"/>
              </w:rPr>
            </w:pPr>
            <w:r>
              <w:rPr>
                <w:rFonts w:hint="eastAsia" w:ascii="宋体" w:hAnsi="宋体" w:eastAsia="宋体" w:cs="宋体"/>
                <w:b/>
                <w:i w:val="0"/>
                <w:color w:val="000000"/>
                <w:kern w:val="0"/>
                <w:sz w:val="22"/>
                <w:szCs w:val="22"/>
                <w:highlight w:val="none"/>
                <w:u w:val="none"/>
                <w:lang w:val="en-US" w:eastAsia="zh-CN" w:bidi="ar"/>
              </w:rPr>
              <w:t>乡镇/街道</w:t>
            </w:r>
          </w:p>
        </w:tc>
        <w:tc>
          <w:tcPr>
            <w:tcW w:w="5317" w:type="dxa"/>
            <w:tcBorders>
              <w:top w:val="single" w:color="000000" w:sz="4" w:space="0"/>
              <w:left w:val="single" w:color="000000" w:sz="4" w:space="0"/>
              <w:bottom w:val="single" w:color="000000" w:sz="4" w:space="0"/>
              <w:right w:val="nil"/>
            </w:tcBorders>
            <w:noWrap/>
            <w:tcMar>
              <w:top w:w="12" w:type="dxa"/>
              <w:left w:w="12" w:type="dxa"/>
              <w:right w:w="12" w:type="dxa"/>
            </w:tcMar>
            <w:vAlign w:val="center"/>
          </w:tcPr>
          <w:p w14:paraId="1F9187D8">
            <w:pPr>
              <w:keepNext w:val="0"/>
              <w:keepLines w:val="0"/>
              <w:widowControl/>
              <w:suppressLineNumbers w:val="0"/>
              <w:jc w:val="center"/>
              <w:textAlignment w:val="center"/>
              <w:rPr>
                <w:rFonts w:hint="eastAsia" w:ascii="宋体" w:hAnsi="宋体" w:eastAsia="宋体" w:cs="宋体"/>
                <w:b/>
                <w:i w:val="0"/>
                <w:color w:val="000000"/>
                <w:sz w:val="22"/>
                <w:szCs w:val="22"/>
                <w:highlight w:val="none"/>
                <w:u w:val="none"/>
              </w:rPr>
            </w:pPr>
            <w:r>
              <w:rPr>
                <w:rFonts w:hint="eastAsia" w:ascii="宋体" w:hAnsi="宋体" w:eastAsia="宋体" w:cs="宋体"/>
                <w:b/>
                <w:i w:val="0"/>
                <w:color w:val="000000"/>
                <w:kern w:val="0"/>
                <w:sz w:val="22"/>
                <w:szCs w:val="22"/>
                <w:highlight w:val="none"/>
                <w:u w:val="none"/>
                <w:lang w:val="en-US" w:eastAsia="zh-CN" w:bidi="ar"/>
              </w:rPr>
              <w:t>所带村/街道</w:t>
            </w:r>
          </w:p>
        </w:tc>
        <w:tc>
          <w:tcPr>
            <w:tcW w:w="1411"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B85FC02">
            <w:pPr>
              <w:keepNext w:val="0"/>
              <w:keepLines w:val="0"/>
              <w:widowControl/>
              <w:suppressLineNumbers w:val="0"/>
              <w:jc w:val="center"/>
              <w:textAlignment w:val="center"/>
              <w:rPr>
                <w:rFonts w:hint="eastAsia" w:ascii="宋体" w:hAnsi="宋体" w:eastAsia="宋体" w:cs="宋体"/>
                <w:b/>
                <w:i w:val="0"/>
                <w:color w:val="000000"/>
                <w:sz w:val="22"/>
                <w:szCs w:val="22"/>
                <w:highlight w:val="none"/>
                <w:u w:val="none"/>
              </w:rPr>
            </w:pPr>
            <w:r>
              <w:rPr>
                <w:rFonts w:hint="eastAsia" w:ascii="宋体" w:hAnsi="宋体" w:eastAsia="宋体" w:cs="宋体"/>
                <w:b/>
                <w:i w:val="0"/>
                <w:color w:val="000000"/>
                <w:kern w:val="0"/>
                <w:sz w:val="22"/>
                <w:szCs w:val="22"/>
                <w:highlight w:val="none"/>
                <w:u w:val="none"/>
                <w:lang w:val="en-US" w:eastAsia="zh-CN" w:bidi="ar"/>
              </w:rPr>
              <w:t>供电220千伏变电站</w:t>
            </w:r>
          </w:p>
        </w:tc>
        <w:tc>
          <w:tcPr>
            <w:tcW w:w="1648" w:type="dxa"/>
            <w:tcBorders>
              <w:top w:val="single" w:color="000000" w:sz="4" w:space="0"/>
              <w:left w:val="nil"/>
              <w:bottom w:val="single" w:color="000000" w:sz="4" w:space="0"/>
              <w:right w:val="single" w:color="000000" w:sz="4" w:space="0"/>
            </w:tcBorders>
            <w:noWrap w:val="0"/>
            <w:tcMar>
              <w:top w:w="12" w:type="dxa"/>
              <w:left w:w="12" w:type="dxa"/>
              <w:right w:w="12" w:type="dxa"/>
            </w:tcMar>
            <w:vAlign w:val="center"/>
          </w:tcPr>
          <w:p w14:paraId="20123865">
            <w:pPr>
              <w:keepNext w:val="0"/>
              <w:keepLines w:val="0"/>
              <w:widowControl/>
              <w:suppressLineNumbers w:val="0"/>
              <w:jc w:val="center"/>
              <w:textAlignment w:val="center"/>
              <w:rPr>
                <w:rFonts w:hint="eastAsia" w:ascii="宋体" w:hAnsi="宋体" w:eastAsia="宋体" w:cs="宋体"/>
                <w:b/>
                <w:i w:val="0"/>
                <w:color w:val="000000"/>
                <w:sz w:val="22"/>
                <w:szCs w:val="22"/>
                <w:highlight w:val="none"/>
                <w:u w:val="none"/>
              </w:rPr>
            </w:pPr>
            <w:r>
              <w:rPr>
                <w:rFonts w:hint="eastAsia" w:ascii="宋体" w:hAnsi="宋体" w:eastAsia="宋体" w:cs="宋体"/>
                <w:b/>
                <w:i w:val="0"/>
                <w:color w:val="000000"/>
                <w:kern w:val="0"/>
                <w:sz w:val="22"/>
                <w:szCs w:val="22"/>
                <w:highlight w:val="none"/>
                <w:u w:val="none"/>
                <w:lang w:val="en-US" w:eastAsia="zh-CN" w:bidi="ar"/>
              </w:rPr>
              <w:t>该县域供电220千伏主变名称</w:t>
            </w:r>
          </w:p>
        </w:tc>
        <w:tc>
          <w:tcPr>
            <w:tcW w:w="117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D27EBE">
            <w:pPr>
              <w:keepNext w:val="0"/>
              <w:keepLines w:val="0"/>
              <w:widowControl/>
              <w:suppressLineNumbers w:val="0"/>
              <w:jc w:val="center"/>
              <w:textAlignment w:val="center"/>
              <w:rPr>
                <w:rFonts w:hint="eastAsia" w:ascii="宋体" w:hAnsi="宋体" w:eastAsia="宋体" w:cs="宋体"/>
                <w:b/>
                <w:i w:val="0"/>
                <w:color w:val="000000"/>
                <w:sz w:val="22"/>
                <w:szCs w:val="22"/>
                <w:highlight w:val="none"/>
                <w:u w:val="none"/>
              </w:rPr>
            </w:pPr>
            <w:r>
              <w:rPr>
                <w:rFonts w:hint="eastAsia" w:ascii="宋体" w:hAnsi="宋体" w:eastAsia="宋体" w:cs="宋体"/>
                <w:b/>
                <w:i w:val="0"/>
                <w:color w:val="000000"/>
                <w:kern w:val="0"/>
                <w:sz w:val="22"/>
                <w:szCs w:val="22"/>
                <w:highlight w:val="none"/>
                <w:u w:val="none"/>
                <w:lang w:val="en-US" w:eastAsia="zh-CN" w:bidi="ar"/>
              </w:rPr>
              <w:t>可开放并网容量（MW）</w:t>
            </w:r>
          </w:p>
        </w:tc>
        <w:tc>
          <w:tcPr>
            <w:tcW w:w="1188"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1D928A">
            <w:pPr>
              <w:keepNext w:val="0"/>
              <w:keepLines w:val="0"/>
              <w:widowControl/>
              <w:suppressLineNumbers w:val="0"/>
              <w:jc w:val="center"/>
              <w:textAlignment w:val="center"/>
              <w:rPr>
                <w:rFonts w:hint="eastAsia" w:ascii="宋体" w:hAnsi="宋体" w:eastAsia="宋体" w:cs="宋体"/>
                <w:b/>
                <w:i w:val="0"/>
                <w:color w:val="000000"/>
                <w:sz w:val="22"/>
                <w:szCs w:val="22"/>
                <w:highlight w:val="none"/>
                <w:u w:val="none"/>
              </w:rPr>
            </w:pPr>
            <w:r>
              <w:rPr>
                <w:rFonts w:hint="eastAsia" w:ascii="宋体" w:hAnsi="宋体" w:eastAsia="宋体" w:cs="宋体"/>
                <w:b/>
                <w:i w:val="0"/>
                <w:color w:val="000000"/>
                <w:kern w:val="0"/>
                <w:sz w:val="22"/>
                <w:szCs w:val="22"/>
                <w:highlight w:val="none"/>
                <w:u w:val="none"/>
                <w:lang w:val="en-US" w:eastAsia="zh-CN" w:bidi="ar"/>
              </w:rPr>
              <w:t>考虑在途项目后可开放容量（MW）</w:t>
            </w:r>
          </w:p>
        </w:tc>
        <w:tc>
          <w:tcPr>
            <w:tcW w:w="10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9A0797">
            <w:pPr>
              <w:keepNext w:val="0"/>
              <w:keepLines w:val="0"/>
              <w:widowControl/>
              <w:suppressLineNumbers w:val="0"/>
              <w:jc w:val="center"/>
              <w:textAlignment w:val="center"/>
              <w:rPr>
                <w:rFonts w:hint="eastAsia" w:ascii="宋体" w:hAnsi="宋体" w:eastAsia="宋体" w:cs="宋体"/>
                <w:b/>
                <w:i w:val="0"/>
                <w:color w:val="000000"/>
                <w:sz w:val="22"/>
                <w:szCs w:val="22"/>
                <w:highlight w:val="none"/>
                <w:u w:val="none"/>
              </w:rPr>
            </w:pPr>
            <w:r>
              <w:rPr>
                <w:rFonts w:hint="eastAsia" w:ascii="宋体" w:hAnsi="宋体" w:eastAsia="宋体" w:cs="宋体"/>
                <w:b/>
                <w:i w:val="0"/>
                <w:color w:val="000000"/>
                <w:kern w:val="0"/>
                <w:sz w:val="22"/>
                <w:szCs w:val="22"/>
                <w:highlight w:val="none"/>
                <w:u w:val="none"/>
                <w:lang w:val="en-US" w:eastAsia="zh-CN" w:bidi="ar"/>
              </w:rPr>
              <w:t>评估等级（仅考虑在途项目）</w:t>
            </w:r>
          </w:p>
        </w:tc>
        <w:tc>
          <w:tcPr>
            <w:tcW w:w="33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8A8D2A">
            <w:pPr>
              <w:keepNext w:val="0"/>
              <w:keepLines w:val="0"/>
              <w:widowControl/>
              <w:suppressLineNumbers w:val="0"/>
              <w:jc w:val="center"/>
              <w:textAlignment w:val="center"/>
              <w:rPr>
                <w:rFonts w:hint="eastAsia" w:ascii="宋体" w:hAnsi="宋体" w:eastAsia="宋体" w:cs="宋体"/>
                <w:b/>
                <w:i w:val="0"/>
                <w:color w:val="000000"/>
                <w:sz w:val="22"/>
                <w:szCs w:val="22"/>
                <w:highlight w:val="none"/>
                <w:u w:val="none"/>
              </w:rPr>
            </w:pPr>
            <w:r>
              <w:rPr>
                <w:rFonts w:hint="eastAsia" w:ascii="宋体" w:hAnsi="宋体" w:eastAsia="宋体" w:cs="宋体"/>
                <w:b/>
                <w:i w:val="0"/>
                <w:color w:val="000000"/>
                <w:kern w:val="0"/>
                <w:sz w:val="22"/>
                <w:szCs w:val="22"/>
                <w:highlight w:val="none"/>
                <w:u w:val="none"/>
                <w:lang w:val="en-US" w:eastAsia="zh-CN" w:bidi="ar"/>
              </w:rPr>
              <w:t>备注</w:t>
            </w:r>
          </w:p>
        </w:tc>
      </w:tr>
      <w:tr w14:paraId="7325F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80" w:hRule="atLeast"/>
        </w:trPr>
        <w:tc>
          <w:tcPr>
            <w:tcW w:w="403"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D33BFD8">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402"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D66BFD">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隆尧县</w:t>
            </w:r>
          </w:p>
        </w:tc>
        <w:tc>
          <w:tcPr>
            <w:tcW w:w="1040" w:type="dxa"/>
            <w:vMerge w:val="restart"/>
            <w:tcBorders>
              <w:top w:val="single" w:color="000000" w:sz="4" w:space="0"/>
              <w:left w:val="nil"/>
              <w:bottom w:val="single" w:color="000000" w:sz="4" w:space="0"/>
              <w:right w:val="single" w:color="000000" w:sz="4" w:space="0"/>
            </w:tcBorders>
            <w:noWrap w:val="0"/>
            <w:tcMar>
              <w:top w:w="12" w:type="dxa"/>
              <w:left w:w="12" w:type="dxa"/>
              <w:right w:w="12" w:type="dxa"/>
            </w:tcMar>
            <w:vAlign w:val="center"/>
          </w:tcPr>
          <w:p w14:paraId="06091469">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双碑乡、</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尹村镇、</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山口镇、</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东良镇</w:t>
            </w:r>
          </w:p>
        </w:tc>
        <w:tc>
          <w:tcPr>
            <w:tcW w:w="5317"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5168072">
            <w:pPr>
              <w:keepNext w:val="0"/>
              <w:keepLines w:val="0"/>
              <w:widowControl/>
              <w:suppressLineNumbers w:val="0"/>
              <w:jc w:val="both"/>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包括双碑乡（北村、城角、大崔庄、东崔庄、东小崔、岗头、里边街、里南庄、里王街、木花、双碑、西崔庄、西良后、西良前、西良中、西小崔、亦城），尹村镇（北小霍、大霍村（非红山站）、大宁铺、东侯、东良（非红山站）、东尹、彭村、田村、屯里、西侯、西良、西王村），山口镇（山口），东良镇（安中、北寺庄、陈庄、大干言、大市口、店头、东霍、东良二、东良三、东良四、东良一、东庄、高村、耿庄、黄家营、南寺庄、南位、石村、西霍、邢村、尹村后、尹村前、泽畔、周村）。山口镇（东董、东齐、东尚、后苏薛、茅山营、南寨子、山口、水饭庄、西尚、甄家庄、中苏薛）、尹村镇（大霍村（红山站）、东良（红山站）、东杨、后良、后杨、霍庄、南西董、前良、前杨、染红、西良、西杨、杨村）无可开放容量。</w:t>
            </w:r>
          </w:p>
        </w:tc>
        <w:tc>
          <w:tcPr>
            <w:tcW w:w="1411" w:type="dxa"/>
            <w:vMerge w:val="restar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EBEB983">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金店220千伏变电站</w:t>
            </w:r>
          </w:p>
        </w:tc>
        <w:tc>
          <w:tcPr>
            <w:tcW w:w="16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A4F16A9">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u w:val="none"/>
                <w:lang w:val="en-US" w:eastAsia="zh-CN" w:bidi="ar"/>
              </w:rPr>
              <w:t>金店站#1主变</w:t>
            </w:r>
          </w:p>
        </w:tc>
        <w:tc>
          <w:tcPr>
            <w:tcW w:w="11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C8C4512">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2"/>
                <w:szCs w:val="22"/>
                <w:u w:val="none"/>
                <w:lang w:val="en-US" w:eastAsia="zh-CN" w:bidi="ar"/>
              </w:rPr>
              <w:t xml:space="preserve">22.64 </w:t>
            </w:r>
          </w:p>
        </w:tc>
        <w:tc>
          <w:tcPr>
            <w:tcW w:w="118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32C44AD">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2"/>
                <w:szCs w:val="22"/>
                <w:u w:val="none"/>
                <w:lang w:val="en-US" w:eastAsia="zh-CN" w:bidi="ar"/>
              </w:rPr>
              <w:t xml:space="preserve">19.84 </w:t>
            </w:r>
          </w:p>
        </w:tc>
        <w:tc>
          <w:tcPr>
            <w:tcW w:w="10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3449853">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u w:val="none"/>
                <w:lang w:val="en-US" w:eastAsia="zh-CN" w:bidi="ar"/>
              </w:rPr>
              <w:t>绿色</w:t>
            </w:r>
          </w:p>
        </w:tc>
        <w:tc>
          <w:tcPr>
            <w:tcW w:w="330" w:type="dxa"/>
            <w:tcBorders>
              <w:top w:val="single" w:color="000000" w:sz="4" w:space="0"/>
              <w:left w:val="single" w:color="000000" w:sz="4" w:space="0"/>
              <w:bottom w:val="nil"/>
              <w:right w:val="single" w:color="000000" w:sz="4" w:space="0"/>
            </w:tcBorders>
            <w:noWrap/>
            <w:tcMar>
              <w:top w:w="12" w:type="dxa"/>
              <w:left w:w="12" w:type="dxa"/>
              <w:right w:w="12" w:type="dxa"/>
            </w:tcMar>
            <w:vAlign w:val="center"/>
          </w:tcPr>
          <w:p w14:paraId="1A62514E">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w:t>
            </w:r>
          </w:p>
        </w:tc>
      </w:tr>
      <w:tr w14:paraId="51987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0" w:hRule="atLeast"/>
        </w:trPr>
        <w:tc>
          <w:tcPr>
            <w:tcW w:w="403"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D713BE">
            <w:pPr>
              <w:jc w:val="center"/>
              <w:rPr>
                <w:rFonts w:hint="eastAsia" w:ascii="宋体" w:hAnsi="宋体" w:eastAsia="宋体" w:cs="宋体"/>
                <w:i w:val="0"/>
                <w:color w:val="000000"/>
                <w:sz w:val="22"/>
                <w:szCs w:val="22"/>
                <w:highlight w:val="none"/>
                <w:u w:val="none"/>
              </w:rPr>
            </w:pPr>
          </w:p>
        </w:tc>
        <w:tc>
          <w:tcPr>
            <w:tcW w:w="402"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AD42ED">
            <w:pPr>
              <w:jc w:val="center"/>
              <w:rPr>
                <w:rFonts w:hint="eastAsia" w:ascii="宋体" w:hAnsi="宋体" w:eastAsia="宋体" w:cs="宋体"/>
                <w:i w:val="0"/>
                <w:color w:val="000000"/>
                <w:sz w:val="22"/>
                <w:szCs w:val="22"/>
                <w:highlight w:val="none"/>
                <w:u w:val="none"/>
              </w:rPr>
            </w:pPr>
          </w:p>
        </w:tc>
        <w:tc>
          <w:tcPr>
            <w:tcW w:w="1040" w:type="dxa"/>
            <w:vMerge w:val="continue"/>
            <w:tcBorders>
              <w:top w:val="single" w:color="000000" w:sz="4" w:space="0"/>
              <w:left w:val="nil"/>
              <w:bottom w:val="single" w:color="000000" w:sz="4" w:space="0"/>
              <w:right w:val="single" w:color="000000" w:sz="4" w:space="0"/>
            </w:tcBorders>
            <w:noWrap w:val="0"/>
            <w:tcMar>
              <w:top w:w="12" w:type="dxa"/>
              <w:left w:w="12" w:type="dxa"/>
              <w:right w:w="12" w:type="dxa"/>
            </w:tcMar>
            <w:vAlign w:val="center"/>
          </w:tcPr>
          <w:p w14:paraId="39F2BDCB">
            <w:pPr>
              <w:jc w:val="center"/>
              <w:rPr>
                <w:rFonts w:hint="eastAsia" w:ascii="宋体" w:hAnsi="宋体" w:eastAsia="宋体" w:cs="宋体"/>
                <w:i w:val="0"/>
                <w:color w:val="000000"/>
                <w:sz w:val="22"/>
                <w:szCs w:val="22"/>
                <w:highlight w:val="none"/>
                <w:u w:val="none"/>
              </w:rPr>
            </w:pPr>
          </w:p>
        </w:tc>
        <w:tc>
          <w:tcPr>
            <w:tcW w:w="531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62E5967">
            <w:pPr>
              <w:jc w:val="both"/>
              <w:rPr>
                <w:rFonts w:hint="eastAsia" w:ascii="宋体" w:hAnsi="宋体" w:eastAsia="宋体" w:cs="宋体"/>
                <w:i w:val="0"/>
                <w:color w:val="000000"/>
                <w:sz w:val="22"/>
                <w:szCs w:val="22"/>
                <w:highlight w:val="none"/>
                <w:u w:val="none"/>
              </w:rPr>
            </w:pPr>
          </w:p>
        </w:tc>
        <w:tc>
          <w:tcPr>
            <w:tcW w:w="1411" w:type="dxa"/>
            <w:vMerge w:val="continue"/>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DB0AFDD">
            <w:pPr>
              <w:jc w:val="center"/>
              <w:rPr>
                <w:rFonts w:hint="eastAsia" w:ascii="宋体" w:hAnsi="宋体" w:eastAsia="宋体" w:cs="宋体"/>
                <w:i w:val="0"/>
                <w:color w:val="000000"/>
                <w:sz w:val="22"/>
                <w:szCs w:val="22"/>
                <w:highlight w:val="none"/>
                <w:u w:val="none"/>
              </w:rPr>
            </w:pPr>
          </w:p>
        </w:tc>
        <w:tc>
          <w:tcPr>
            <w:tcW w:w="16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938869A">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u w:val="none"/>
                <w:lang w:val="en-US" w:eastAsia="zh-CN" w:bidi="ar"/>
              </w:rPr>
              <w:t>金店站#2主变</w:t>
            </w:r>
          </w:p>
        </w:tc>
        <w:tc>
          <w:tcPr>
            <w:tcW w:w="11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E62846D">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2"/>
                <w:szCs w:val="22"/>
                <w:u w:val="none"/>
                <w:lang w:val="en-US" w:eastAsia="zh-CN" w:bidi="ar"/>
              </w:rPr>
              <w:t xml:space="preserve">22.64 </w:t>
            </w:r>
          </w:p>
        </w:tc>
        <w:tc>
          <w:tcPr>
            <w:tcW w:w="118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ADCE654">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2"/>
                <w:szCs w:val="22"/>
                <w:u w:val="none"/>
                <w:lang w:val="en-US" w:eastAsia="zh-CN" w:bidi="ar"/>
              </w:rPr>
              <w:t xml:space="preserve">19.84 </w:t>
            </w:r>
          </w:p>
        </w:tc>
        <w:tc>
          <w:tcPr>
            <w:tcW w:w="10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852AF9A">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u w:val="none"/>
                <w:lang w:val="en-US" w:eastAsia="zh-CN" w:bidi="ar"/>
              </w:rPr>
              <w:t>绿色</w:t>
            </w:r>
          </w:p>
        </w:tc>
        <w:tc>
          <w:tcPr>
            <w:tcW w:w="330" w:type="dxa"/>
            <w:tcBorders>
              <w:top w:val="single" w:color="000000" w:sz="4" w:space="0"/>
              <w:left w:val="single" w:color="000000" w:sz="4" w:space="0"/>
              <w:bottom w:val="nil"/>
              <w:right w:val="single" w:color="000000" w:sz="4" w:space="0"/>
            </w:tcBorders>
            <w:noWrap/>
            <w:tcMar>
              <w:top w:w="12" w:type="dxa"/>
              <w:left w:w="12" w:type="dxa"/>
              <w:right w:w="12" w:type="dxa"/>
            </w:tcMar>
            <w:vAlign w:val="center"/>
          </w:tcPr>
          <w:p w14:paraId="2168828E">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w:t>
            </w:r>
          </w:p>
        </w:tc>
      </w:tr>
      <w:tr w14:paraId="70CFC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66" w:hRule="atLeast"/>
        </w:trPr>
        <w:tc>
          <w:tcPr>
            <w:tcW w:w="403"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CD1CE8">
            <w:pPr>
              <w:jc w:val="center"/>
              <w:rPr>
                <w:rFonts w:hint="eastAsia" w:ascii="宋体" w:hAnsi="宋体" w:eastAsia="宋体" w:cs="宋体"/>
                <w:i w:val="0"/>
                <w:color w:val="000000"/>
                <w:sz w:val="22"/>
                <w:szCs w:val="22"/>
                <w:highlight w:val="none"/>
                <w:u w:val="none"/>
              </w:rPr>
            </w:pPr>
          </w:p>
        </w:tc>
        <w:tc>
          <w:tcPr>
            <w:tcW w:w="402"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289975">
            <w:pPr>
              <w:jc w:val="center"/>
              <w:rPr>
                <w:rFonts w:hint="eastAsia" w:ascii="宋体" w:hAnsi="宋体" w:eastAsia="宋体" w:cs="宋体"/>
                <w:i w:val="0"/>
                <w:color w:val="000000"/>
                <w:sz w:val="22"/>
                <w:szCs w:val="22"/>
                <w:highlight w:val="none"/>
                <w:u w:val="none"/>
              </w:rPr>
            </w:pPr>
          </w:p>
        </w:tc>
        <w:tc>
          <w:tcPr>
            <w:tcW w:w="1040" w:type="dxa"/>
            <w:vMerge w:val="continue"/>
            <w:tcBorders>
              <w:top w:val="single" w:color="000000" w:sz="4" w:space="0"/>
              <w:left w:val="nil"/>
              <w:bottom w:val="single" w:color="000000" w:sz="4" w:space="0"/>
              <w:right w:val="single" w:color="000000" w:sz="4" w:space="0"/>
            </w:tcBorders>
            <w:noWrap w:val="0"/>
            <w:tcMar>
              <w:top w:w="12" w:type="dxa"/>
              <w:left w:w="12" w:type="dxa"/>
              <w:right w:w="12" w:type="dxa"/>
            </w:tcMar>
            <w:vAlign w:val="center"/>
          </w:tcPr>
          <w:p w14:paraId="681E5A15">
            <w:pPr>
              <w:jc w:val="center"/>
              <w:rPr>
                <w:rFonts w:hint="eastAsia" w:ascii="宋体" w:hAnsi="宋体" w:eastAsia="宋体" w:cs="宋体"/>
                <w:i w:val="0"/>
                <w:color w:val="000000"/>
                <w:sz w:val="22"/>
                <w:szCs w:val="22"/>
                <w:highlight w:val="none"/>
                <w:u w:val="none"/>
              </w:rPr>
            </w:pPr>
          </w:p>
        </w:tc>
        <w:tc>
          <w:tcPr>
            <w:tcW w:w="531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FE03F5">
            <w:pPr>
              <w:jc w:val="both"/>
              <w:rPr>
                <w:rFonts w:hint="eastAsia" w:ascii="宋体" w:hAnsi="宋体" w:eastAsia="宋体" w:cs="宋体"/>
                <w:i w:val="0"/>
                <w:color w:val="000000"/>
                <w:sz w:val="22"/>
                <w:szCs w:val="22"/>
                <w:highlight w:val="none"/>
                <w:u w:val="none"/>
              </w:rPr>
            </w:pPr>
          </w:p>
        </w:tc>
        <w:tc>
          <w:tcPr>
            <w:tcW w:w="1411" w:type="dxa"/>
            <w:vMerge w:val="continue"/>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20E04A2">
            <w:pPr>
              <w:jc w:val="center"/>
              <w:rPr>
                <w:rFonts w:hint="eastAsia" w:ascii="宋体" w:hAnsi="宋体" w:eastAsia="宋体" w:cs="宋体"/>
                <w:i w:val="0"/>
                <w:color w:val="000000"/>
                <w:sz w:val="22"/>
                <w:szCs w:val="22"/>
                <w:highlight w:val="none"/>
                <w:u w:val="none"/>
              </w:rPr>
            </w:pPr>
          </w:p>
        </w:tc>
        <w:tc>
          <w:tcPr>
            <w:tcW w:w="16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876A282">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u w:val="none"/>
                <w:lang w:val="en-US" w:eastAsia="zh-CN" w:bidi="ar"/>
              </w:rPr>
              <w:t>金店站#3主变</w:t>
            </w:r>
          </w:p>
        </w:tc>
        <w:tc>
          <w:tcPr>
            <w:tcW w:w="11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3AC5BA2">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 xml:space="preserve">22.64 </w:t>
            </w:r>
          </w:p>
        </w:tc>
        <w:tc>
          <w:tcPr>
            <w:tcW w:w="118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292F25B">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 xml:space="preserve">19.84 </w:t>
            </w:r>
          </w:p>
        </w:tc>
        <w:tc>
          <w:tcPr>
            <w:tcW w:w="10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8162440">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绿色</w:t>
            </w:r>
          </w:p>
        </w:tc>
        <w:tc>
          <w:tcPr>
            <w:tcW w:w="33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C298349">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w:t>
            </w:r>
          </w:p>
        </w:tc>
      </w:tr>
      <w:tr w14:paraId="1B3C0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00" w:hRule="atLeast"/>
        </w:trPr>
        <w:tc>
          <w:tcPr>
            <w:tcW w:w="403"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FE50FA">
            <w:pPr>
              <w:jc w:val="center"/>
              <w:rPr>
                <w:rFonts w:hint="eastAsia" w:ascii="宋体" w:hAnsi="宋体" w:eastAsia="宋体" w:cs="宋体"/>
                <w:i w:val="0"/>
                <w:color w:val="000000"/>
                <w:sz w:val="22"/>
                <w:szCs w:val="22"/>
                <w:highlight w:val="none"/>
                <w:u w:val="none"/>
              </w:rPr>
            </w:pPr>
          </w:p>
        </w:tc>
        <w:tc>
          <w:tcPr>
            <w:tcW w:w="402"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75159D">
            <w:pPr>
              <w:jc w:val="center"/>
              <w:rPr>
                <w:rFonts w:hint="eastAsia" w:ascii="宋体" w:hAnsi="宋体" w:eastAsia="宋体" w:cs="宋体"/>
                <w:i w:val="0"/>
                <w:color w:val="000000"/>
                <w:sz w:val="22"/>
                <w:szCs w:val="22"/>
                <w:highlight w:val="none"/>
                <w:u w:val="none"/>
              </w:rPr>
            </w:pPr>
          </w:p>
        </w:tc>
        <w:tc>
          <w:tcPr>
            <w:tcW w:w="1040" w:type="dxa"/>
            <w:vMerge w:val="restart"/>
            <w:tcBorders>
              <w:top w:val="single" w:color="000000" w:sz="4" w:space="0"/>
              <w:left w:val="nil"/>
              <w:bottom w:val="single" w:color="000000" w:sz="4" w:space="0"/>
              <w:right w:val="single" w:color="000000" w:sz="4" w:space="0"/>
            </w:tcBorders>
            <w:noWrap w:val="0"/>
            <w:tcMar>
              <w:top w:w="12" w:type="dxa"/>
              <w:left w:w="12" w:type="dxa"/>
              <w:right w:w="12" w:type="dxa"/>
            </w:tcMar>
            <w:vAlign w:val="center"/>
          </w:tcPr>
          <w:p w14:paraId="7EF77F4C">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固城镇、</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隆尧镇、</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牛家桥乡、</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魏家庄镇、</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柳行农场、</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山口镇、</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莲子镇镇</w:t>
            </w:r>
          </w:p>
        </w:tc>
        <w:tc>
          <w:tcPr>
            <w:tcW w:w="5317"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8CA66A">
            <w:pPr>
              <w:keepNext w:val="0"/>
              <w:keepLines w:val="0"/>
              <w:widowControl/>
              <w:suppressLineNumbers w:val="0"/>
              <w:jc w:val="both"/>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包括固城镇（北西董、北寨子、大营、东潘村、东王村、固城、火连庄、孟村、王桥、西潘村、乡观、小孟），隆尧镇（白家庄、北柏舍、北甫、北和、陈村、东柏舍、东甫、东关、东河、东张、杜村、韩解、韩庄、虎中、南柏舍、南甫、南关、丘底二、丘底三、丘底一、沙湾、西柏舍、西甫、西关、西河、显化、显化寺、杨河、尧家庄、义丰、永兴），牛家桥乡（北吴町、北杨家楼、大兴庄、菅村、旧城、开河、马头、梅庄、南杨家楼、牛家桥、王盘庄、），魏家庄镇（北牛、东魏、东庄头、多家庄、公子后、公子中、角城、李贾、孟贾、南牛、南丈、牛张、王贯庄、王尹、魏家庄、西魏、西庄头、肖庄东、肖庄后、肖庄前、肖庄西、张汪、赵孟），柳行农场（柳行农场），山口镇（白木、前苏薛、前枣林庄、中苏薛），莲子镇镇（白家寨（非白寨站）、北盐池、崔家楼、东店马、东范、耿家庄、贾庄、莲东庄、莲辛庄、莲子镇、南吴町、王家庄、西店子、西范、西闫庄（非白寨站）、辛庄）。莲子镇镇(白家寨(白寨站)、北哈口、北闫庄、东闫庄、后辛庄、马栏、前辛庄、任村、西哈口、西闫庄(白寨站))无可开放容量。</w:t>
            </w:r>
          </w:p>
        </w:tc>
        <w:tc>
          <w:tcPr>
            <w:tcW w:w="1411" w:type="dxa"/>
            <w:vMerge w:val="restar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615E16C">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隆尧220千伏变电站</w:t>
            </w:r>
          </w:p>
        </w:tc>
        <w:tc>
          <w:tcPr>
            <w:tcW w:w="16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E60B7BC">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u w:val="none"/>
                <w:lang w:val="en-US" w:eastAsia="zh-CN" w:bidi="ar"/>
              </w:rPr>
              <w:t>隆尧站#1主变</w:t>
            </w:r>
          </w:p>
        </w:tc>
        <w:tc>
          <w:tcPr>
            <w:tcW w:w="11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79E9CA9">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2"/>
                <w:szCs w:val="22"/>
                <w:u w:val="none"/>
                <w:lang w:val="en-US" w:eastAsia="zh-CN" w:bidi="ar"/>
              </w:rPr>
              <w:t xml:space="preserve">36.26 </w:t>
            </w:r>
          </w:p>
        </w:tc>
        <w:tc>
          <w:tcPr>
            <w:tcW w:w="118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5DD0DF6">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2"/>
                <w:szCs w:val="22"/>
                <w:u w:val="none"/>
                <w:lang w:val="en-US" w:eastAsia="zh-CN" w:bidi="ar"/>
              </w:rPr>
              <w:t xml:space="preserve">19.84 </w:t>
            </w:r>
          </w:p>
        </w:tc>
        <w:tc>
          <w:tcPr>
            <w:tcW w:w="10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2F72894">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u w:val="none"/>
                <w:lang w:val="en-US" w:eastAsia="zh-CN" w:bidi="ar"/>
              </w:rPr>
              <w:t>绿色</w:t>
            </w:r>
          </w:p>
        </w:tc>
        <w:tc>
          <w:tcPr>
            <w:tcW w:w="330" w:type="dxa"/>
            <w:tcBorders>
              <w:top w:val="single" w:color="000000" w:sz="4" w:space="0"/>
              <w:left w:val="single" w:color="000000" w:sz="4" w:space="0"/>
              <w:bottom w:val="nil"/>
              <w:right w:val="single" w:color="000000" w:sz="4" w:space="0"/>
            </w:tcBorders>
            <w:noWrap/>
            <w:tcMar>
              <w:top w:w="12" w:type="dxa"/>
              <w:left w:w="12" w:type="dxa"/>
              <w:right w:w="12" w:type="dxa"/>
            </w:tcMar>
            <w:vAlign w:val="center"/>
          </w:tcPr>
          <w:p w14:paraId="774B9D23">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w:t>
            </w:r>
          </w:p>
        </w:tc>
      </w:tr>
      <w:tr w14:paraId="7B51C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400" w:hRule="atLeast"/>
        </w:trPr>
        <w:tc>
          <w:tcPr>
            <w:tcW w:w="403"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895318">
            <w:pPr>
              <w:jc w:val="center"/>
              <w:rPr>
                <w:rFonts w:hint="eastAsia" w:ascii="宋体" w:hAnsi="宋体" w:eastAsia="宋体" w:cs="宋体"/>
                <w:i w:val="0"/>
                <w:color w:val="000000"/>
                <w:sz w:val="22"/>
                <w:szCs w:val="22"/>
                <w:highlight w:val="none"/>
                <w:u w:val="none"/>
              </w:rPr>
            </w:pPr>
          </w:p>
        </w:tc>
        <w:tc>
          <w:tcPr>
            <w:tcW w:w="402"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92DEB8">
            <w:pPr>
              <w:jc w:val="center"/>
              <w:rPr>
                <w:rFonts w:hint="eastAsia" w:ascii="宋体" w:hAnsi="宋体" w:eastAsia="宋体" w:cs="宋体"/>
                <w:i w:val="0"/>
                <w:color w:val="000000"/>
                <w:sz w:val="22"/>
                <w:szCs w:val="22"/>
                <w:highlight w:val="none"/>
                <w:u w:val="none"/>
              </w:rPr>
            </w:pPr>
          </w:p>
        </w:tc>
        <w:tc>
          <w:tcPr>
            <w:tcW w:w="1040" w:type="dxa"/>
            <w:vMerge w:val="continue"/>
            <w:tcBorders>
              <w:top w:val="single" w:color="000000" w:sz="4" w:space="0"/>
              <w:left w:val="nil"/>
              <w:bottom w:val="single" w:color="000000" w:sz="4" w:space="0"/>
              <w:right w:val="single" w:color="000000" w:sz="4" w:space="0"/>
            </w:tcBorders>
            <w:noWrap w:val="0"/>
            <w:tcMar>
              <w:top w:w="12" w:type="dxa"/>
              <w:left w:w="12" w:type="dxa"/>
              <w:right w:w="12" w:type="dxa"/>
            </w:tcMar>
            <w:vAlign w:val="center"/>
          </w:tcPr>
          <w:p w14:paraId="6870D2E9">
            <w:pPr>
              <w:jc w:val="center"/>
              <w:rPr>
                <w:rFonts w:hint="eastAsia" w:ascii="宋体" w:hAnsi="宋体" w:eastAsia="宋体" w:cs="宋体"/>
                <w:i w:val="0"/>
                <w:color w:val="000000"/>
                <w:sz w:val="22"/>
                <w:szCs w:val="22"/>
                <w:highlight w:val="none"/>
                <w:u w:val="none"/>
              </w:rPr>
            </w:pPr>
          </w:p>
        </w:tc>
        <w:tc>
          <w:tcPr>
            <w:tcW w:w="531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E1FD5C">
            <w:pPr>
              <w:jc w:val="both"/>
              <w:rPr>
                <w:rFonts w:hint="eastAsia" w:ascii="宋体" w:hAnsi="宋体" w:eastAsia="宋体" w:cs="宋体"/>
                <w:i w:val="0"/>
                <w:color w:val="000000"/>
                <w:sz w:val="22"/>
                <w:szCs w:val="22"/>
                <w:highlight w:val="none"/>
                <w:u w:val="none"/>
              </w:rPr>
            </w:pPr>
          </w:p>
        </w:tc>
        <w:tc>
          <w:tcPr>
            <w:tcW w:w="1411" w:type="dxa"/>
            <w:vMerge w:val="continue"/>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974043C">
            <w:pPr>
              <w:jc w:val="center"/>
              <w:rPr>
                <w:rFonts w:hint="eastAsia" w:ascii="宋体" w:hAnsi="宋体" w:eastAsia="宋体" w:cs="宋体"/>
                <w:i w:val="0"/>
                <w:color w:val="000000"/>
                <w:sz w:val="22"/>
                <w:szCs w:val="22"/>
                <w:highlight w:val="none"/>
                <w:u w:val="none"/>
              </w:rPr>
            </w:pPr>
          </w:p>
        </w:tc>
        <w:tc>
          <w:tcPr>
            <w:tcW w:w="16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2F2EDAE">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u w:val="none"/>
                <w:lang w:val="en-US" w:eastAsia="zh-CN" w:bidi="ar"/>
              </w:rPr>
              <w:t>隆尧站#2主变</w:t>
            </w:r>
          </w:p>
        </w:tc>
        <w:tc>
          <w:tcPr>
            <w:tcW w:w="11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8D66B05">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2"/>
                <w:szCs w:val="22"/>
                <w:u w:val="none"/>
                <w:lang w:val="en-US" w:eastAsia="zh-CN" w:bidi="ar"/>
              </w:rPr>
              <w:t xml:space="preserve">36.26 </w:t>
            </w:r>
          </w:p>
        </w:tc>
        <w:tc>
          <w:tcPr>
            <w:tcW w:w="118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0488A09">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2"/>
                <w:szCs w:val="22"/>
                <w:u w:val="none"/>
                <w:lang w:val="en-US" w:eastAsia="zh-CN" w:bidi="ar"/>
              </w:rPr>
              <w:t xml:space="preserve">19.84 </w:t>
            </w:r>
          </w:p>
        </w:tc>
        <w:tc>
          <w:tcPr>
            <w:tcW w:w="10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7AC1939">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u w:val="none"/>
                <w:lang w:val="en-US" w:eastAsia="zh-CN" w:bidi="ar"/>
              </w:rPr>
              <w:t>绿色</w:t>
            </w:r>
          </w:p>
        </w:tc>
        <w:tc>
          <w:tcPr>
            <w:tcW w:w="330" w:type="dxa"/>
            <w:tcBorders>
              <w:top w:val="single" w:color="000000" w:sz="4" w:space="0"/>
              <w:left w:val="single" w:color="000000" w:sz="4" w:space="0"/>
              <w:bottom w:val="nil"/>
              <w:right w:val="single" w:color="000000" w:sz="4" w:space="0"/>
            </w:tcBorders>
            <w:noWrap/>
            <w:tcMar>
              <w:top w:w="12" w:type="dxa"/>
              <w:left w:w="12" w:type="dxa"/>
              <w:right w:w="12" w:type="dxa"/>
            </w:tcMar>
            <w:vAlign w:val="center"/>
          </w:tcPr>
          <w:p w14:paraId="04ED3E10">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w:t>
            </w:r>
          </w:p>
        </w:tc>
      </w:tr>
      <w:tr w14:paraId="3DD2F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00" w:hRule="atLeast"/>
        </w:trPr>
        <w:tc>
          <w:tcPr>
            <w:tcW w:w="403"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158628E">
            <w:pPr>
              <w:jc w:val="center"/>
              <w:rPr>
                <w:rFonts w:hint="eastAsia" w:ascii="宋体" w:hAnsi="宋体" w:eastAsia="宋体" w:cs="宋体"/>
                <w:i w:val="0"/>
                <w:color w:val="000000"/>
                <w:sz w:val="22"/>
                <w:szCs w:val="22"/>
                <w:highlight w:val="none"/>
                <w:u w:val="none"/>
              </w:rPr>
            </w:pPr>
          </w:p>
        </w:tc>
        <w:tc>
          <w:tcPr>
            <w:tcW w:w="402"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79FA8C7">
            <w:pPr>
              <w:jc w:val="center"/>
              <w:rPr>
                <w:rFonts w:hint="eastAsia" w:ascii="宋体" w:hAnsi="宋体" w:eastAsia="宋体" w:cs="宋体"/>
                <w:i w:val="0"/>
                <w:color w:val="000000"/>
                <w:sz w:val="22"/>
                <w:szCs w:val="22"/>
                <w:highlight w:val="none"/>
                <w:u w:val="none"/>
              </w:rPr>
            </w:pPr>
          </w:p>
        </w:tc>
        <w:tc>
          <w:tcPr>
            <w:tcW w:w="1040" w:type="dxa"/>
            <w:vMerge w:val="restart"/>
            <w:tcBorders>
              <w:top w:val="single" w:color="000000" w:sz="4" w:space="0"/>
              <w:left w:val="nil"/>
              <w:bottom w:val="single" w:color="000000" w:sz="4" w:space="0"/>
              <w:right w:val="single" w:color="000000" w:sz="4" w:space="0"/>
            </w:tcBorders>
            <w:noWrap w:val="0"/>
            <w:tcMar>
              <w:top w:w="12" w:type="dxa"/>
              <w:left w:w="12" w:type="dxa"/>
              <w:right w:w="12" w:type="dxa"/>
            </w:tcMar>
            <w:vAlign w:val="center"/>
          </w:tcPr>
          <w:p w14:paraId="6944CDD1">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千户营乡、</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大张庄乡、</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固城镇、</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牛家桥乡、</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柳行农场、</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山口镇</w:t>
            </w:r>
          </w:p>
        </w:tc>
        <w:tc>
          <w:tcPr>
            <w:tcW w:w="5317"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85DBD9A">
            <w:pPr>
              <w:keepNext w:val="0"/>
              <w:keepLines w:val="0"/>
              <w:widowControl/>
              <w:suppressLineNumbers w:val="0"/>
              <w:jc w:val="both"/>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包括千户营乡（陈家庄、东毛尔寨、东王庄、杜家庄、国家庄、孔家庄、连仲、南鱼、千户营、舍落口、狮子疙瘩、苏家庄、苏庄、唐家庄、王家场、西毛尔寨、邢家营、徐麻营、岳家庄、枣驼、赵家庄），大张庄乡（霸王营、白家庄、成家庄、大曹庄、大虫营、大张家庄、东刘庄、范庄、郝家庄、胡家疙瘩、黄家庄、焦家庄、刘通庄、马家庄、南王庄、渠家庄、宋家庄、檀家庄、王雄庄、西刘庄、肖张庄、小曹庄、小王庄、羊毛疙瘩、杨家尧、殷家庄、张家口），固城镇（北辛庄、北寨子、大营、东潘村、东王村、固城、后岳、胡家庄、户曹、火连庄、孟村、前岳、西潘村、辛刘庄、新刘庄），牛家桥乡（东清湾、林家庄、梅庄、牛家桥、西清湾、杨家庄），柳行农场（柳行农场），山口镇（佃户、后枣林庄）。</w:t>
            </w:r>
          </w:p>
        </w:tc>
        <w:tc>
          <w:tcPr>
            <w:tcW w:w="1411" w:type="dxa"/>
            <w:vMerge w:val="restar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54B1F1C">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唐尧220千伏变电站</w:t>
            </w:r>
          </w:p>
        </w:tc>
        <w:tc>
          <w:tcPr>
            <w:tcW w:w="16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7E8340D">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u w:val="none"/>
                <w:lang w:val="en-US" w:eastAsia="zh-CN" w:bidi="ar"/>
              </w:rPr>
              <w:t>唐尧站#1主变</w:t>
            </w:r>
          </w:p>
        </w:tc>
        <w:tc>
          <w:tcPr>
            <w:tcW w:w="11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164EA03">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2"/>
                <w:szCs w:val="22"/>
                <w:u w:val="none"/>
                <w:lang w:val="en-US" w:eastAsia="zh-CN" w:bidi="ar"/>
              </w:rPr>
              <w:t xml:space="preserve">22.48 </w:t>
            </w:r>
          </w:p>
        </w:tc>
        <w:tc>
          <w:tcPr>
            <w:tcW w:w="118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540CE07">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2"/>
                <w:szCs w:val="22"/>
                <w:u w:val="none"/>
                <w:lang w:val="en-US" w:eastAsia="zh-CN" w:bidi="ar"/>
              </w:rPr>
              <w:t xml:space="preserve">19.84 </w:t>
            </w:r>
          </w:p>
        </w:tc>
        <w:tc>
          <w:tcPr>
            <w:tcW w:w="10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DE9B99C">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u w:val="none"/>
                <w:lang w:val="en-US" w:eastAsia="zh-CN" w:bidi="ar"/>
              </w:rPr>
              <w:t>绿色</w:t>
            </w:r>
          </w:p>
        </w:tc>
        <w:tc>
          <w:tcPr>
            <w:tcW w:w="330" w:type="dxa"/>
            <w:tcBorders>
              <w:top w:val="single" w:color="000000" w:sz="4" w:space="0"/>
              <w:left w:val="single" w:color="000000" w:sz="4" w:space="0"/>
              <w:bottom w:val="nil"/>
              <w:right w:val="single" w:color="000000" w:sz="4" w:space="0"/>
            </w:tcBorders>
            <w:noWrap/>
            <w:tcMar>
              <w:top w:w="12" w:type="dxa"/>
              <w:left w:w="12" w:type="dxa"/>
              <w:right w:w="12" w:type="dxa"/>
            </w:tcMar>
            <w:vAlign w:val="center"/>
          </w:tcPr>
          <w:p w14:paraId="2AD0F985">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w:t>
            </w:r>
          </w:p>
        </w:tc>
      </w:tr>
      <w:tr w14:paraId="741E3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38" w:hRule="atLeast"/>
        </w:trPr>
        <w:tc>
          <w:tcPr>
            <w:tcW w:w="403"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6D95BE">
            <w:pPr>
              <w:jc w:val="center"/>
              <w:rPr>
                <w:rFonts w:hint="eastAsia" w:ascii="宋体" w:hAnsi="宋体" w:eastAsia="宋体" w:cs="宋体"/>
                <w:i w:val="0"/>
                <w:color w:val="000000"/>
                <w:sz w:val="22"/>
                <w:szCs w:val="22"/>
                <w:highlight w:val="none"/>
                <w:u w:val="none"/>
              </w:rPr>
            </w:pPr>
          </w:p>
        </w:tc>
        <w:tc>
          <w:tcPr>
            <w:tcW w:w="402"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E06DFE8">
            <w:pPr>
              <w:jc w:val="center"/>
              <w:rPr>
                <w:rFonts w:hint="eastAsia" w:ascii="宋体" w:hAnsi="宋体" w:eastAsia="宋体" w:cs="宋体"/>
                <w:i w:val="0"/>
                <w:color w:val="000000"/>
                <w:sz w:val="22"/>
                <w:szCs w:val="22"/>
                <w:highlight w:val="none"/>
                <w:u w:val="none"/>
              </w:rPr>
            </w:pPr>
          </w:p>
        </w:tc>
        <w:tc>
          <w:tcPr>
            <w:tcW w:w="1040" w:type="dxa"/>
            <w:vMerge w:val="continue"/>
            <w:tcBorders>
              <w:top w:val="single" w:color="000000" w:sz="4" w:space="0"/>
              <w:left w:val="nil"/>
              <w:bottom w:val="single" w:color="000000" w:sz="4" w:space="0"/>
              <w:right w:val="single" w:color="000000" w:sz="4" w:space="0"/>
            </w:tcBorders>
            <w:noWrap w:val="0"/>
            <w:tcMar>
              <w:top w:w="12" w:type="dxa"/>
              <w:left w:w="12" w:type="dxa"/>
              <w:right w:w="12" w:type="dxa"/>
            </w:tcMar>
            <w:vAlign w:val="center"/>
          </w:tcPr>
          <w:p w14:paraId="2D5995C1">
            <w:pPr>
              <w:jc w:val="left"/>
              <w:rPr>
                <w:rFonts w:hint="eastAsia" w:ascii="宋体" w:hAnsi="宋体" w:eastAsia="宋体" w:cs="宋体"/>
                <w:i w:val="0"/>
                <w:color w:val="000000"/>
                <w:sz w:val="22"/>
                <w:szCs w:val="22"/>
                <w:highlight w:val="none"/>
                <w:u w:val="none"/>
              </w:rPr>
            </w:pPr>
          </w:p>
        </w:tc>
        <w:tc>
          <w:tcPr>
            <w:tcW w:w="531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2667AA">
            <w:pPr>
              <w:jc w:val="both"/>
              <w:rPr>
                <w:rFonts w:hint="eastAsia" w:ascii="宋体" w:hAnsi="宋体" w:eastAsia="宋体" w:cs="宋体"/>
                <w:i w:val="0"/>
                <w:color w:val="000000"/>
                <w:sz w:val="22"/>
                <w:szCs w:val="22"/>
                <w:highlight w:val="none"/>
                <w:u w:val="none"/>
              </w:rPr>
            </w:pPr>
          </w:p>
        </w:tc>
        <w:tc>
          <w:tcPr>
            <w:tcW w:w="1411" w:type="dxa"/>
            <w:vMerge w:val="continue"/>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263EC1E">
            <w:pPr>
              <w:jc w:val="center"/>
              <w:rPr>
                <w:rFonts w:hint="eastAsia" w:ascii="宋体" w:hAnsi="宋体" w:eastAsia="宋体" w:cs="宋体"/>
                <w:i w:val="0"/>
                <w:color w:val="000000"/>
                <w:sz w:val="22"/>
                <w:szCs w:val="22"/>
                <w:highlight w:val="none"/>
                <w:u w:val="none"/>
              </w:rPr>
            </w:pPr>
          </w:p>
        </w:tc>
        <w:tc>
          <w:tcPr>
            <w:tcW w:w="16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E6AE5E9">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u w:val="none"/>
                <w:lang w:val="en-US" w:eastAsia="zh-CN" w:bidi="ar"/>
              </w:rPr>
              <w:t>唐尧站#2主变</w:t>
            </w:r>
          </w:p>
        </w:tc>
        <w:tc>
          <w:tcPr>
            <w:tcW w:w="11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AEA58A3">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2"/>
                <w:szCs w:val="22"/>
                <w:u w:val="none"/>
                <w:lang w:val="en-US" w:eastAsia="zh-CN" w:bidi="ar"/>
              </w:rPr>
              <w:t xml:space="preserve">22.48 </w:t>
            </w:r>
          </w:p>
        </w:tc>
        <w:tc>
          <w:tcPr>
            <w:tcW w:w="118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4EEAC67">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2"/>
                <w:szCs w:val="22"/>
                <w:u w:val="none"/>
                <w:lang w:val="en-US" w:eastAsia="zh-CN" w:bidi="ar"/>
              </w:rPr>
              <w:t xml:space="preserve">19.84 </w:t>
            </w:r>
          </w:p>
        </w:tc>
        <w:tc>
          <w:tcPr>
            <w:tcW w:w="10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8A2C7ED">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u w:val="none"/>
                <w:lang w:val="en-US" w:eastAsia="zh-CN" w:bidi="ar"/>
              </w:rPr>
              <w:t>绿色</w:t>
            </w:r>
          </w:p>
        </w:tc>
        <w:tc>
          <w:tcPr>
            <w:tcW w:w="330" w:type="dxa"/>
            <w:tcBorders>
              <w:top w:val="single" w:color="000000" w:sz="4" w:space="0"/>
              <w:left w:val="single" w:color="000000" w:sz="4" w:space="0"/>
              <w:bottom w:val="nil"/>
              <w:right w:val="single" w:color="000000" w:sz="4" w:space="0"/>
            </w:tcBorders>
            <w:noWrap/>
            <w:tcMar>
              <w:top w:w="12" w:type="dxa"/>
              <w:left w:w="12" w:type="dxa"/>
              <w:right w:w="12" w:type="dxa"/>
            </w:tcMar>
            <w:vAlign w:val="center"/>
          </w:tcPr>
          <w:p w14:paraId="52E31D4F">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w:t>
            </w:r>
          </w:p>
        </w:tc>
      </w:tr>
      <w:tr w14:paraId="482F8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80" w:hRule="atLeast"/>
        </w:trPr>
        <w:tc>
          <w:tcPr>
            <w:tcW w:w="403"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D2C8A98">
            <w:pPr>
              <w:jc w:val="center"/>
              <w:rPr>
                <w:rFonts w:hint="eastAsia" w:ascii="宋体" w:hAnsi="宋体" w:eastAsia="宋体" w:cs="宋体"/>
                <w:i w:val="0"/>
                <w:color w:val="000000"/>
                <w:sz w:val="22"/>
                <w:szCs w:val="22"/>
                <w:highlight w:val="none"/>
                <w:u w:val="none"/>
              </w:rPr>
            </w:pPr>
          </w:p>
        </w:tc>
        <w:tc>
          <w:tcPr>
            <w:tcW w:w="402"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7C7BDF">
            <w:pPr>
              <w:jc w:val="center"/>
              <w:rPr>
                <w:rFonts w:hint="eastAsia" w:ascii="宋体" w:hAnsi="宋体" w:eastAsia="宋体" w:cs="宋体"/>
                <w:i w:val="0"/>
                <w:color w:val="000000"/>
                <w:sz w:val="22"/>
                <w:szCs w:val="22"/>
                <w:highlight w:val="none"/>
                <w:u w:val="none"/>
              </w:rPr>
            </w:pPr>
          </w:p>
        </w:tc>
        <w:tc>
          <w:tcPr>
            <w:tcW w:w="1040" w:type="dxa"/>
            <w:vMerge w:val="restart"/>
            <w:tcBorders>
              <w:top w:val="single" w:color="000000" w:sz="4" w:space="0"/>
              <w:left w:val="nil"/>
              <w:bottom w:val="single" w:color="000000" w:sz="4" w:space="0"/>
              <w:right w:val="single" w:color="000000" w:sz="4" w:space="0"/>
            </w:tcBorders>
            <w:noWrap w:val="0"/>
            <w:tcMar>
              <w:top w:w="12" w:type="dxa"/>
              <w:left w:w="12" w:type="dxa"/>
              <w:right w:w="12" w:type="dxa"/>
            </w:tcMar>
            <w:vAlign w:val="center"/>
          </w:tcPr>
          <w:p w14:paraId="44127AF2">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隆尧镇、</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山口镇、</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北楼乡、</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魏家庄镇、</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东良镇、</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柳行农场</w:t>
            </w:r>
          </w:p>
        </w:tc>
        <w:tc>
          <w:tcPr>
            <w:tcW w:w="5317"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2E9840">
            <w:pPr>
              <w:keepNext w:val="0"/>
              <w:keepLines w:val="0"/>
              <w:widowControl/>
              <w:suppressLineNumbers w:val="0"/>
              <w:jc w:val="both"/>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包括隆尧镇（东河、东里、官庄、郭园、韩解、韩庄、南潘庄、南小河、西甫、西关、尧北里、尧东庄、尧南关），山口镇（北潘庄、东齐、东山南、东尚、茅山营、山口、西齐、西山南、西尚），北楼乡（北楼、东曲底、范贾、河北南汪后、河北南汪前、尚礼、西曲底、小汪、辛贾、周张庄），魏家庄镇（公子后、郭贾、李贾、孟贾、魏家庄），东良镇（大干言、小干言），柳行农场（柳行农场）。</w:t>
            </w:r>
          </w:p>
        </w:tc>
        <w:tc>
          <w:tcPr>
            <w:tcW w:w="1411" w:type="dxa"/>
            <w:vMerge w:val="restar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4B27A38">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尧山220千伏变电站</w:t>
            </w:r>
          </w:p>
        </w:tc>
        <w:tc>
          <w:tcPr>
            <w:tcW w:w="16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E0BE05B">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u w:val="none"/>
                <w:lang w:val="en-US" w:eastAsia="zh-CN" w:bidi="ar"/>
              </w:rPr>
              <w:t>尧山站#1主变</w:t>
            </w:r>
          </w:p>
        </w:tc>
        <w:tc>
          <w:tcPr>
            <w:tcW w:w="11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BAF7729">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2"/>
                <w:szCs w:val="22"/>
                <w:u w:val="none"/>
                <w:lang w:val="en-US" w:eastAsia="zh-CN" w:bidi="ar"/>
              </w:rPr>
              <w:t xml:space="preserve">27.47 </w:t>
            </w:r>
          </w:p>
        </w:tc>
        <w:tc>
          <w:tcPr>
            <w:tcW w:w="118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011BE1B">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2"/>
                <w:szCs w:val="22"/>
                <w:u w:val="none"/>
                <w:lang w:val="en-US" w:eastAsia="zh-CN" w:bidi="ar"/>
              </w:rPr>
              <w:t xml:space="preserve">19.84 </w:t>
            </w:r>
          </w:p>
        </w:tc>
        <w:tc>
          <w:tcPr>
            <w:tcW w:w="10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512DD92">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u w:val="none"/>
                <w:lang w:val="en-US" w:eastAsia="zh-CN" w:bidi="ar"/>
              </w:rPr>
              <w:t>绿色</w:t>
            </w:r>
          </w:p>
        </w:tc>
        <w:tc>
          <w:tcPr>
            <w:tcW w:w="330" w:type="dxa"/>
            <w:tcBorders>
              <w:top w:val="single" w:color="000000" w:sz="4" w:space="0"/>
              <w:left w:val="single" w:color="000000" w:sz="4" w:space="0"/>
              <w:bottom w:val="nil"/>
              <w:right w:val="single" w:color="000000" w:sz="4" w:space="0"/>
            </w:tcBorders>
            <w:noWrap/>
            <w:tcMar>
              <w:top w:w="12" w:type="dxa"/>
              <w:left w:w="12" w:type="dxa"/>
              <w:right w:w="12" w:type="dxa"/>
            </w:tcMar>
            <w:vAlign w:val="center"/>
          </w:tcPr>
          <w:p w14:paraId="7C7B5971">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w:t>
            </w:r>
          </w:p>
        </w:tc>
      </w:tr>
      <w:tr w14:paraId="372DC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403"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0C0C40">
            <w:pPr>
              <w:jc w:val="center"/>
              <w:rPr>
                <w:rFonts w:hint="eastAsia" w:ascii="宋体" w:hAnsi="宋体" w:eastAsia="宋体" w:cs="宋体"/>
                <w:i w:val="0"/>
                <w:color w:val="000000"/>
                <w:sz w:val="22"/>
                <w:szCs w:val="22"/>
                <w:highlight w:val="none"/>
                <w:u w:val="none"/>
              </w:rPr>
            </w:pPr>
          </w:p>
        </w:tc>
        <w:tc>
          <w:tcPr>
            <w:tcW w:w="402"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0BC7F0">
            <w:pPr>
              <w:jc w:val="center"/>
              <w:rPr>
                <w:rFonts w:hint="eastAsia" w:ascii="宋体" w:hAnsi="宋体" w:eastAsia="宋体" w:cs="宋体"/>
                <w:i w:val="0"/>
                <w:color w:val="000000"/>
                <w:sz w:val="22"/>
                <w:szCs w:val="22"/>
                <w:highlight w:val="none"/>
                <w:u w:val="none"/>
              </w:rPr>
            </w:pPr>
          </w:p>
        </w:tc>
        <w:tc>
          <w:tcPr>
            <w:tcW w:w="1040" w:type="dxa"/>
            <w:vMerge w:val="continue"/>
            <w:tcBorders>
              <w:top w:val="single" w:color="000000" w:sz="4" w:space="0"/>
              <w:left w:val="nil"/>
              <w:bottom w:val="single" w:color="000000" w:sz="4" w:space="0"/>
              <w:right w:val="single" w:color="000000" w:sz="4" w:space="0"/>
            </w:tcBorders>
            <w:noWrap w:val="0"/>
            <w:tcMar>
              <w:top w:w="12" w:type="dxa"/>
              <w:left w:w="12" w:type="dxa"/>
              <w:right w:w="12" w:type="dxa"/>
            </w:tcMar>
            <w:vAlign w:val="center"/>
          </w:tcPr>
          <w:p w14:paraId="163D3B81">
            <w:pPr>
              <w:jc w:val="left"/>
              <w:rPr>
                <w:rFonts w:hint="eastAsia" w:ascii="宋体" w:hAnsi="宋体" w:eastAsia="宋体" w:cs="宋体"/>
                <w:i w:val="0"/>
                <w:color w:val="000000"/>
                <w:sz w:val="22"/>
                <w:szCs w:val="22"/>
                <w:highlight w:val="none"/>
                <w:u w:val="none"/>
              </w:rPr>
            </w:pPr>
          </w:p>
        </w:tc>
        <w:tc>
          <w:tcPr>
            <w:tcW w:w="531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C35C86D">
            <w:pPr>
              <w:jc w:val="both"/>
              <w:rPr>
                <w:rFonts w:hint="eastAsia" w:ascii="宋体" w:hAnsi="宋体" w:eastAsia="宋体" w:cs="宋体"/>
                <w:i w:val="0"/>
                <w:color w:val="000000"/>
                <w:sz w:val="22"/>
                <w:szCs w:val="22"/>
                <w:highlight w:val="none"/>
                <w:u w:val="none"/>
              </w:rPr>
            </w:pPr>
          </w:p>
        </w:tc>
        <w:tc>
          <w:tcPr>
            <w:tcW w:w="1411" w:type="dxa"/>
            <w:vMerge w:val="continue"/>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AE3348F">
            <w:pPr>
              <w:jc w:val="center"/>
              <w:rPr>
                <w:rFonts w:hint="eastAsia" w:ascii="宋体" w:hAnsi="宋体" w:eastAsia="宋体" w:cs="宋体"/>
                <w:i w:val="0"/>
                <w:color w:val="000000"/>
                <w:sz w:val="22"/>
                <w:szCs w:val="22"/>
                <w:highlight w:val="none"/>
                <w:u w:val="none"/>
              </w:rPr>
            </w:pPr>
          </w:p>
        </w:tc>
        <w:tc>
          <w:tcPr>
            <w:tcW w:w="16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4519E27">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u w:val="none"/>
                <w:lang w:val="en-US" w:eastAsia="zh-CN" w:bidi="ar"/>
              </w:rPr>
              <w:t>尧山站#2主变</w:t>
            </w:r>
          </w:p>
        </w:tc>
        <w:tc>
          <w:tcPr>
            <w:tcW w:w="11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CBEFEA4">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2"/>
                <w:szCs w:val="22"/>
                <w:u w:val="none"/>
                <w:lang w:val="en-US" w:eastAsia="zh-CN" w:bidi="ar"/>
              </w:rPr>
              <w:t>27.4695</w:t>
            </w:r>
          </w:p>
        </w:tc>
        <w:tc>
          <w:tcPr>
            <w:tcW w:w="118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5B5A834">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2"/>
                <w:szCs w:val="22"/>
                <w:u w:val="none"/>
                <w:lang w:val="en-US" w:eastAsia="zh-CN" w:bidi="ar"/>
              </w:rPr>
              <w:t>19.84</w:t>
            </w:r>
          </w:p>
        </w:tc>
        <w:tc>
          <w:tcPr>
            <w:tcW w:w="10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9386650">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u w:val="none"/>
                <w:lang w:val="en-US" w:eastAsia="zh-CN" w:bidi="ar"/>
              </w:rPr>
              <w:t>绿色</w:t>
            </w:r>
          </w:p>
        </w:tc>
        <w:tc>
          <w:tcPr>
            <w:tcW w:w="330" w:type="dxa"/>
            <w:tcBorders>
              <w:top w:val="single" w:color="000000" w:sz="4" w:space="0"/>
              <w:left w:val="single" w:color="000000" w:sz="4" w:space="0"/>
              <w:bottom w:val="nil"/>
              <w:right w:val="single" w:color="000000" w:sz="4" w:space="0"/>
            </w:tcBorders>
            <w:noWrap/>
            <w:tcMar>
              <w:top w:w="12" w:type="dxa"/>
              <w:left w:w="12" w:type="dxa"/>
              <w:right w:w="12" w:type="dxa"/>
            </w:tcMar>
            <w:vAlign w:val="center"/>
          </w:tcPr>
          <w:p w14:paraId="2D9E000E">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w:t>
            </w:r>
          </w:p>
        </w:tc>
      </w:tr>
      <w:tr w14:paraId="6F9F7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0" w:hRule="atLeast"/>
        </w:trPr>
        <w:tc>
          <w:tcPr>
            <w:tcW w:w="403"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ADD812">
            <w:pPr>
              <w:jc w:val="center"/>
              <w:rPr>
                <w:rFonts w:hint="eastAsia" w:ascii="宋体" w:hAnsi="宋体" w:eastAsia="宋体" w:cs="宋体"/>
                <w:i w:val="0"/>
                <w:color w:val="000000"/>
                <w:sz w:val="22"/>
                <w:szCs w:val="22"/>
                <w:highlight w:val="none"/>
                <w:u w:val="none"/>
              </w:rPr>
            </w:pPr>
          </w:p>
        </w:tc>
        <w:tc>
          <w:tcPr>
            <w:tcW w:w="402"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3EFBE3">
            <w:pPr>
              <w:jc w:val="center"/>
              <w:rPr>
                <w:rFonts w:hint="eastAsia" w:ascii="宋体" w:hAnsi="宋体" w:eastAsia="宋体" w:cs="宋体"/>
                <w:i w:val="0"/>
                <w:color w:val="000000"/>
                <w:sz w:val="22"/>
                <w:szCs w:val="22"/>
                <w:highlight w:val="none"/>
                <w:u w:val="none"/>
              </w:rPr>
            </w:pPr>
          </w:p>
        </w:tc>
        <w:tc>
          <w:tcPr>
            <w:tcW w:w="1040" w:type="dxa"/>
            <w:vMerge w:val="restart"/>
            <w:tcBorders>
              <w:top w:val="single" w:color="000000" w:sz="4" w:space="0"/>
              <w:left w:val="nil"/>
              <w:bottom w:val="single" w:color="000000" w:sz="4" w:space="0"/>
              <w:right w:val="single" w:color="000000" w:sz="4" w:space="0"/>
            </w:tcBorders>
            <w:noWrap w:val="0"/>
            <w:tcMar>
              <w:top w:w="12" w:type="dxa"/>
              <w:left w:w="12" w:type="dxa"/>
              <w:right w:w="12" w:type="dxa"/>
            </w:tcMar>
            <w:vAlign w:val="center"/>
          </w:tcPr>
          <w:p w14:paraId="2B04565E">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北楼乡、</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隆尧镇、</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魏家庄镇</w:t>
            </w:r>
          </w:p>
        </w:tc>
        <w:tc>
          <w:tcPr>
            <w:tcW w:w="5317"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2F46F4">
            <w:pPr>
              <w:keepNext w:val="0"/>
              <w:keepLines w:val="0"/>
              <w:widowControl/>
              <w:suppressLineNumbers w:val="0"/>
              <w:jc w:val="both"/>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包括北楼乡（白家屯、景福、南楼东、南楼后、南楼前、南汪店、南羊、牛庄、尧张庄、重贤），隆尧镇（东张、宋村、西柏舍、西张），魏家庄镇（公子后、公子前、公子中）。</w:t>
            </w:r>
          </w:p>
        </w:tc>
        <w:tc>
          <w:tcPr>
            <w:tcW w:w="1411" w:type="dxa"/>
            <w:vMerge w:val="restar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2D264D6">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北张220千伏变电站</w:t>
            </w:r>
          </w:p>
        </w:tc>
        <w:tc>
          <w:tcPr>
            <w:tcW w:w="16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1B38049F">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u w:val="none"/>
                <w:lang w:val="en-US" w:eastAsia="zh-CN" w:bidi="ar"/>
              </w:rPr>
              <w:t>北张站#1主变</w:t>
            </w:r>
          </w:p>
        </w:tc>
        <w:tc>
          <w:tcPr>
            <w:tcW w:w="11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EA5EFC7">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 xml:space="preserve">12.65 </w:t>
            </w:r>
          </w:p>
        </w:tc>
        <w:tc>
          <w:tcPr>
            <w:tcW w:w="118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6CA4F2A">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 xml:space="preserve">8.39 </w:t>
            </w:r>
          </w:p>
        </w:tc>
        <w:tc>
          <w:tcPr>
            <w:tcW w:w="10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DEEF579">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绿色</w:t>
            </w:r>
          </w:p>
        </w:tc>
        <w:tc>
          <w:tcPr>
            <w:tcW w:w="33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7DEF516">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w:t>
            </w:r>
          </w:p>
        </w:tc>
      </w:tr>
      <w:tr w14:paraId="6770C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65" w:hRule="atLeast"/>
        </w:trPr>
        <w:tc>
          <w:tcPr>
            <w:tcW w:w="403"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C0B600A">
            <w:pPr>
              <w:jc w:val="center"/>
              <w:rPr>
                <w:rFonts w:hint="eastAsia" w:ascii="宋体" w:hAnsi="宋体" w:eastAsia="宋体" w:cs="宋体"/>
                <w:i w:val="0"/>
                <w:color w:val="000000"/>
                <w:sz w:val="22"/>
                <w:szCs w:val="22"/>
                <w:highlight w:val="none"/>
                <w:u w:val="none"/>
              </w:rPr>
            </w:pPr>
          </w:p>
        </w:tc>
        <w:tc>
          <w:tcPr>
            <w:tcW w:w="402"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1E7CF5E">
            <w:pPr>
              <w:jc w:val="center"/>
              <w:rPr>
                <w:rFonts w:hint="eastAsia" w:ascii="宋体" w:hAnsi="宋体" w:eastAsia="宋体" w:cs="宋体"/>
                <w:i w:val="0"/>
                <w:color w:val="000000"/>
                <w:sz w:val="22"/>
                <w:szCs w:val="22"/>
                <w:highlight w:val="none"/>
                <w:u w:val="none"/>
              </w:rPr>
            </w:pPr>
          </w:p>
        </w:tc>
        <w:tc>
          <w:tcPr>
            <w:tcW w:w="1040" w:type="dxa"/>
            <w:vMerge w:val="continue"/>
            <w:tcBorders>
              <w:top w:val="single" w:color="000000" w:sz="4" w:space="0"/>
              <w:left w:val="nil"/>
              <w:bottom w:val="single" w:color="000000" w:sz="4" w:space="0"/>
              <w:right w:val="single" w:color="000000" w:sz="4" w:space="0"/>
            </w:tcBorders>
            <w:noWrap w:val="0"/>
            <w:tcMar>
              <w:top w:w="12" w:type="dxa"/>
              <w:left w:w="12" w:type="dxa"/>
              <w:right w:w="12" w:type="dxa"/>
            </w:tcMar>
            <w:vAlign w:val="center"/>
          </w:tcPr>
          <w:p w14:paraId="4A09EA74">
            <w:pPr>
              <w:jc w:val="left"/>
              <w:rPr>
                <w:rFonts w:hint="eastAsia" w:ascii="宋体" w:hAnsi="宋体" w:eastAsia="宋体" w:cs="宋体"/>
                <w:i w:val="0"/>
                <w:color w:val="000000"/>
                <w:sz w:val="22"/>
                <w:szCs w:val="22"/>
                <w:highlight w:val="none"/>
                <w:u w:val="none"/>
              </w:rPr>
            </w:pPr>
          </w:p>
        </w:tc>
        <w:tc>
          <w:tcPr>
            <w:tcW w:w="531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AEE881">
            <w:pPr>
              <w:jc w:val="both"/>
              <w:rPr>
                <w:rFonts w:hint="eastAsia" w:ascii="宋体" w:hAnsi="宋体" w:eastAsia="宋体" w:cs="宋体"/>
                <w:i w:val="0"/>
                <w:color w:val="000000"/>
                <w:sz w:val="22"/>
                <w:szCs w:val="22"/>
                <w:highlight w:val="none"/>
                <w:u w:val="none"/>
              </w:rPr>
            </w:pPr>
          </w:p>
        </w:tc>
        <w:tc>
          <w:tcPr>
            <w:tcW w:w="1411" w:type="dxa"/>
            <w:vMerge w:val="continue"/>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E37FD8A">
            <w:pPr>
              <w:jc w:val="center"/>
              <w:rPr>
                <w:rFonts w:hint="eastAsia" w:ascii="宋体" w:hAnsi="宋体" w:eastAsia="宋体" w:cs="宋体"/>
                <w:i w:val="0"/>
                <w:color w:val="000000"/>
                <w:sz w:val="22"/>
                <w:szCs w:val="22"/>
                <w:highlight w:val="none"/>
                <w:u w:val="none"/>
              </w:rPr>
            </w:pPr>
          </w:p>
        </w:tc>
        <w:tc>
          <w:tcPr>
            <w:tcW w:w="16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5CC1FD7">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u w:val="none"/>
                <w:lang w:val="en-US" w:eastAsia="zh-CN" w:bidi="ar"/>
              </w:rPr>
              <w:t>北张站#2主变</w:t>
            </w:r>
          </w:p>
        </w:tc>
        <w:tc>
          <w:tcPr>
            <w:tcW w:w="11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70DE040">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2"/>
                <w:szCs w:val="22"/>
                <w:u w:val="none"/>
                <w:lang w:val="en-US" w:eastAsia="zh-CN" w:bidi="ar"/>
              </w:rPr>
              <w:t xml:space="preserve">13.10 </w:t>
            </w:r>
          </w:p>
        </w:tc>
        <w:tc>
          <w:tcPr>
            <w:tcW w:w="118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35D17A28">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2"/>
                <w:szCs w:val="22"/>
                <w:u w:val="none"/>
                <w:lang w:val="en-US" w:eastAsia="zh-CN" w:bidi="ar"/>
              </w:rPr>
              <w:t xml:space="preserve">8.84 </w:t>
            </w:r>
          </w:p>
        </w:tc>
        <w:tc>
          <w:tcPr>
            <w:tcW w:w="10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3DBEE20">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u w:val="none"/>
                <w:lang w:val="en-US" w:eastAsia="zh-CN" w:bidi="ar"/>
              </w:rPr>
              <w:t>绿色</w:t>
            </w:r>
          </w:p>
        </w:tc>
        <w:tc>
          <w:tcPr>
            <w:tcW w:w="330" w:type="dxa"/>
            <w:tcBorders>
              <w:top w:val="single" w:color="000000" w:sz="4" w:space="0"/>
              <w:left w:val="single" w:color="000000" w:sz="4" w:space="0"/>
              <w:bottom w:val="nil"/>
              <w:right w:val="single" w:color="000000" w:sz="4" w:space="0"/>
            </w:tcBorders>
            <w:noWrap/>
            <w:tcMar>
              <w:top w:w="12" w:type="dxa"/>
              <w:left w:w="12" w:type="dxa"/>
              <w:right w:w="12" w:type="dxa"/>
            </w:tcMar>
            <w:vAlign w:val="center"/>
          </w:tcPr>
          <w:p w14:paraId="0E0BEDA8">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w:t>
            </w:r>
          </w:p>
        </w:tc>
      </w:tr>
      <w:tr w14:paraId="3C803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2" w:hRule="atLeast"/>
        </w:trPr>
        <w:tc>
          <w:tcPr>
            <w:tcW w:w="403"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31149D">
            <w:pPr>
              <w:jc w:val="center"/>
              <w:rPr>
                <w:rFonts w:hint="eastAsia" w:ascii="宋体" w:hAnsi="宋体" w:eastAsia="宋体" w:cs="宋体"/>
                <w:i w:val="0"/>
                <w:color w:val="000000"/>
                <w:sz w:val="22"/>
                <w:szCs w:val="22"/>
                <w:highlight w:val="none"/>
                <w:u w:val="none"/>
              </w:rPr>
            </w:pPr>
          </w:p>
        </w:tc>
        <w:tc>
          <w:tcPr>
            <w:tcW w:w="402"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7F86F9">
            <w:pPr>
              <w:jc w:val="center"/>
              <w:rPr>
                <w:rFonts w:hint="eastAsia" w:ascii="宋体" w:hAnsi="宋体" w:eastAsia="宋体" w:cs="宋体"/>
                <w:i w:val="0"/>
                <w:color w:val="000000"/>
                <w:sz w:val="22"/>
                <w:szCs w:val="22"/>
                <w:highlight w:val="none"/>
                <w:u w:val="none"/>
              </w:rPr>
            </w:pPr>
          </w:p>
        </w:tc>
        <w:tc>
          <w:tcPr>
            <w:tcW w:w="1040"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C16DF8">
            <w:pPr>
              <w:keepNext w:val="0"/>
              <w:keepLines w:val="0"/>
              <w:widowControl/>
              <w:suppressLineNumbers w:val="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尹村镇</w:t>
            </w:r>
          </w:p>
        </w:tc>
        <w:tc>
          <w:tcPr>
            <w:tcW w:w="5317"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08EFFF">
            <w:pPr>
              <w:keepNext w:val="0"/>
              <w:keepLines w:val="0"/>
              <w:widowControl/>
              <w:suppressLineNumbers w:val="0"/>
              <w:jc w:val="both"/>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包括尹村镇（西尹、东尹）。</w:t>
            </w:r>
          </w:p>
        </w:tc>
        <w:tc>
          <w:tcPr>
            <w:tcW w:w="1411" w:type="dxa"/>
            <w:vMerge w:val="restar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9CC12C2">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临泉220千伏变电站</w:t>
            </w:r>
          </w:p>
        </w:tc>
        <w:tc>
          <w:tcPr>
            <w:tcW w:w="16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FCF7C73">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u w:val="none"/>
                <w:lang w:val="en-US" w:eastAsia="zh-CN" w:bidi="ar"/>
              </w:rPr>
              <w:t>临泉站#2主变</w:t>
            </w:r>
          </w:p>
        </w:tc>
        <w:tc>
          <w:tcPr>
            <w:tcW w:w="11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2DFAA26">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 xml:space="preserve">0.78 </w:t>
            </w:r>
          </w:p>
        </w:tc>
        <w:tc>
          <w:tcPr>
            <w:tcW w:w="118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D4B4E52">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 xml:space="preserve">0.78 </w:t>
            </w:r>
          </w:p>
        </w:tc>
        <w:tc>
          <w:tcPr>
            <w:tcW w:w="10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29B19BA">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绿色</w:t>
            </w:r>
          </w:p>
        </w:tc>
        <w:tc>
          <w:tcPr>
            <w:tcW w:w="33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58DC1BC4">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w:t>
            </w:r>
          </w:p>
        </w:tc>
      </w:tr>
      <w:tr w14:paraId="71BA7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7" w:hRule="atLeast"/>
        </w:trPr>
        <w:tc>
          <w:tcPr>
            <w:tcW w:w="403"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9718A9">
            <w:pPr>
              <w:jc w:val="center"/>
              <w:rPr>
                <w:rFonts w:hint="eastAsia" w:ascii="宋体" w:hAnsi="宋体" w:eastAsia="宋体" w:cs="宋体"/>
                <w:i w:val="0"/>
                <w:color w:val="000000"/>
                <w:sz w:val="22"/>
                <w:szCs w:val="22"/>
                <w:highlight w:val="none"/>
                <w:u w:val="none"/>
              </w:rPr>
            </w:pPr>
          </w:p>
        </w:tc>
        <w:tc>
          <w:tcPr>
            <w:tcW w:w="402"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4628548">
            <w:pPr>
              <w:jc w:val="center"/>
              <w:rPr>
                <w:rFonts w:hint="eastAsia" w:ascii="宋体" w:hAnsi="宋体" w:eastAsia="宋体" w:cs="宋体"/>
                <w:i w:val="0"/>
                <w:color w:val="000000"/>
                <w:sz w:val="22"/>
                <w:szCs w:val="22"/>
                <w:highlight w:val="none"/>
                <w:u w:val="none"/>
              </w:rPr>
            </w:pPr>
          </w:p>
        </w:tc>
        <w:tc>
          <w:tcPr>
            <w:tcW w:w="1040"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7717E9">
            <w:pPr>
              <w:jc w:val="center"/>
              <w:rPr>
                <w:rFonts w:hint="eastAsia" w:ascii="宋体" w:hAnsi="宋体" w:eastAsia="宋体" w:cs="宋体"/>
                <w:i w:val="0"/>
                <w:color w:val="000000"/>
                <w:sz w:val="22"/>
                <w:szCs w:val="22"/>
                <w:highlight w:val="none"/>
                <w:u w:val="none"/>
              </w:rPr>
            </w:pPr>
          </w:p>
        </w:tc>
        <w:tc>
          <w:tcPr>
            <w:tcW w:w="5317"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5237DD">
            <w:pPr>
              <w:jc w:val="both"/>
              <w:rPr>
                <w:rFonts w:hint="eastAsia" w:ascii="宋体" w:hAnsi="宋体" w:eastAsia="宋体" w:cs="宋体"/>
                <w:i w:val="0"/>
                <w:color w:val="000000"/>
                <w:sz w:val="22"/>
                <w:szCs w:val="22"/>
                <w:highlight w:val="none"/>
                <w:u w:val="none"/>
              </w:rPr>
            </w:pPr>
          </w:p>
        </w:tc>
        <w:tc>
          <w:tcPr>
            <w:tcW w:w="1411" w:type="dxa"/>
            <w:vMerge w:val="continue"/>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D351A43">
            <w:pPr>
              <w:jc w:val="center"/>
              <w:rPr>
                <w:rFonts w:hint="eastAsia" w:ascii="宋体" w:hAnsi="宋体" w:eastAsia="宋体" w:cs="宋体"/>
                <w:i w:val="0"/>
                <w:color w:val="000000"/>
                <w:sz w:val="22"/>
                <w:szCs w:val="22"/>
                <w:highlight w:val="none"/>
                <w:u w:val="none"/>
              </w:rPr>
            </w:pPr>
          </w:p>
        </w:tc>
        <w:tc>
          <w:tcPr>
            <w:tcW w:w="164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7469A656">
            <w:pPr>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u w:val="none"/>
                <w:lang w:val="en-US" w:eastAsia="zh-CN" w:bidi="ar"/>
              </w:rPr>
              <w:t>临泉站#3主变</w:t>
            </w:r>
          </w:p>
        </w:tc>
        <w:tc>
          <w:tcPr>
            <w:tcW w:w="1173"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491C4FF5">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 xml:space="preserve">0.78 </w:t>
            </w:r>
          </w:p>
        </w:tc>
        <w:tc>
          <w:tcPr>
            <w:tcW w:w="1188"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01C5A9D3">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 xml:space="preserve">0.78 </w:t>
            </w:r>
          </w:p>
        </w:tc>
        <w:tc>
          <w:tcPr>
            <w:tcW w:w="107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64E95901">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u w:val="none"/>
                <w:lang w:val="en-US" w:eastAsia="zh-CN" w:bidi="ar"/>
              </w:rPr>
              <w:t>绿色</w:t>
            </w:r>
          </w:p>
        </w:tc>
        <w:tc>
          <w:tcPr>
            <w:tcW w:w="330"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14:paraId="2332CCC7">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w:t>
            </w:r>
          </w:p>
        </w:tc>
      </w:tr>
      <w:tr w14:paraId="1F21F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41" w:hRule="atLeast"/>
        </w:trPr>
        <w:tc>
          <w:tcPr>
            <w:tcW w:w="13982" w:type="dxa"/>
            <w:gridSpan w:val="10"/>
            <w:tcBorders>
              <w:top w:val="nil"/>
              <w:left w:val="nil"/>
              <w:bottom w:val="nil"/>
              <w:right w:val="nil"/>
            </w:tcBorders>
            <w:noWrap w:val="0"/>
            <w:tcMar>
              <w:top w:w="12" w:type="dxa"/>
              <w:left w:w="12" w:type="dxa"/>
              <w:right w:w="12" w:type="dxa"/>
            </w:tcMar>
            <w:vAlign w:val="center"/>
          </w:tcPr>
          <w:p w14:paraId="30D7E840">
            <w:pPr>
              <w:keepNext w:val="0"/>
              <w:keepLines w:val="0"/>
              <w:pageBreakBefore w:val="0"/>
              <w:widowControl/>
              <w:suppressLineNumbers w:val="0"/>
              <w:kinsoku/>
              <w:wordWrap/>
              <w:overflowPunct/>
              <w:topLinePunct w:val="0"/>
              <w:autoSpaceDE/>
              <w:autoSpaceDN/>
              <w:bidi w:val="0"/>
              <w:adjustRightInd/>
              <w:snapToGrid/>
              <w:ind w:firstLine="440" w:firstLineChars="200"/>
              <w:jc w:val="left"/>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1.按照《分布式电源接入电力系统承载力评估导则（DL/T 2041-2025）》，可开放并网容量指评估时刻（本季度为2026年10月1日），除已并网的分布式电源外，电力系统可新增并网接入的分布式电源装机规模。</w:t>
            </w:r>
          </w:p>
          <w:p w14:paraId="63A05AB1">
            <w:pPr>
              <w:keepNext w:val="0"/>
              <w:keepLines w:val="0"/>
              <w:pageBreakBefore w:val="0"/>
              <w:widowControl/>
              <w:suppressLineNumbers w:val="0"/>
              <w:kinsoku/>
              <w:wordWrap/>
              <w:overflowPunct/>
              <w:topLinePunct w:val="0"/>
              <w:autoSpaceDE/>
              <w:autoSpaceDN/>
              <w:bidi w:val="0"/>
              <w:adjustRightInd/>
              <w:snapToGrid/>
              <w:ind w:firstLine="440" w:firstLineChars="200"/>
              <w:jc w:val="left"/>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 xml:space="preserve">2.因暂无渠道获取准确的已备案分布式电源项目数据，暂不开展可开放备案容量测算，评估等级按照考虑在途项目后县域可开放容量评估。 </w:t>
            </w:r>
          </w:p>
          <w:p w14:paraId="05A2816D">
            <w:pPr>
              <w:keepNext w:val="0"/>
              <w:keepLines w:val="0"/>
              <w:pageBreakBefore w:val="0"/>
              <w:widowControl/>
              <w:suppressLineNumbers w:val="0"/>
              <w:kinsoku/>
              <w:wordWrap/>
              <w:overflowPunct/>
              <w:topLinePunct w:val="0"/>
              <w:autoSpaceDE/>
              <w:autoSpaceDN/>
              <w:bidi w:val="0"/>
              <w:adjustRightInd/>
              <w:snapToGrid/>
              <w:ind w:firstLine="440" w:firstLineChars="200"/>
              <w:jc w:val="left"/>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3.考虑在途项目后可开放容量，指评估时刻（本季度为2026年10月1日）除已并网及已受理但尚未并网的分布式电源外，电力系统可新增受理的分布式电源装机规模。</w:t>
            </w:r>
          </w:p>
          <w:p w14:paraId="414D0913">
            <w:pPr>
              <w:keepNext w:val="0"/>
              <w:keepLines w:val="0"/>
              <w:pageBreakBefore w:val="0"/>
              <w:widowControl/>
              <w:suppressLineNumbers w:val="0"/>
              <w:kinsoku/>
              <w:wordWrap/>
              <w:overflowPunct/>
              <w:topLinePunct w:val="0"/>
              <w:autoSpaceDE/>
              <w:autoSpaceDN/>
              <w:bidi w:val="0"/>
              <w:adjustRightInd/>
              <w:snapToGrid/>
              <w:ind w:firstLine="440" w:firstLineChars="200"/>
              <w:jc w:val="left"/>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4.110千伏及以下主配变可开放容量请至所在辖区供电所或营业厅咨询。</w:t>
            </w:r>
          </w:p>
          <w:p w14:paraId="5A914FF5">
            <w:pPr>
              <w:keepNext w:val="0"/>
              <w:keepLines w:val="0"/>
              <w:pageBreakBefore w:val="0"/>
              <w:widowControl/>
              <w:suppressLineNumbers w:val="0"/>
              <w:kinsoku/>
              <w:wordWrap/>
              <w:overflowPunct/>
              <w:topLinePunct w:val="0"/>
              <w:autoSpaceDE/>
              <w:autoSpaceDN/>
              <w:bidi w:val="0"/>
              <w:adjustRightInd/>
              <w:snapToGrid/>
              <w:ind w:firstLine="440" w:firstLineChars="200"/>
              <w:jc w:val="left"/>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5.可开放容量约束遵循下级服从上级的原则，本县所有220千伏主变供电区域新增的分布式电源并网容量总和不应超过本县考虑在途项目后的县域可开放容量。</w:t>
            </w:r>
          </w:p>
        </w:tc>
      </w:tr>
    </w:tbl>
    <w:p w14:paraId="06A87F4D">
      <w:pPr>
        <w:ind w:firstLine="4312" w:firstLineChars="1400"/>
        <w:jc w:val="center"/>
        <w:rPr>
          <w:color w:val="auto"/>
          <w:highlight w:val="none"/>
        </w:rPr>
      </w:pPr>
      <w:r>
        <w:rPr>
          <w:rFonts w:hint="eastAsia" w:ascii="方正仿宋_GBK" w:hAnsi="方正仿宋_GBK" w:eastAsia="方正仿宋_GBK" w:cs="方正仿宋_GBK"/>
          <w:bCs/>
          <w:color w:val="auto"/>
          <w:spacing w:val="-6"/>
          <w:sz w:val="32"/>
          <w:szCs w:val="32"/>
          <w:highlight w:val="none"/>
          <w:lang w:val="en-US" w:eastAsia="zh-CN"/>
        </w:rPr>
        <w:t xml:space="preserve">        </w:t>
      </w:r>
    </w:p>
    <w:sectPr>
      <w:type w:val="continuous"/>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237F7"/>
    <w:rsid w:val="011824C8"/>
    <w:rsid w:val="01292073"/>
    <w:rsid w:val="02106E55"/>
    <w:rsid w:val="02FA2299"/>
    <w:rsid w:val="0329135B"/>
    <w:rsid w:val="03AE5C85"/>
    <w:rsid w:val="03C36FA8"/>
    <w:rsid w:val="046C5548"/>
    <w:rsid w:val="048331E5"/>
    <w:rsid w:val="04A80A08"/>
    <w:rsid w:val="05D10AB7"/>
    <w:rsid w:val="05DD3E95"/>
    <w:rsid w:val="062F5934"/>
    <w:rsid w:val="083A618D"/>
    <w:rsid w:val="08605F8A"/>
    <w:rsid w:val="08E539EE"/>
    <w:rsid w:val="09020373"/>
    <w:rsid w:val="09C2350D"/>
    <w:rsid w:val="0A7960B1"/>
    <w:rsid w:val="0B173142"/>
    <w:rsid w:val="0BC00D82"/>
    <w:rsid w:val="0BD07010"/>
    <w:rsid w:val="0BF75DA4"/>
    <w:rsid w:val="0C3B393E"/>
    <w:rsid w:val="0C524218"/>
    <w:rsid w:val="0C7E3C9B"/>
    <w:rsid w:val="0D412961"/>
    <w:rsid w:val="0D857F54"/>
    <w:rsid w:val="0DE44A0C"/>
    <w:rsid w:val="0DEB1CCA"/>
    <w:rsid w:val="0E5B7070"/>
    <w:rsid w:val="0E746EEA"/>
    <w:rsid w:val="0E9721E1"/>
    <w:rsid w:val="0EC348CE"/>
    <w:rsid w:val="0F585F90"/>
    <w:rsid w:val="0F7C7EFC"/>
    <w:rsid w:val="0FC25ACF"/>
    <w:rsid w:val="103A3D6B"/>
    <w:rsid w:val="10DF5D73"/>
    <w:rsid w:val="10FC3CEC"/>
    <w:rsid w:val="11214A29"/>
    <w:rsid w:val="11586564"/>
    <w:rsid w:val="11954B40"/>
    <w:rsid w:val="12291A4D"/>
    <w:rsid w:val="12413A02"/>
    <w:rsid w:val="12493B99"/>
    <w:rsid w:val="12D93553"/>
    <w:rsid w:val="13AC5B9F"/>
    <w:rsid w:val="13E61333"/>
    <w:rsid w:val="15817460"/>
    <w:rsid w:val="16087536"/>
    <w:rsid w:val="16E8716B"/>
    <w:rsid w:val="176F618F"/>
    <w:rsid w:val="187349D4"/>
    <w:rsid w:val="1A505152"/>
    <w:rsid w:val="1B111640"/>
    <w:rsid w:val="1BE64AD8"/>
    <w:rsid w:val="1C1D12D6"/>
    <w:rsid w:val="1CF71928"/>
    <w:rsid w:val="1D606AF6"/>
    <w:rsid w:val="1DE9352B"/>
    <w:rsid w:val="1E212971"/>
    <w:rsid w:val="1F95192E"/>
    <w:rsid w:val="1FCE7DDD"/>
    <w:rsid w:val="208D40C1"/>
    <w:rsid w:val="20E22813"/>
    <w:rsid w:val="211F29BE"/>
    <w:rsid w:val="22034AFE"/>
    <w:rsid w:val="225D2224"/>
    <w:rsid w:val="22FD1704"/>
    <w:rsid w:val="23292355"/>
    <w:rsid w:val="23E25F05"/>
    <w:rsid w:val="24696BA8"/>
    <w:rsid w:val="24E97050"/>
    <w:rsid w:val="255155FF"/>
    <w:rsid w:val="264D35AA"/>
    <w:rsid w:val="269E712C"/>
    <w:rsid w:val="26C31FAC"/>
    <w:rsid w:val="27751EBA"/>
    <w:rsid w:val="27D54DB9"/>
    <w:rsid w:val="28050601"/>
    <w:rsid w:val="28664FC0"/>
    <w:rsid w:val="29940E8C"/>
    <w:rsid w:val="2A030B52"/>
    <w:rsid w:val="2A4A0890"/>
    <w:rsid w:val="2A4F56D1"/>
    <w:rsid w:val="2A7E0A8A"/>
    <w:rsid w:val="2ACA3361"/>
    <w:rsid w:val="2AD00878"/>
    <w:rsid w:val="2B93064B"/>
    <w:rsid w:val="2C660547"/>
    <w:rsid w:val="2C8864C2"/>
    <w:rsid w:val="2D021756"/>
    <w:rsid w:val="2E74471C"/>
    <w:rsid w:val="2E991590"/>
    <w:rsid w:val="2EE36012"/>
    <w:rsid w:val="2F1A5F06"/>
    <w:rsid w:val="311B5020"/>
    <w:rsid w:val="314B42AB"/>
    <w:rsid w:val="322F79A2"/>
    <w:rsid w:val="325434EB"/>
    <w:rsid w:val="325662A3"/>
    <w:rsid w:val="33634EB5"/>
    <w:rsid w:val="337E1BA8"/>
    <w:rsid w:val="34211065"/>
    <w:rsid w:val="34287878"/>
    <w:rsid w:val="34616FBB"/>
    <w:rsid w:val="348C2709"/>
    <w:rsid w:val="3538508A"/>
    <w:rsid w:val="355D7AAC"/>
    <w:rsid w:val="35F217AA"/>
    <w:rsid w:val="36A21CEC"/>
    <w:rsid w:val="36E74215"/>
    <w:rsid w:val="376021D3"/>
    <w:rsid w:val="376E43F8"/>
    <w:rsid w:val="3783090C"/>
    <w:rsid w:val="37A1503C"/>
    <w:rsid w:val="38112E6C"/>
    <w:rsid w:val="3885440F"/>
    <w:rsid w:val="3C480D77"/>
    <w:rsid w:val="3CA93B6B"/>
    <w:rsid w:val="3CAB0E8C"/>
    <w:rsid w:val="3DAD4CFD"/>
    <w:rsid w:val="3DFF3002"/>
    <w:rsid w:val="3E38561B"/>
    <w:rsid w:val="3F100F23"/>
    <w:rsid w:val="3F4E20AD"/>
    <w:rsid w:val="3F7F2668"/>
    <w:rsid w:val="3FA87C4D"/>
    <w:rsid w:val="3FD709B1"/>
    <w:rsid w:val="4042346E"/>
    <w:rsid w:val="406C7118"/>
    <w:rsid w:val="40A603CA"/>
    <w:rsid w:val="40F85396"/>
    <w:rsid w:val="411A5044"/>
    <w:rsid w:val="412B1CE5"/>
    <w:rsid w:val="419C7719"/>
    <w:rsid w:val="4249548F"/>
    <w:rsid w:val="43E94592"/>
    <w:rsid w:val="44236E43"/>
    <w:rsid w:val="45820B4A"/>
    <w:rsid w:val="458E33A4"/>
    <w:rsid w:val="45B474CB"/>
    <w:rsid w:val="46465567"/>
    <w:rsid w:val="46524306"/>
    <w:rsid w:val="4736543B"/>
    <w:rsid w:val="479308BB"/>
    <w:rsid w:val="4835030E"/>
    <w:rsid w:val="49314241"/>
    <w:rsid w:val="494E0EEE"/>
    <w:rsid w:val="495110D6"/>
    <w:rsid w:val="4A4C0DC6"/>
    <w:rsid w:val="4BB84611"/>
    <w:rsid w:val="4BBB425C"/>
    <w:rsid w:val="4BE9269F"/>
    <w:rsid w:val="4C1240CB"/>
    <w:rsid w:val="4D305F70"/>
    <w:rsid w:val="4D463B39"/>
    <w:rsid w:val="4D6249F2"/>
    <w:rsid w:val="4D676A3C"/>
    <w:rsid w:val="4DD014C4"/>
    <w:rsid w:val="4DD860C1"/>
    <w:rsid w:val="4E1A283D"/>
    <w:rsid w:val="4E365EDA"/>
    <w:rsid w:val="4EB71FC4"/>
    <w:rsid w:val="4EF40F72"/>
    <w:rsid w:val="4F20674D"/>
    <w:rsid w:val="4F3E7DEC"/>
    <w:rsid w:val="50421A18"/>
    <w:rsid w:val="5057162D"/>
    <w:rsid w:val="505939F9"/>
    <w:rsid w:val="50801538"/>
    <w:rsid w:val="511A29F4"/>
    <w:rsid w:val="51486233"/>
    <w:rsid w:val="514D7E76"/>
    <w:rsid w:val="519F3DDF"/>
    <w:rsid w:val="52484A38"/>
    <w:rsid w:val="52826F47"/>
    <w:rsid w:val="529F7F7B"/>
    <w:rsid w:val="52D61395"/>
    <w:rsid w:val="53A255EB"/>
    <w:rsid w:val="53FD1485"/>
    <w:rsid w:val="54FE7A4C"/>
    <w:rsid w:val="55123775"/>
    <w:rsid w:val="556B77C3"/>
    <w:rsid w:val="557D0FA8"/>
    <w:rsid w:val="55E773FA"/>
    <w:rsid w:val="56046BBD"/>
    <w:rsid w:val="562734B1"/>
    <w:rsid w:val="562E602A"/>
    <w:rsid w:val="574267B5"/>
    <w:rsid w:val="58FC7A01"/>
    <w:rsid w:val="59711A3B"/>
    <w:rsid w:val="59711AFC"/>
    <w:rsid w:val="59CC32A5"/>
    <w:rsid w:val="59FA7BDF"/>
    <w:rsid w:val="5A2C795B"/>
    <w:rsid w:val="5A836E5B"/>
    <w:rsid w:val="5B5C58EA"/>
    <w:rsid w:val="5BD10C67"/>
    <w:rsid w:val="5C306A99"/>
    <w:rsid w:val="5CFB0D8F"/>
    <w:rsid w:val="5CFE4C9E"/>
    <w:rsid w:val="5D22618B"/>
    <w:rsid w:val="5D282CD7"/>
    <w:rsid w:val="5D2B0A61"/>
    <w:rsid w:val="5D4051AE"/>
    <w:rsid w:val="5EFD6DFC"/>
    <w:rsid w:val="5F355A3D"/>
    <w:rsid w:val="6027478F"/>
    <w:rsid w:val="60CE5FB2"/>
    <w:rsid w:val="60E4377B"/>
    <w:rsid w:val="60FE1EDF"/>
    <w:rsid w:val="611E3835"/>
    <w:rsid w:val="61355962"/>
    <w:rsid w:val="616A242C"/>
    <w:rsid w:val="61AC3C0D"/>
    <w:rsid w:val="61FB2AC6"/>
    <w:rsid w:val="62477C0D"/>
    <w:rsid w:val="62606D1B"/>
    <w:rsid w:val="62F06A30"/>
    <w:rsid w:val="639D02B9"/>
    <w:rsid w:val="63DB1CF7"/>
    <w:rsid w:val="642B591B"/>
    <w:rsid w:val="643A058F"/>
    <w:rsid w:val="64AD2ED1"/>
    <w:rsid w:val="64FE7025"/>
    <w:rsid w:val="65254812"/>
    <w:rsid w:val="65D43F53"/>
    <w:rsid w:val="65DA24BA"/>
    <w:rsid w:val="65F02544"/>
    <w:rsid w:val="673539FB"/>
    <w:rsid w:val="67AD6291"/>
    <w:rsid w:val="67E456BF"/>
    <w:rsid w:val="6A3E2239"/>
    <w:rsid w:val="6A967843"/>
    <w:rsid w:val="6AFF06C2"/>
    <w:rsid w:val="6B6A05F8"/>
    <w:rsid w:val="6B7A0254"/>
    <w:rsid w:val="6CF7593A"/>
    <w:rsid w:val="6DAE2423"/>
    <w:rsid w:val="6DE56C9C"/>
    <w:rsid w:val="6E882E8C"/>
    <w:rsid w:val="6FAB294E"/>
    <w:rsid w:val="6FCE7D0B"/>
    <w:rsid w:val="702D72D3"/>
    <w:rsid w:val="71A03665"/>
    <w:rsid w:val="71A154B5"/>
    <w:rsid w:val="720707C9"/>
    <w:rsid w:val="724B1585"/>
    <w:rsid w:val="726E356E"/>
    <w:rsid w:val="73A24B27"/>
    <w:rsid w:val="73FD235A"/>
    <w:rsid w:val="74E31515"/>
    <w:rsid w:val="75247FFA"/>
    <w:rsid w:val="75BB67CA"/>
    <w:rsid w:val="75EF1F0A"/>
    <w:rsid w:val="767B78AC"/>
    <w:rsid w:val="773E141D"/>
    <w:rsid w:val="7773464A"/>
    <w:rsid w:val="791F2967"/>
    <w:rsid w:val="79A75625"/>
    <w:rsid w:val="79F97C26"/>
    <w:rsid w:val="79FE5FC8"/>
    <w:rsid w:val="7AA54865"/>
    <w:rsid w:val="7B8778FC"/>
    <w:rsid w:val="7DED76AC"/>
    <w:rsid w:val="7E1B34AB"/>
    <w:rsid w:val="7E60734D"/>
    <w:rsid w:val="7EB21F48"/>
    <w:rsid w:val="7EDA4C94"/>
    <w:rsid w:val="7FA01DB9"/>
    <w:rsid w:val="7FC247B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FollowedHyperlink"/>
    <w:basedOn w:val="3"/>
    <w:qFormat/>
    <w:uiPriority w:val="0"/>
    <w:rPr>
      <w:color w:val="0000FF"/>
      <w:u w:val="none"/>
    </w:rPr>
  </w:style>
  <w:style w:type="character" w:styleId="5">
    <w:name w:val="Hyperlink"/>
    <w:basedOn w:val="3"/>
    <w:qFormat/>
    <w:uiPriority w:val="0"/>
    <w:rPr>
      <w:color w:val="0000FF"/>
      <w:u w:val="none"/>
    </w:rPr>
  </w:style>
  <w:style w:type="character" w:customStyle="1" w:styleId="6">
    <w:name w:val="jsfw_window_title"/>
    <w:basedOn w:val="3"/>
    <w:qFormat/>
    <w:uiPriority w:val="0"/>
    <w:rPr>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2772</Words>
  <Characters>3008</Characters>
  <Lines>0</Lines>
  <Paragraphs>0</Paragraphs>
  <TotalTime>8</TotalTime>
  <ScaleCrop>false</ScaleCrop>
  <LinksUpToDate>false</LinksUpToDate>
  <CharactersWithSpaces>3074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隆尧县供电公司</dc:creator>
  <cp:lastModifiedBy>微信用户</cp:lastModifiedBy>
  <cp:lastPrinted>2026-10-20T07:15:00Z</cp:lastPrinted>
  <dcterms:modified xsi:type="dcterms:W3CDTF">2026-10-27T02:46:59Z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3B24A472D20F4C748E4BEF038689EBAF_13</vt:lpwstr>
  </property>
  <property fmtid="{D5CDD505-2E9C-101B-9397-08002B2CF9AE}" pid="4" name="KSOTemplateDocerSaveRecord">
    <vt:lpwstr>eyJoZGlkIjoiNGY3OThjZjJiMmUzMTQ0ZmFiZDg4MTgxMTNiYmY1NzAiLCJ1c2VySWQiOiIxODI1OTg5Njg5In0=</vt:lpwstr>
  </property>
</Properties>
</file>