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0E2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ascii="仿宋_GB2312" w:hAnsi="仿宋_GB2312" w:eastAsia="仿宋_GB2312" w:cs="仿宋_GB2312"/>
          <w:color w:val="000000"/>
          <w:sz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</w:rPr>
        <w:t>附件5：</w:t>
      </w:r>
    </w:p>
    <w:p w14:paraId="1B8DBE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199"/>
        <w:rPr>
          <w:rFonts w:ascii="仿宋_GB2312" w:hAnsi="仿宋_GB2312" w:eastAsia="仿宋_GB2312" w:cs="仿宋_GB2312"/>
          <w:b/>
          <w:bCs/>
          <w:spacing w:val="-20"/>
          <w:sz w:val="40"/>
          <w:szCs w:val="48"/>
        </w:rPr>
      </w:pPr>
    </w:p>
    <w:p w14:paraId="53D9F2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199"/>
        <w:jc w:val="center"/>
        <w:rPr>
          <w:rFonts w:hint="eastAsia" w:ascii="仿宋_GB2312" w:hAnsi="仿宋_GB2312" w:eastAsia="仿宋_GB2312" w:cs="仿宋_GB2312"/>
          <w:b/>
          <w:bCs/>
          <w:spacing w:val="-20"/>
          <w:sz w:val="40"/>
          <w:szCs w:val="4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0"/>
          <w:sz w:val="40"/>
          <w:szCs w:val="48"/>
          <w:lang w:val="en-US" w:eastAsia="zh-CN"/>
        </w:rPr>
        <w:t>共青团隆尧县委</w:t>
      </w:r>
    </w:p>
    <w:p w14:paraId="3740F3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99" w:firstLineChars="199"/>
        <w:jc w:val="center"/>
        <w:rPr>
          <w:rFonts w:hint="eastAsia" w:ascii="仿宋_GB2312" w:hAnsi="仿宋_GB2312" w:eastAsia="仿宋_GB2312" w:cs="仿宋_GB2312"/>
          <w:b/>
          <w:bCs/>
          <w:sz w:val="40"/>
          <w:szCs w:val="48"/>
        </w:rPr>
      </w:pPr>
      <w:r>
        <w:rPr>
          <w:rFonts w:hint="eastAsia" w:ascii="仿宋_GB2312" w:hAnsi="仿宋_GB2312" w:eastAsia="仿宋_GB2312" w:cs="仿宋_GB2312"/>
          <w:b/>
          <w:bCs/>
          <w:sz w:val="40"/>
          <w:szCs w:val="48"/>
          <w:lang w:val="en-US" w:eastAsia="zh-CN"/>
        </w:rPr>
        <w:t>预防未成年人违法犯罪</w:t>
      </w:r>
      <w:r>
        <w:rPr>
          <w:rFonts w:hint="eastAsia" w:ascii="仿宋_GB2312" w:hAnsi="仿宋_GB2312" w:eastAsia="仿宋_GB2312" w:cs="仿宋_GB2312"/>
          <w:b/>
          <w:bCs/>
          <w:sz w:val="40"/>
          <w:szCs w:val="48"/>
        </w:rPr>
        <w:t>项目重点自评</w:t>
      </w:r>
    </w:p>
    <w:p w14:paraId="299AF4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99" w:firstLineChars="199"/>
        <w:jc w:val="center"/>
        <w:rPr>
          <w:rFonts w:ascii="仿宋_GB2312" w:hAnsi="仿宋_GB2312" w:eastAsia="仿宋_GB2312" w:cs="仿宋_GB2312"/>
          <w:b/>
          <w:bCs/>
          <w:sz w:val="40"/>
          <w:szCs w:val="48"/>
        </w:rPr>
      </w:pPr>
      <w:r>
        <w:rPr>
          <w:rFonts w:hint="eastAsia" w:ascii="仿宋_GB2312" w:hAnsi="仿宋_GB2312" w:eastAsia="仿宋_GB2312" w:cs="仿宋_GB2312"/>
          <w:b/>
          <w:bCs/>
          <w:sz w:val="40"/>
          <w:szCs w:val="48"/>
        </w:rPr>
        <w:t>绩效报告</w:t>
      </w:r>
    </w:p>
    <w:p w14:paraId="1241A1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</w:t>
      </w:r>
    </w:p>
    <w:p w14:paraId="2AAB89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ascii="仿宋_GB2312" w:hAnsi="仿宋_GB2312" w:eastAsia="仿宋_GB2312" w:cs="仿宋_GB2312"/>
        </w:rPr>
      </w:pPr>
    </w:p>
    <w:p w14:paraId="09FF96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ascii="仿宋_GB2312" w:hAnsi="仿宋_GB2312" w:eastAsia="仿宋_GB2312" w:cs="仿宋_GB2312"/>
        </w:rPr>
      </w:pPr>
    </w:p>
    <w:p w14:paraId="542512E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</w:pPr>
    </w:p>
    <w:p w14:paraId="2D5C89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</w:pPr>
    </w:p>
    <w:p w14:paraId="427A6E4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/>
      </w:pPr>
    </w:p>
    <w:p w14:paraId="467594BD"/>
    <w:p w14:paraId="770D3646">
      <w:pPr>
        <w:pStyle w:val="2"/>
      </w:pPr>
    </w:p>
    <w:p w14:paraId="2E85799D"/>
    <w:p w14:paraId="2B882EB1">
      <w:pPr>
        <w:pStyle w:val="2"/>
      </w:pPr>
    </w:p>
    <w:p w14:paraId="7BFCC0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ascii="仿宋_GB2312" w:hAnsi="仿宋_GB2312" w:eastAsia="仿宋_GB2312" w:cs="仿宋_GB2312"/>
          <w:spacing w:val="-20"/>
          <w:sz w:val="28"/>
          <w:szCs w:val="28"/>
          <w:u w:val="single"/>
        </w:rPr>
      </w:pPr>
      <w:bookmarkStart w:id="0" w:name="_Toc5909_WPSOffice_Level1"/>
      <w:bookmarkStart w:id="1" w:name="_Toc7470_WPSOffice_Level1"/>
      <w:r>
        <w:rPr>
          <w:rFonts w:hint="eastAsia" w:ascii="仿宋_GB2312" w:hAnsi="仿宋_GB2312" w:eastAsia="仿宋_GB2312" w:cs="仿宋_GB2312"/>
          <w:spacing w:val="11"/>
          <w:sz w:val="28"/>
          <w:szCs w:val="28"/>
        </w:rPr>
        <w:t>项 目 名 称：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>预防青少年违法犯罪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 xml:space="preserve">项目  </w:t>
      </w:r>
    </w:p>
    <w:p w14:paraId="28F754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仿宋_GB2312" w:hAnsi="仿宋_GB2312" w:eastAsia="仿宋_GB2312" w:cs="仿宋_GB2312"/>
          <w:sz w:val="28"/>
          <w:szCs w:val="28"/>
          <w:u w:val="single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项目实施单位：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共青团隆尧县委           </w:t>
      </w:r>
    </w:p>
    <w:p w14:paraId="6F46F9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8"/>
          <w:sz w:val="28"/>
          <w:szCs w:val="28"/>
        </w:rPr>
        <w:t>项目总金额：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>万元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1FBA5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1"/>
          <w:sz w:val="28"/>
          <w:szCs w:val="28"/>
        </w:rPr>
        <w:t>评 价 年 度：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2022年度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</w:p>
    <w:p w14:paraId="02C552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pacing w:val="28"/>
          <w:sz w:val="28"/>
          <w:szCs w:val="28"/>
        </w:rPr>
        <w:t>评价组组长：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</w:p>
    <w:p w14:paraId="356F7E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</w:pPr>
      <w:r>
        <w:rPr>
          <w:rFonts w:hint="eastAsia" w:ascii="仿宋_GB2312" w:hAnsi="仿宋_GB2312" w:eastAsia="仿宋_GB2312" w:cs="仿宋_GB2312"/>
          <w:spacing w:val="28"/>
          <w:sz w:val="28"/>
          <w:szCs w:val="28"/>
        </w:rPr>
        <w:t>评价组成员：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</w:t>
      </w:r>
      <w:bookmarkEnd w:id="0"/>
      <w:bookmarkEnd w:id="1"/>
      <w:bookmarkStart w:id="2" w:name="_Toc23411"/>
      <w:bookmarkStart w:id="3" w:name="_Toc13153"/>
      <w:bookmarkStart w:id="4" w:name="_Toc9525"/>
      <w:bookmarkStart w:id="5" w:name="_Toc4013"/>
      <w:bookmarkStart w:id="6" w:name="_Toc6314"/>
      <w:bookmarkStart w:id="7" w:name="_Toc2245"/>
      <w:bookmarkStart w:id="8" w:name="_Toc16913"/>
      <w:bookmarkStart w:id="9" w:name="_Toc18334"/>
      <w:bookmarkStart w:id="10" w:name="_Toc11301"/>
      <w:bookmarkStart w:id="11" w:name="_Toc30335"/>
    </w:p>
    <w:p w14:paraId="70ED3F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outlineLvl w:val="0"/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</w:p>
    <w:p w14:paraId="34EB7CD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964" w:firstLineChars="300"/>
        <w:outlineLvl w:val="0"/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一、项目概况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721EA5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outlineLvl w:val="1"/>
        <w:rPr>
          <w:rFonts w:ascii="仿宋_GB2312" w:hAnsi="仿宋_GB2312" w:eastAsia="仿宋_GB2312" w:cs="仿宋_GB2312"/>
          <w:sz w:val="32"/>
          <w:szCs w:val="40"/>
        </w:rPr>
      </w:pPr>
      <w:bookmarkStart w:id="12" w:name="_Toc19370"/>
      <w:bookmarkStart w:id="13" w:name="_Toc22285"/>
      <w:bookmarkStart w:id="14" w:name="_Toc30895"/>
      <w:bookmarkStart w:id="15" w:name="_Toc15831"/>
      <w:bookmarkStart w:id="16" w:name="_Toc22453"/>
      <w:bookmarkStart w:id="17" w:name="_Toc32742"/>
      <w:bookmarkStart w:id="18" w:name="_Toc937"/>
      <w:bookmarkStart w:id="19" w:name="_Toc24784"/>
      <w:bookmarkStart w:id="20" w:name="_Toc19963"/>
      <w:bookmarkStart w:id="21" w:name="_Toc23957"/>
      <w:r>
        <w:rPr>
          <w:rFonts w:hint="eastAsia" w:ascii="仿宋_GB2312" w:hAnsi="仿宋_GB2312" w:eastAsia="仿宋_GB2312" w:cs="仿宋_GB2312"/>
          <w:sz w:val="32"/>
          <w:szCs w:val="40"/>
        </w:rPr>
        <w:t>（一）项目单位基本情况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6658B5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outlineLvl w:val="1"/>
        <w:rPr>
          <w:rFonts w:hint="eastAsia" w:ascii="仿宋_GB2312" w:hAnsi="仿宋_GB2312" w:eastAsia="仿宋_GB2312" w:cs="仿宋_GB2312"/>
          <w:sz w:val="32"/>
          <w:szCs w:val="40"/>
        </w:rPr>
      </w:pPr>
      <w:bookmarkStart w:id="22" w:name="_Toc29308"/>
      <w:bookmarkStart w:id="23" w:name="_Toc15167"/>
      <w:bookmarkStart w:id="24" w:name="_Toc8843"/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共青团隆尧县委位于新华路588号，行政单位，编制数5人</w:t>
      </w:r>
      <w:r>
        <w:rPr>
          <w:rFonts w:hint="eastAsia" w:ascii="仿宋_GB2312" w:hAnsi="仿宋_GB2312" w:eastAsia="仿宋_GB2312" w:cs="仿宋_GB2312"/>
          <w:sz w:val="32"/>
          <w:szCs w:val="40"/>
        </w:rPr>
        <w:t>。</w:t>
      </w:r>
    </w:p>
    <w:p w14:paraId="2E39A6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主要职责为：</w:t>
      </w:r>
    </w:p>
    <w:p w14:paraId="294FC9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/>
          <w:sz w:val="32"/>
          <w:szCs w:val="32"/>
        </w:rPr>
        <w:t>行使中共隆尧县委赋予的领导全县共青团工作，指导全县少先队工作的职权，对全县青年社团实行归口管理；参与制定本县的青少年事业发展规划和青少年工作方针、政策，对青少年活动阵地，青少年报刊、青少年服务机构建设等事务进行规划和归口管理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15EB6E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/>
          <w:sz w:val="32"/>
          <w:szCs w:val="32"/>
        </w:rPr>
        <w:t>参与本县的有关青少年事业的法律、法规的实施和有关地方性法规的制定及实施，协助县委、县政府处理、协调与青少年利益相关的事务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68B4C2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rPr>
          <w:rFonts w:hint="eastAsia" w:eastAsia="仿宋_GB2312"/>
          <w:color w:val="auto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/>
          <w:sz w:val="32"/>
          <w:szCs w:val="32"/>
        </w:rPr>
        <w:t>调查青少年思想动态和青年工作状况，研究青少年运动，青少年工作理论和思想教育问题，提出相应对策，开展各种活动；协助政府教育部门做好中、小学学生的教育管理工作，维护学校和社会安定团结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496E48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outlineLvl w:val="1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（二）项目基本情况</w:t>
      </w:r>
      <w:bookmarkEnd w:id="22"/>
      <w:bookmarkEnd w:id="23"/>
      <w:bookmarkEnd w:id="24"/>
    </w:p>
    <w:p w14:paraId="554CD9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40"/>
        </w:rPr>
      </w:pPr>
      <w:bookmarkStart w:id="25" w:name="_Toc24191"/>
      <w:bookmarkStart w:id="26" w:name="_Toc26594"/>
      <w:bookmarkStart w:id="27" w:name="_Toc32656"/>
      <w:bookmarkStart w:id="28" w:name="_Toc27552"/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该项目总资金2万元，已按照预算全部执行到位</w:t>
      </w:r>
      <w:r>
        <w:rPr>
          <w:rFonts w:hint="eastAsia" w:ascii="仿宋_GB2312" w:hAnsi="仿宋_GB2312" w:eastAsia="仿宋_GB2312" w:cs="仿宋_GB2312"/>
          <w:sz w:val="32"/>
          <w:szCs w:val="40"/>
        </w:rPr>
        <w:t>。</w:t>
      </w:r>
    </w:p>
    <w:bookmarkEnd w:id="25"/>
    <w:bookmarkEnd w:id="26"/>
    <w:bookmarkEnd w:id="27"/>
    <w:bookmarkEnd w:id="28"/>
    <w:p w14:paraId="27471F85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outlineLvl w:val="0"/>
        <w:rPr>
          <w:rFonts w:hint="eastAsia" w:ascii="仿宋_GB2312" w:hAnsi="仿宋_GB2312" w:eastAsia="仿宋_GB2312" w:cs="仿宋_GB2312"/>
          <w:b/>
          <w:bCs/>
          <w:sz w:val="32"/>
          <w:szCs w:val="40"/>
        </w:rPr>
      </w:pPr>
      <w:bookmarkStart w:id="29" w:name="_Toc4859"/>
      <w:bookmarkStart w:id="30" w:name="_Toc2988"/>
      <w:bookmarkStart w:id="31" w:name="_Toc17782"/>
      <w:bookmarkStart w:id="32" w:name="_Toc26109"/>
      <w:bookmarkStart w:id="33" w:name="_Toc18992"/>
      <w:bookmarkStart w:id="34" w:name="_Toc14644"/>
      <w:bookmarkStart w:id="35" w:name="_Toc12860"/>
      <w:bookmarkStart w:id="36" w:name="_Toc28908"/>
      <w:bookmarkStart w:id="37" w:name="_Toc7839"/>
      <w:bookmarkStart w:id="38" w:name="_Toc6781"/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项目实施情况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14:paraId="7C58BBCC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2"/>
          <w:sz w:val="32"/>
          <w:szCs w:val="4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40"/>
          <w:lang w:val="en-US" w:eastAsia="zh-CN" w:bidi="ar-SA"/>
        </w:rPr>
        <w:t>该项目主要用于开展青少年普法宣传教育活动，截至2022年底，共开展普法教育进社区、进校园、进乡</w:t>
      </w:r>
      <w:bookmarkStart w:id="102" w:name="_GoBack"/>
      <w:bookmarkEnd w:id="102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40"/>
          <w:lang w:val="en-US" w:eastAsia="zh-CN" w:bidi="ar-SA"/>
        </w:rPr>
        <w:t>镇活动12场，成功创建2个市级“双零社区”，举办社工培训4场，制作《青春护航》普法宣传视频4期。</w:t>
      </w:r>
    </w:p>
    <w:p w14:paraId="3F723B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outlineLvl w:val="0"/>
        <w:rPr>
          <w:rFonts w:ascii="仿宋_GB2312" w:hAnsi="仿宋_GB2312" w:eastAsia="仿宋_GB2312" w:cs="仿宋_GB2312"/>
          <w:b/>
          <w:bCs/>
          <w:sz w:val="32"/>
          <w:szCs w:val="40"/>
        </w:rPr>
      </w:pPr>
      <w:bookmarkStart w:id="39" w:name="_Toc21501"/>
      <w:bookmarkStart w:id="40" w:name="_Toc10651"/>
      <w:bookmarkStart w:id="41" w:name="_Toc6451"/>
      <w:bookmarkStart w:id="42" w:name="_Toc5215"/>
      <w:bookmarkStart w:id="43" w:name="_Toc26855"/>
      <w:bookmarkStart w:id="44" w:name="_Toc12150"/>
      <w:bookmarkStart w:id="45" w:name="_Toc18915"/>
      <w:bookmarkStart w:id="46" w:name="_Toc5317"/>
      <w:bookmarkStart w:id="47" w:name="_Toc20904"/>
      <w:bookmarkStart w:id="48" w:name="_Toc29800"/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三、绩效评价工作情况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 w14:paraId="6085F8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outlineLvl w:val="1"/>
        <w:rPr>
          <w:rFonts w:hint="eastAsia" w:ascii="仿宋_GB2312" w:hAnsi="仿宋_GB2312" w:eastAsia="仿宋_GB2312" w:cs="仿宋_GB2312"/>
          <w:sz w:val="32"/>
          <w:szCs w:val="40"/>
        </w:rPr>
      </w:pPr>
      <w:bookmarkStart w:id="49" w:name="_Toc8077"/>
      <w:bookmarkStart w:id="50" w:name="_Toc25600"/>
      <w:bookmarkStart w:id="51" w:name="_Toc15730"/>
      <w:bookmarkStart w:id="52" w:name="_Toc22771"/>
      <w:bookmarkStart w:id="53" w:name="_Toc17355"/>
      <w:bookmarkStart w:id="54" w:name="_Toc4056"/>
      <w:bookmarkStart w:id="55" w:name="_Toc5105"/>
      <w:bookmarkStart w:id="56" w:name="_Toc7570"/>
      <w:bookmarkStart w:id="57" w:name="_Toc14742"/>
      <w:bookmarkStart w:id="58" w:name="_Toc23608"/>
      <w:r>
        <w:rPr>
          <w:rFonts w:hint="eastAsia" w:ascii="仿宋_GB2312" w:hAnsi="仿宋_GB2312" w:eastAsia="仿宋_GB2312" w:cs="仿宋_GB2312"/>
          <w:sz w:val="32"/>
          <w:szCs w:val="40"/>
        </w:rPr>
        <w:t>（一）评价目的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p w14:paraId="7745C186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kern w:val="2"/>
          <w:sz w:val="32"/>
          <w:szCs w:val="4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40"/>
          <w:lang w:val="en-US" w:eastAsia="zh-CN" w:bidi="ar-SA"/>
        </w:rPr>
        <w:t>增强青少年法律意识，提高其运用法律捍卫自身权益的能力。</w:t>
      </w:r>
    </w:p>
    <w:p w14:paraId="292DC3DE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outlineLvl w:val="1"/>
        <w:rPr>
          <w:rFonts w:hint="eastAsia" w:ascii="仿宋_GB2312" w:hAnsi="仿宋_GB2312" w:eastAsia="仿宋_GB2312" w:cs="仿宋_GB2312"/>
          <w:sz w:val="32"/>
          <w:szCs w:val="40"/>
        </w:rPr>
      </w:pPr>
      <w:bookmarkStart w:id="59" w:name="_Toc30351"/>
      <w:bookmarkStart w:id="60" w:name="_Toc27199"/>
      <w:bookmarkStart w:id="61" w:name="_Toc16121"/>
      <w:bookmarkStart w:id="62" w:name="_Toc3910"/>
      <w:bookmarkStart w:id="63" w:name="_Toc16971"/>
      <w:bookmarkStart w:id="64" w:name="_Toc27346"/>
      <w:bookmarkStart w:id="65" w:name="_Toc22727"/>
      <w:bookmarkStart w:id="66" w:name="_Toc25746"/>
      <w:bookmarkStart w:id="67" w:name="_Toc18502"/>
      <w:bookmarkStart w:id="68" w:name="_Toc8288"/>
      <w:r>
        <w:rPr>
          <w:rFonts w:hint="eastAsia" w:ascii="仿宋_GB2312" w:hAnsi="仿宋_GB2312" w:eastAsia="仿宋_GB2312" w:cs="仿宋_GB2312"/>
          <w:sz w:val="32"/>
          <w:szCs w:val="40"/>
        </w:rPr>
        <w:t>评价指标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 w14:paraId="4C4DCF9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绩效指标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主要包括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产出指标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（数量指标、质量指标、时效指标）和效果指标（经济效益指标、社会效益指标、环境效益指标、可持续发展效益指标）。</w:t>
      </w:r>
    </w:p>
    <w:p w14:paraId="79C65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产出指标方面数量指标：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开展宣传活动场次。</w:t>
      </w:r>
    </w:p>
    <w:p w14:paraId="4D869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产出指标方面质量指标：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开展宣传活动场次。</w:t>
      </w:r>
    </w:p>
    <w:p w14:paraId="7714F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</w:pPr>
      <w:r>
        <w:rPr>
          <w:rFonts w:hint="eastAsia" w:ascii="仿宋" w:hAnsi="仿宋" w:eastAsia="仿宋" w:cs="仿宋"/>
          <w:color w:val="auto"/>
          <w:sz w:val="32"/>
          <w:szCs w:val="32"/>
        </w:rPr>
        <w:t>效果指标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方面，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社会效益指标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收益青少年群体数量。</w:t>
      </w:r>
    </w:p>
    <w:p w14:paraId="28F4309B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outlineLvl w:val="1"/>
        <w:rPr>
          <w:rFonts w:hint="eastAsia" w:ascii="仿宋_GB2312" w:hAnsi="仿宋_GB2312" w:eastAsia="仿宋_GB2312" w:cs="仿宋_GB2312"/>
          <w:sz w:val="32"/>
          <w:szCs w:val="40"/>
        </w:rPr>
      </w:pPr>
      <w:bookmarkStart w:id="69" w:name="_Toc12572"/>
      <w:bookmarkStart w:id="70" w:name="_Toc19068"/>
      <w:bookmarkStart w:id="71" w:name="_Toc32306"/>
      <w:bookmarkStart w:id="72" w:name="_Toc5587"/>
      <w:bookmarkStart w:id="73" w:name="_Toc5304"/>
      <w:bookmarkStart w:id="74" w:name="_Toc11684"/>
      <w:bookmarkStart w:id="75" w:name="_Toc32241"/>
      <w:bookmarkStart w:id="76" w:name="_Toc19154"/>
      <w:bookmarkStart w:id="77" w:name="_Toc25343"/>
      <w:bookmarkStart w:id="78" w:name="_Toc23270"/>
      <w:r>
        <w:rPr>
          <w:rFonts w:hint="eastAsia" w:ascii="仿宋_GB2312" w:hAnsi="仿宋_GB2312" w:eastAsia="仿宋_GB2312" w:cs="仿宋_GB2312"/>
          <w:sz w:val="32"/>
          <w:szCs w:val="40"/>
        </w:rPr>
        <w:t>评价依据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 w14:paraId="0080991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center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该指标评价依据主要为年初设定的绩效目标及评价指标完成情况，及该项目立项文件为标准。</w:t>
      </w:r>
    </w:p>
    <w:p w14:paraId="42AE0189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outlineLvl w:val="1"/>
        <w:rPr>
          <w:rFonts w:hint="eastAsia" w:ascii="仿宋_GB2312" w:hAnsi="仿宋_GB2312" w:eastAsia="仿宋_GB2312" w:cs="仿宋_GB2312"/>
          <w:sz w:val="32"/>
          <w:szCs w:val="40"/>
        </w:rPr>
      </w:pPr>
      <w:bookmarkStart w:id="79" w:name="_Toc6747"/>
      <w:bookmarkStart w:id="80" w:name="_Toc22038"/>
      <w:bookmarkStart w:id="81" w:name="_Toc11243"/>
      <w:bookmarkStart w:id="82" w:name="_Toc26780"/>
      <w:bookmarkStart w:id="83" w:name="_Toc1868"/>
      <w:bookmarkStart w:id="84" w:name="_Toc7393"/>
      <w:bookmarkStart w:id="85" w:name="_Toc13179"/>
      <w:bookmarkStart w:id="86" w:name="_Toc9401"/>
      <w:bookmarkStart w:id="87" w:name="_Toc12940"/>
      <w:bookmarkStart w:id="88" w:name="_Toc24302"/>
      <w:r>
        <w:rPr>
          <w:rFonts w:hint="eastAsia" w:ascii="仿宋_GB2312" w:hAnsi="仿宋_GB2312" w:eastAsia="仿宋_GB2312" w:cs="仿宋_GB2312"/>
          <w:sz w:val="32"/>
          <w:szCs w:val="40"/>
        </w:rPr>
        <w:t>评价的主要方法及等级设定</w:t>
      </w:r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 w14:paraId="0C06E83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center"/>
        <w:rPr>
          <w:rFonts w:hint="default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评价主要通过重点项目绩效评价指标表来测评，该项目得分99分，属于优秀等级。</w:t>
      </w:r>
    </w:p>
    <w:p w14:paraId="06AAB96B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</w:pPr>
    </w:p>
    <w:p w14:paraId="1F59204F"/>
    <w:p w14:paraId="36E8C2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outlineLvl w:val="0"/>
        <w:rPr>
          <w:rFonts w:ascii="仿宋_GB2312" w:hAnsi="仿宋_GB2312" w:eastAsia="仿宋_GB2312" w:cs="仿宋_GB2312"/>
        </w:rPr>
      </w:pPr>
      <w:bookmarkStart w:id="89" w:name="_Toc17025"/>
      <w:bookmarkStart w:id="90" w:name="_Toc20748"/>
      <w:bookmarkStart w:id="91" w:name="_Toc21014"/>
      <w:bookmarkStart w:id="92" w:name="_Toc5623"/>
      <w:bookmarkStart w:id="93" w:name="_Toc22222"/>
      <w:bookmarkStart w:id="94" w:name="_Toc18842"/>
      <w:bookmarkStart w:id="95" w:name="_Toc10113"/>
      <w:bookmarkStart w:id="96" w:name="_Toc30508"/>
      <w:bookmarkStart w:id="97" w:name="_Toc6105"/>
      <w:bookmarkStart w:id="98" w:name="_Toc28621"/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四、绩效评价指标体系及得分情况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 w14:paraId="7F8F3B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080" w:firstLineChars="740"/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  <w:lang w:val="en-US" w:eastAsia="zh-CN"/>
        </w:rPr>
        <w:t>预防青少年违法犯罪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项目重点绩效评价指标表</w:t>
      </w:r>
    </w:p>
    <w:tbl>
      <w:tblPr>
        <w:tblStyle w:val="7"/>
        <w:tblW w:w="9098" w:type="dxa"/>
        <w:tblInd w:w="-13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491"/>
        <w:gridCol w:w="2498"/>
        <w:gridCol w:w="426"/>
        <w:gridCol w:w="3696"/>
        <w:gridCol w:w="711"/>
      </w:tblGrid>
      <w:tr w14:paraId="35D67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F81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 xml:space="preserve">一级指标  </w:t>
            </w: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035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0B8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 xml:space="preserve"> 三级指标</w:t>
            </w:r>
          </w:p>
        </w:tc>
        <w:tc>
          <w:tcPr>
            <w:tcW w:w="42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551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分值</w:t>
            </w:r>
          </w:p>
        </w:tc>
        <w:tc>
          <w:tcPr>
            <w:tcW w:w="3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B4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指标说明</w:t>
            </w:r>
          </w:p>
        </w:tc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0F1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得分</w:t>
            </w:r>
          </w:p>
        </w:tc>
      </w:tr>
      <w:tr w14:paraId="59750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B6D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7BE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A5A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42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C3B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  <w:tc>
          <w:tcPr>
            <w:tcW w:w="3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3254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235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</w:tr>
      <w:tr w14:paraId="6E46D8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80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“工作活动”设置（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分）</w:t>
            </w:r>
          </w:p>
        </w:tc>
        <w:tc>
          <w:tcPr>
            <w:tcW w:w="4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E27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项目立项情况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ACE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是否符合政府经济和社会总体发展规划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0B1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79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有政府相关政策、规划、任务等文件得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分；无不得分。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DDC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</w:tr>
      <w:tr w14:paraId="548FD8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F4A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DA5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7AB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项目活动与职责相关性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1CF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3DE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工作活动与部门职责、工作规划和重点工作相关，工作活动项下确定的预算项目合理，与工作活动密切相关，工作活动和项目预算安排合理，得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分；否则不得分。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039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</w:tr>
      <w:tr w14:paraId="482103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08A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30A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绩效自评情况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8839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项目设立绩效目标合理性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BB4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77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①是否将项目绩效目标细化分解为具体的绩效指标；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②是否通过清晰、可衡量的指标值予以体现；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③是否与项目年度任务数或计划数相对应；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④是否与预算确定的项目投资额或资金量相匹配。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缺少一项扣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分,扣完为止。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17F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</w:tr>
      <w:tr w14:paraId="166CDB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2" w:hRule="atLeast"/>
        </w:trPr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053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487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140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自评报告情况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9BE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4AA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是否有绩效评价报告，报告是否依据充分、内容真实完整；数据准确、分析透彻。每存在一项问题扣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分，扣完为止。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1DF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</w:tr>
      <w:tr w14:paraId="335014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59D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“工作活动”管理（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分）</w:t>
            </w:r>
          </w:p>
        </w:tc>
        <w:tc>
          <w:tcPr>
            <w:tcW w:w="4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C29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资金管理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9AF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预算调整率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708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9C3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预算调整率=（预算调整数/预算数）×100%。预算调整率每大于1%扣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分，扣完为止。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59B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</w:tr>
      <w:tr w14:paraId="127B63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03B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082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AF8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资金使用合规性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03E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FAB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项目资金使用是否符合国家财经法规及相关的财务管理制度规定，资金支出程序是否规范,报账手续是否齐全。每存在一项不合规问题扣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分，扣完为止。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CC4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</w:tr>
      <w:tr w14:paraId="25D53C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1D8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0DB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9E7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会计核算规范性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CAC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4B3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会计核算是否符合《会计法》、《政府会计制度》、《会计基础工作规范》等法律法规和相关制度规定。每存在一项不合规问题扣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分，扣完为止。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96A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</w:tr>
      <w:tr w14:paraId="3F9D69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</w:trPr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E5D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256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项目管理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0D1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项目责任机制是否健全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BB7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750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是否建立责任机制，项目管理和责任落实到有关人。每存在一项问题扣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分，扣完为止。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4B3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</w:tr>
      <w:tr w14:paraId="5B74B1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FB5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926E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107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管理制度健全性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143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E8B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制定管理制度和措施（包括财务制度）是否明确、清晰、具有可操作性，能否保障工作活动顺利实施。每缺少一项制度扣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分，扣完为止。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4D3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</w:tr>
      <w:tr w14:paraId="7CFBC9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D33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“工作活动”产出（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分）</w:t>
            </w: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6DE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数量指标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999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活动开展场次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E24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F38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全年开展活动不少于12场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29E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</w:tr>
      <w:tr w14:paraId="0B7B46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289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72F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质量指标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09B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活动开展场次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DE7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D13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全年开展活动不少于12场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FCA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</w:tr>
      <w:tr w14:paraId="203416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4BE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05F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时效指标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97D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预算执行情况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662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4A0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年底前完成预算支出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123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</w:tr>
      <w:tr w14:paraId="010F00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8E7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“工作活动”效果（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分）</w:t>
            </w: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19A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满意度</w:t>
            </w: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098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青少年满意度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E61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BBD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回访青少年满意度达95%以上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181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</w:tr>
      <w:tr w14:paraId="190893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346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20" w:firstLineChars="100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合计</w:t>
            </w: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41BD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117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52A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C7C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6D41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</w:tr>
    </w:tbl>
    <w:p w14:paraId="3FDEE61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321" w:firstLineChars="100"/>
        <w:outlineLvl w:val="0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bookmarkStart w:id="99" w:name="_Toc2634_WPSOffice_Level1"/>
    </w:p>
    <w:p w14:paraId="30E7BFB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321" w:firstLineChars="100"/>
        <w:outlineLvl w:val="0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</w:p>
    <w:p w14:paraId="020E2C2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321" w:firstLineChars="100"/>
        <w:outlineLvl w:val="0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</w:p>
    <w:p w14:paraId="42B6CFC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321" w:firstLineChars="100"/>
        <w:outlineLvl w:val="0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</w:p>
    <w:p w14:paraId="2E345B1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321" w:firstLineChars="100"/>
        <w:outlineLvl w:val="0"/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五、评价分析</w:t>
      </w:r>
      <w:bookmarkEnd w:id="99"/>
    </w:p>
    <w:p w14:paraId="43F585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outlineLvl w:val="1"/>
        <w:rPr>
          <w:rFonts w:ascii="仿宋_GB2312" w:hAnsi="仿宋_GB2312" w:eastAsia="仿宋_GB2312" w:cs="仿宋_GB2312"/>
          <w:color w:val="000000"/>
          <w:sz w:val="32"/>
          <w:szCs w:val="40"/>
        </w:rPr>
      </w:pPr>
      <w:bookmarkStart w:id="100" w:name="_Toc18513_WPSOffice_Level2"/>
      <w:r>
        <w:rPr>
          <w:rFonts w:hint="eastAsia" w:ascii="仿宋_GB2312" w:hAnsi="仿宋_GB2312" w:eastAsia="仿宋_GB2312" w:cs="仿宋_GB2312"/>
          <w:color w:val="000000"/>
          <w:sz w:val="32"/>
          <w:szCs w:val="40"/>
        </w:rPr>
        <w:t>（一）主要扣分事项及原因分析</w:t>
      </w:r>
      <w:bookmarkEnd w:id="100"/>
    </w:p>
    <w:p w14:paraId="1A10F72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提升青少年群体对该项工作的满意程度，需进一步丰富活动形式，提升满意度。</w:t>
      </w:r>
    </w:p>
    <w:p w14:paraId="1F5B9EF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321" w:firstLineChars="100"/>
        <w:outlineLvl w:val="0"/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</w:pPr>
      <w:bookmarkStart w:id="101" w:name="_Toc11279_WPSOffice_Level1"/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六、意见及建议</w:t>
      </w:r>
      <w:bookmarkEnd w:id="101"/>
    </w:p>
    <w:p w14:paraId="6CD4656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项目绩效目标设定科学性及可衡量性有待进一步提高，指标设定需更加清晰明朗，更易于衡量。</w:t>
      </w:r>
    </w:p>
    <w:p w14:paraId="32E92E6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4960" w:firstLineChars="1550"/>
        <w:outlineLvl w:val="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44500D4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4960" w:firstLineChars="1550"/>
        <w:outlineLvl w:val="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75B9AA3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4960" w:firstLineChars="1550"/>
        <w:outlineLvl w:val="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7C573CF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4960" w:firstLineChars="1550"/>
        <w:outlineLvl w:val="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共青团隆尧县委</w:t>
      </w:r>
    </w:p>
    <w:p w14:paraId="531E9B8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firstLine="4960" w:firstLineChars="1550"/>
        <w:outlineLvl w:val="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 w14:paraId="2BC464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ascii="仿宋_GB2312" w:hAnsi="仿宋_GB2312" w:eastAsia="仿宋_GB2312" w:cs="仿宋_GB2312"/>
        </w:rPr>
      </w:pPr>
    </w:p>
    <w:sectPr>
      <w:footerReference r:id="rId3" w:type="default"/>
      <w:pgSz w:w="11906" w:h="16838"/>
      <w:pgMar w:top="2154" w:right="1474" w:bottom="1984" w:left="158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59EA2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289674C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89674C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9E3DA8"/>
    <w:multiLevelType w:val="singleLevel"/>
    <w:tmpl w:val="D39E3DA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ECC4A83C"/>
    <w:multiLevelType w:val="singleLevel"/>
    <w:tmpl w:val="ECC4A83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C499B"/>
    <w:rsid w:val="00092B14"/>
    <w:rsid w:val="000D47D0"/>
    <w:rsid w:val="001373BE"/>
    <w:rsid w:val="001F3212"/>
    <w:rsid w:val="002707C6"/>
    <w:rsid w:val="00280F82"/>
    <w:rsid w:val="003170CE"/>
    <w:rsid w:val="003C4354"/>
    <w:rsid w:val="00645DBC"/>
    <w:rsid w:val="007812E3"/>
    <w:rsid w:val="00814E39"/>
    <w:rsid w:val="008C7CF4"/>
    <w:rsid w:val="00A02C66"/>
    <w:rsid w:val="00AB413B"/>
    <w:rsid w:val="00B60E03"/>
    <w:rsid w:val="00D25A69"/>
    <w:rsid w:val="00D25CC3"/>
    <w:rsid w:val="00D3165F"/>
    <w:rsid w:val="00D471F4"/>
    <w:rsid w:val="00D5394A"/>
    <w:rsid w:val="00DB6DF3"/>
    <w:rsid w:val="00E30CAE"/>
    <w:rsid w:val="00E310A2"/>
    <w:rsid w:val="00EF2BA5"/>
    <w:rsid w:val="00EF6DA3"/>
    <w:rsid w:val="00FA340E"/>
    <w:rsid w:val="01B67D1F"/>
    <w:rsid w:val="01CA2AF2"/>
    <w:rsid w:val="03274687"/>
    <w:rsid w:val="04064A0C"/>
    <w:rsid w:val="04321BCD"/>
    <w:rsid w:val="04FF4482"/>
    <w:rsid w:val="05615E45"/>
    <w:rsid w:val="057A0A50"/>
    <w:rsid w:val="064C4C17"/>
    <w:rsid w:val="06CC3BAB"/>
    <w:rsid w:val="076C3175"/>
    <w:rsid w:val="07CC499B"/>
    <w:rsid w:val="0815567D"/>
    <w:rsid w:val="0909607F"/>
    <w:rsid w:val="09A64785"/>
    <w:rsid w:val="0A3B4E4B"/>
    <w:rsid w:val="0B2C5508"/>
    <w:rsid w:val="0B601B06"/>
    <w:rsid w:val="0BEB58BF"/>
    <w:rsid w:val="0C15027B"/>
    <w:rsid w:val="0C3B2A49"/>
    <w:rsid w:val="0DAA4EE9"/>
    <w:rsid w:val="0E3117D9"/>
    <w:rsid w:val="102B0836"/>
    <w:rsid w:val="1064155D"/>
    <w:rsid w:val="1156122B"/>
    <w:rsid w:val="11F11891"/>
    <w:rsid w:val="12C35BB4"/>
    <w:rsid w:val="140849FA"/>
    <w:rsid w:val="14424CD4"/>
    <w:rsid w:val="14583EA3"/>
    <w:rsid w:val="151D09B5"/>
    <w:rsid w:val="1689469A"/>
    <w:rsid w:val="16DB1E7D"/>
    <w:rsid w:val="178C6C5A"/>
    <w:rsid w:val="17CD646A"/>
    <w:rsid w:val="184F3049"/>
    <w:rsid w:val="1B3F225B"/>
    <w:rsid w:val="1B4269FF"/>
    <w:rsid w:val="1B686652"/>
    <w:rsid w:val="1D4B3C83"/>
    <w:rsid w:val="1DBD7AB3"/>
    <w:rsid w:val="1E0B387E"/>
    <w:rsid w:val="21460607"/>
    <w:rsid w:val="21FF1E9B"/>
    <w:rsid w:val="22457A8A"/>
    <w:rsid w:val="23C1122C"/>
    <w:rsid w:val="243D751D"/>
    <w:rsid w:val="24522B03"/>
    <w:rsid w:val="25ED2FD4"/>
    <w:rsid w:val="264A346A"/>
    <w:rsid w:val="270A41B9"/>
    <w:rsid w:val="274B3C4E"/>
    <w:rsid w:val="285356FD"/>
    <w:rsid w:val="288E37E0"/>
    <w:rsid w:val="290243B4"/>
    <w:rsid w:val="2A5C748F"/>
    <w:rsid w:val="2B10000E"/>
    <w:rsid w:val="2B2D56DA"/>
    <w:rsid w:val="2D391E20"/>
    <w:rsid w:val="2EC31791"/>
    <w:rsid w:val="30785FD3"/>
    <w:rsid w:val="31702E0D"/>
    <w:rsid w:val="33C32B3C"/>
    <w:rsid w:val="341374EA"/>
    <w:rsid w:val="34E52524"/>
    <w:rsid w:val="359C6454"/>
    <w:rsid w:val="35CA4ECD"/>
    <w:rsid w:val="35CE5164"/>
    <w:rsid w:val="35F07825"/>
    <w:rsid w:val="360C2FBA"/>
    <w:rsid w:val="363913FE"/>
    <w:rsid w:val="36D6548C"/>
    <w:rsid w:val="376918C7"/>
    <w:rsid w:val="37832AC7"/>
    <w:rsid w:val="38195BED"/>
    <w:rsid w:val="39B23A02"/>
    <w:rsid w:val="3A4766ED"/>
    <w:rsid w:val="3A713A3B"/>
    <w:rsid w:val="3AAB2217"/>
    <w:rsid w:val="3CAE49E3"/>
    <w:rsid w:val="3DAE40CB"/>
    <w:rsid w:val="3E7103A9"/>
    <w:rsid w:val="3E7E746E"/>
    <w:rsid w:val="3EBE2184"/>
    <w:rsid w:val="3F5912F8"/>
    <w:rsid w:val="3F9B4FC0"/>
    <w:rsid w:val="41B74B09"/>
    <w:rsid w:val="42525B32"/>
    <w:rsid w:val="42941561"/>
    <w:rsid w:val="43DC781A"/>
    <w:rsid w:val="441C7555"/>
    <w:rsid w:val="450A0AA4"/>
    <w:rsid w:val="45236574"/>
    <w:rsid w:val="46434BE2"/>
    <w:rsid w:val="46AA6AA7"/>
    <w:rsid w:val="478E0E32"/>
    <w:rsid w:val="48A2447B"/>
    <w:rsid w:val="48E16434"/>
    <w:rsid w:val="49430BD9"/>
    <w:rsid w:val="494625CA"/>
    <w:rsid w:val="4BD23ED8"/>
    <w:rsid w:val="4C2846CD"/>
    <w:rsid w:val="4C7A4C55"/>
    <w:rsid w:val="4F6A54EE"/>
    <w:rsid w:val="4FDF6ED1"/>
    <w:rsid w:val="514C0EC5"/>
    <w:rsid w:val="51F50157"/>
    <w:rsid w:val="52866F20"/>
    <w:rsid w:val="52EE7A8B"/>
    <w:rsid w:val="535B290E"/>
    <w:rsid w:val="53F1208F"/>
    <w:rsid w:val="54DE5250"/>
    <w:rsid w:val="55495194"/>
    <w:rsid w:val="56115CEE"/>
    <w:rsid w:val="56D42516"/>
    <w:rsid w:val="56FE5044"/>
    <w:rsid w:val="57E03285"/>
    <w:rsid w:val="5AE71036"/>
    <w:rsid w:val="5B5F30DA"/>
    <w:rsid w:val="5BAF6F84"/>
    <w:rsid w:val="5BE03A0F"/>
    <w:rsid w:val="5D5C7CBD"/>
    <w:rsid w:val="5DF86B3F"/>
    <w:rsid w:val="5F1C1ADB"/>
    <w:rsid w:val="60134031"/>
    <w:rsid w:val="60C120AA"/>
    <w:rsid w:val="6304094B"/>
    <w:rsid w:val="64165E4C"/>
    <w:rsid w:val="6536013A"/>
    <w:rsid w:val="68DA698B"/>
    <w:rsid w:val="6A3E1F45"/>
    <w:rsid w:val="6CCC6D4C"/>
    <w:rsid w:val="6D5F4EC3"/>
    <w:rsid w:val="6E3F5A2C"/>
    <w:rsid w:val="7008088F"/>
    <w:rsid w:val="712634CC"/>
    <w:rsid w:val="71A3781D"/>
    <w:rsid w:val="724E698E"/>
    <w:rsid w:val="756501CF"/>
    <w:rsid w:val="778F438E"/>
    <w:rsid w:val="7A055146"/>
    <w:rsid w:val="7A757A3F"/>
    <w:rsid w:val="7C647BFE"/>
    <w:rsid w:val="7D9B64C3"/>
    <w:rsid w:val="7ECFA6D3"/>
    <w:rsid w:val="7FA85714"/>
    <w:rsid w:val="DE95B78B"/>
    <w:rsid w:val="DEF9AF55"/>
    <w:rsid w:val="DFFFFF19"/>
    <w:rsid w:val="EEBDFC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spacing w:line="600" w:lineRule="exact"/>
      <w:ind w:firstLine="560" w:firstLineChars="200"/>
      <w:textAlignment w:val="center"/>
    </w:pPr>
    <w:rPr>
      <w:rFonts w:ascii="宋体" w:hAnsi="宋体"/>
      <w:color w:val="FF0000"/>
      <w:sz w:val="28"/>
      <w:szCs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9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1">
    <w:name w:val="页眉 Char"/>
    <w:basedOn w:val="8"/>
    <w:link w:val="5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204</Words>
  <Characters>1166</Characters>
  <Lines>9</Lines>
  <Paragraphs>2</Paragraphs>
  <TotalTime>3</TotalTime>
  <ScaleCrop>false</ScaleCrop>
  <LinksUpToDate>false</LinksUpToDate>
  <CharactersWithSpaces>1368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2021-07-20T17:00:00Z</dcterms:created>
  <dc:creator>user</dc:creator>
  <cp:lastModifiedBy>huawei</cp:lastModifiedBy>
  <dcterms:modified xsi:type="dcterms:W3CDTF">2026-09-14T15:02:38Z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498C0A1400BC72AA0E9CA76AA72B9EEF_43</vt:lpwstr>
  </property>
</Properties>
</file>