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5599E3">
      <w:pPr>
        <w:spacing w:line="360" w:lineRule="auto"/>
        <w:rPr>
          <w:rFonts w:hint="eastAsia" w:ascii="Times New Roman" w:hAnsi="Times New Roman" w:eastAsia="仿宋_GB2312" w:cs="仿宋_GB2312"/>
          <w:sz w:val="30"/>
          <w:szCs w:val="30"/>
        </w:rPr>
      </w:pPr>
      <w:r>
        <w:rPr>
          <w:rFonts w:hint="eastAsia" w:ascii="Times New Roman" w:hAnsi="Times New Roman" w:eastAsia="仿宋_GB2312" w:cs="仿宋_GB2312"/>
          <w:sz w:val="30"/>
          <w:szCs w:val="30"/>
        </w:rPr>
        <w:t>自评报告：</w:t>
      </w:r>
    </w:p>
    <w:p w14:paraId="5D08F43D">
      <w:pPr>
        <w:spacing w:line="360" w:lineRule="auto"/>
        <w:jc w:val="center"/>
        <w:rPr>
          <w:rFonts w:hint="eastAsia" w:ascii="Times New Roman" w:hAnsi="Times New Roman" w:eastAsia="方正小标宋简体"/>
          <w:sz w:val="40"/>
          <w:szCs w:val="28"/>
        </w:rPr>
      </w:pPr>
      <w:r>
        <w:rPr>
          <w:rFonts w:hint="eastAsia" w:ascii="Times New Roman" w:hAnsi="Times New Roman" w:eastAsia="方正小标宋简体"/>
          <w:sz w:val="40"/>
          <w:szCs w:val="28"/>
        </w:rPr>
        <w:t>隆尧县人大</w:t>
      </w:r>
    </w:p>
    <w:p w14:paraId="47E476C9">
      <w:pPr>
        <w:spacing w:line="360" w:lineRule="auto"/>
        <w:jc w:val="center"/>
        <w:rPr>
          <w:rFonts w:ascii="Times New Roman" w:hAnsi="Times New Roman" w:eastAsia="方正小标宋简体"/>
          <w:sz w:val="40"/>
          <w:szCs w:val="28"/>
        </w:rPr>
      </w:pPr>
      <w:r>
        <w:rPr>
          <w:rFonts w:hint="eastAsia" w:ascii="Times New Roman" w:hAnsi="Times New Roman" w:eastAsia="方正小标宋简体"/>
          <w:sz w:val="40"/>
          <w:szCs w:val="28"/>
        </w:rPr>
        <w:t>关于2021年项目经费</w:t>
      </w:r>
      <w:r>
        <w:rPr>
          <w:rFonts w:ascii="Times New Roman" w:hAnsi="Times New Roman" w:eastAsia="方正小标宋简体"/>
          <w:sz w:val="40"/>
          <w:szCs w:val="28"/>
        </w:rPr>
        <w:t>绩效评价自评报告</w:t>
      </w:r>
    </w:p>
    <w:p w14:paraId="5D974375">
      <w:pPr>
        <w:spacing w:line="360" w:lineRule="auto"/>
        <w:rPr>
          <w:rFonts w:hint="eastAsia" w:ascii="Times New Roman" w:hAnsi="Times New Roman"/>
        </w:rPr>
      </w:pPr>
    </w:p>
    <w:p w14:paraId="0015D45F">
      <w:pPr>
        <w:numPr>
          <w:ilvl w:val="0"/>
          <w:numId w:val="1"/>
        </w:numPr>
        <w:spacing w:line="360" w:lineRule="auto"/>
        <w:rPr>
          <w:rFonts w:hint="eastAsia" w:ascii="Times New Roman" w:hAnsi="Times New Roman" w:eastAsia="仿宋_GB2312" w:cs="仿宋_GB2312"/>
          <w:b/>
          <w:bCs/>
          <w:sz w:val="32"/>
          <w:szCs w:val="32"/>
        </w:rPr>
      </w:pPr>
      <w:r>
        <w:rPr>
          <w:rFonts w:hint="eastAsia" w:ascii="Times New Roman" w:hAnsi="Times New Roman" w:eastAsia="仿宋_GB2312" w:cs="仿宋_GB2312"/>
          <w:b/>
          <w:bCs/>
          <w:sz w:val="32"/>
          <w:szCs w:val="32"/>
        </w:rPr>
        <w:t>项目概况</w:t>
      </w:r>
    </w:p>
    <w:p w14:paraId="01C8EC28">
      <w:pPr>
        <w:numPr>
          <w:ilvl w:val="0"/>
          <w:numId w:val="2"/>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.概述项目绩效目标完成情况。</w:t>
      </w:r>
    </w:p>
    <w:p w14:paraId="7956079A">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隆尧县十五届人民代表大会第六次会议于2021年1月在鼎新召开，一类会议，代表211名，会期3天，平均272元/人/天，会议费172176元。会议紧紧围绕我县发展布局，为推进经济强县、幸福隆尧建设做出积极贡献，实际践行“隆尧发展、人大有责”较好履行了宪法和法律赋予的职责。</w:t>
      </w:r>
    </w:p>
    <w:p w14:paraId="70CCA893">
      <w:pPr>
        <w:pStyle w:val="2"/>
        <w:ind w:firstLine="640" w:firstLineChars="200"/>
        <w:rPr>
          <w:rFonts w:hint="eastAsia"/>
        </w:rPr>
      </w:pPr>
      <w:r>
        <w:rPr>
          <w:rFonts w:hint="eastAsia" w:ascii="仿宋_GB2312" w:hAnsi="仿宋_GB2312" w:eastAsia="仿宋_GB2312" w:cs="仿宋_GB2312"/>
          <w:sz w:val="32"/>
          <w:szCs w:val="32"/>
        </w:rPr>
        <w:t>隆尧县六届人民代表大会第一次会议于2021年7月在鼎新召开，一类会议，代表239名，会期4天，平均322.9元/人/天，会议费308700元。会议紧紧围绕我县发展布局，为推进经济强县、幸福隆尧建设做出积极贡献，实际践行“隆尧发展、人大有责”较好履行了宪法和法律赋予的职责</w:t>
      </w:r>
    </w:p>
    <w:p w14:paraId="65BB8F4B">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常委会会议费，二类会议，常委33名，每年6次，一次一天，平均216.75元/人天。共支出42917元。一年来常委会针对事关全县发展稳定、社会普遍关注和群众关心关切的问题切实做到真监督、真支持。</w:t>
      </w:r>
    </w:p>
    <w:p w14:paraId="44DCBA76">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代表活动费，代表211名，参加专项评议2次，120元/人次；参加执法检查3次，102元/人次；组织法律培训3次，102元/人。共支出179350元。一年来凝聚代表力量、反映人民意志为方向，不断探索代表工作新举措，努力为代表执行职务夯基础，优服务。</w:t>
      </w:r>
    </w:p>
    <w:p w14:paraId="53167293">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代表之家运行经费，代表之家活动用办公费10000元，印刷费10000元,维护费用48000元。共支出68000元。一年来以规范代表之家运行为重点，打造特色亮点，完善代表编组，定期组织代表走进代表之家开展活动，使代表之家的职能和作用更加彰显。</w:t>
      </w:r>
    </w:p>
    <w:p w14:paraId="55418D9E">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人大专门委员会活动经费，人大各专委会会议费22500元，印刷费10000，办公费10000 。共支出42500元。一年来凝聚代表力量、反映人民意志为方向，不断探索代表工作新举措，有效发挥各专委会工作职能。</w:t>
      </w:r>
    </w:p>
    <w:p w14:paraId="4EC22496">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人大专项办公经费，其中公务接待费1280元，维修维护费116235元，差旅费37500元，办公费26000元，办公设备购置费30000元。共支出211015元。一年来确保人大机关正常运转，较好履行宪法和法律赋予的职责。</w:t>
      </w:r>
    </w:p>
    <w:p w14:paraId="5A86C353">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2021年度部门整体支出绩效自评报告、预算项目绩效自评汇总表。</w:t>
      </w:r>
    </w:p>
    <w:tbl>
      <w:tblPr>
        <w:tblStyle w:val="9"/>
        <w:tblW w:w="0" w:type="auto"/>
        <w:tblInd w:w="-3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25"/>
        <w:gridCol w:w="1350"/>
        <w:gridCol w:w="1710"/>
        <w:gridCol w:w="960"/>
        <w:gridCol w:w="1155"/>
        <w:gridCol w:w="810"/>
      </w:tblGrid>
      <w:tr w14:paraId="4423B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5" w:type="dxa"/>
          </w:tcPr>
          <w:p w14:paraId="31A97FB3">
            <w:pPr>
              <w:rPr>
                <w:rFonts w:hint="eastAsia" w:ascii="仿宋_GB2312" w:hAnsi="仿宋_GB2312" w:eastAsia="仿宋_GB2312" w:cs="仿宋_GB2312"/>
                <w:szCs w:val="21"/>
              </w:rPr>
            </w:pPr>
            <w:r>
              <w:rPr>
                <w:rFonts w:hint="eastAsia" w:ascii="仿宋_GB2312" w:hAnsi="仿宋_GB2312" w:eastAsia="仿宋_GB2312" w:cs="仿宋_GB2312"/>
                <w:szCs w:val="21"/>
              </w:rPr>
              <w:t>项目名称</w:t>
            </w:r>
          </w:p>
        </w:tc>
        <w:tc>
          <w:tcPr>
            <w:tcW w:w="1350" w:type="dxa"/>
          </w:tcPr>
          <w:p w14:paraId="39FA5927">
            <w:pPr>
              <w:rPr>
                <w:rFonts w:hint="eastAsia" w:ascii="仿宋_GB2312" w:hAnsi="仿宋_GB2312" w:eastAsia="仿宋_GB2312" w:cs="仿宋_GB2312"/>
                <w:szCs w:val="21"/>
              </w:rPr>
            </w:pPr>
            <w:r>
              <w:rPr>
                <w:rFonts w:hint="eastAsia" w:ascii="仿宋_GB2312" w:hAnsi="仿宋_GB2312" w:eastAsia="仿宋_GB2312" w:cs="仿宋_GB2312"/>
                <w:szCs w:val="21"/>
              </w:rPr>
              <w:t>项目性质</w:t>
            </w:r>
          </w:p>
        </w:tc>
        <w:tc>
          <w:tcPr>
            <w:tcW w:w="1710" w:type="dxa"/>
          </w:tcPr>
          <w:p w14:paraId="2E72344A">
            <w:pPr>
              <w:rPr>
                <w:rFonts w:hint="eastAsia" w:ascii="仿宋_GB2312" w:hAnsi="仿宋_GB2312" w:eastAsia="仿宋_GB2312" w:cs="仿宋_GB2312"/>
                <w:szCs w:val="21"/>
              </w:rPr>
            </w:pPr>
            <w:r>
              <w:rPr>
                <w:rFonts w:hint="eastAsia" w:ascii="仿宋_GB2312" w:hAnsi="仿宋_GB2312" w:eastAsia="仿宋_GB2312" w:cs="仿宋_GB2312"/>
                <w:szCs w:val="21"/>
              </w:rPr>
              <w:t>项目级次</w:t>
            </w:r>
          </w:p>
        </w:tc>
        <w:tc>
          <w:tcPr>
            <w:tcW w:w="960" w:type="dxa"/>
          </w:tcPr>
          <w:p w14:paraId="3CEBFDA7">
            <w:pPr>
              <w:rPr>
                <w:rFonts w:hint="eastAsia" w:ascii="仿宋_GB2312" w:hAnsi="仿宋_GB2312" w:eastAsia="仿宋_GB2312" w:cs="仿宋_GB2312"/>
                <w:szCs w:val="21"/>
              </w:rPr>
            </w:pPr>
            <w:r>
              <w:rPr>
                <w:rFonts w:hint="eastAsia" w:ascii="仿宋_GB2312" w:hAnsi="仿宋_GB2312" w:eastAsia="仿宋_GB2312" w:cs="仿宋_GB2312"/>
                <w:szCs w:val="21"/>
              </w:rPr>
              <w:t>预算安排数（元）</w:t>
            </w:r>
          </w:p>
        </w:tc>
        <w:tc>
          <w:tcPr>
            <w:tcW w:w="1155" w:type="dxa"/>
          </w:tcPr>
          <w:p w14:paraId="3172CC13">
            <w:pPr>
              <w:rPr>
                <w:rFonts w:hint="eastAsia" w:ascii="仿宋_GB2312" w:hAnsi="仿宋_GB2312" w:eastAsia="仿宋_GB2312" w:cs="仿宋_GB2312"/>
                <w:szCs w:val="21"/>
              </w:rPr>
            </w:pPr>
            <w:r>
              <w:rPr>
                <w:rFonts w:hint="eastAsia" w:ascii="仿宋_GB2312" w:hAnsi="仿宋_GB2312" w:eastAsia="仿宋_GB2312" w:cs="仿宋_GB2312"/>
                <w:szCs w:val="21"/>
              </w:rPr>
              <w:t>全年执行数（元）</w:t>
            </w:r>
          </w:p>
        </w:tc>
        <w:tc>
          <w:tcPr>
            <w:tcW w:w="810" w:type="dxa"/>
          </w:tcPr>
          <w:p w14:paraId="60EAB704">
            <w:pPr>
              <w:rPr>
                <w:rFonts w:hint="eastAsia" w:ascii="仿宋_GB2312" w:hAnsi="仿宋_GB2312" w:eastAsia="仿宋_GB2312" w:cs="仿宋_GB2312"/>
                <w:szCs w:val="21"/>
              </w:rPr>
            </w:pPr>
            <w:r>
              <w:rPr>
                <w:rFonts w:hint="eastAsia" w:ascii="仿宋_GB2312" w:hAnsi="仿宋_GB2312" w:eastAsia="仿宋_GB2312" w:cs="仿宋_GB2312"/>
                <w:szCs w:val="21"/>
              </w:rPr>
              <w:t>自评得分</w:t>
            </w:r>
          </w:p>
        </w:tc>
      </w:tr>
      <w:tr w14:paraId="04D57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5" w:type="dxa"/>
          </w:tcPr>
          <w:p w14:paraId="2BF5ABAB">
            <w:pPr>
              <w:rPr>
                <w:rFonts w:hint="eastAsia" w:ascii="仿宋_GB2312" w:hAnsi="仿宋_GB2312" w:eastAsia="仿宋_GB2312" w:cs="仿宋_GB2312"/>
                <w:szCs w:val="21"/>
              </w:rPr>
            </w:pPr>
            <w:r>
              <w:rPr>
                <w:rFonts w:hint="eastAsia" w:ascii="仿宋_GB2312" w:hAnsi="仿宋_GB2312" w:eastAsia="仿宋_GB2312" w:cs="仿宋_GB2312"/>
                <w:szCs w:val="21"/>
              </w:rPr>
              <w:t>十五届六次全会会议费</w:t>
            </w:r>
          </w:p>
        </w:tc>
        <w:tc>
          <w:tcPr>
            <w:tcW w:w="1350" w:type="dxa"/>
          </w:tcPr>
          <w:p w14:paraId="4725640E">
            <w:pPr>
              <w:rPr>
                <w:rFonts w:hint="eastAsia" w:ascii="仿宋_GB2312" w:hAnsi="仿宋_GB2312" w:eastAsia="仿宋_GB2312" w:cs="仿宋_GB2312"/>
                <w:szCs w:val="21"/>
              </w:rPr>
            </w:pPr>
            <w:r>
              <w:rPr>
                <w:rFonts w:hint="eastAsia" w:ascii="仿宋_GB2312" w:hAnsi="仿宋_GB2312" w:eastAsia="仿宋_GB2312" w:cs="仿宋_GB2312"/>
                <w:szCs w:val="21"/>
              </w:rPr>
              <w:t>全年性项目</w:t>
            </w:r>
          </w:p>
        </w:tc>
        <w:tc>
          <w:tcPr>
            <w:tcW w:w="1710" w:type="dxa"/>
          </w:tcPr>
          <w:p w14:paraId="451CDBF2">
            <w:pPr>
              <w:rPr>
                <w:rFonts w:hint="eastAsia" w:ascii="仿宋_GB2312" w:hAnsi="仿宋_GB2312" w:eastAsia="仿宋_GB2312" w:cs="仿宋_GB2312"/>
                <w:szCs w:val="21"/>
              </w:rPr>
            </w:pPr>
            <w:r>
              <w:rPr>
                <w:rFonts w:hint="eastAsia" w:ascii="仿宋_GB2312" w:hAnsi="仿宋_GB2312" w:eastAsia="仿宋_GB2312" w:cs="仿宋_GB2312"/>
                <w:szCs w:val="21"/>
              </w:rPr>
              <w:t>县本级</w:t>
            </w:r>
          </w:p>
        </w:tc>
        <w:tc>
          <w:tcPr>
            <w:tcW w:w="960" w:type="dxa"/>
          </w:tcPr>
          <w:p w14:paraId="55C57377">
            <w:pPr>
              <w:rPr>
                <w:rFonts w:ascii="仿宋_GB2312" w:hAnsi="仿宋_GB2312" w:eastAsia="仿宋_GB2312" w:cs="仿宋_GB2312"/>
                <w:szCs w:val="21"/>
              </w:rPr>
            </w:pPr>
            <w:r>
              <w:rPr>
                <w:rFonts w:hint="eastAsia" w:ascii="仿宋_GB2312" w:hAnsi="仿宋_GB2312" w:eastAsia="仿宋_GB2312" w:cs="仿宋_GB2312"/>
                <w:szCs w:val="21"/>
              </w:rPr>
              <w:t>172176</w:t>
            </w:r>
          </w:p>
        </w:tc>
        <w:tc>
          <w:tcPr>
            <w:tcW w:w="1155" w:type="dxa"/>
          </w:tcPr>
          <w:p w14:paraId="60472E50">
            <w:pPr>
              <w:rPr>
                <w:rFonts w:ascii="仿宋_GB2312" w:hAnsi="仿宋_GB2312" w:eastAsia="仿宋_GB2312" w:cs="仿宋_GB2312"/>
                <w:szCs w:val="21"/>
              </w:rPr>
            </w:pPr>
            <w:r>
              <w:rPr>
                <w:rFonts w:hint="eastAsia" w:ascii="仿宋_GB2312" w:hAnsi="仿宋_GB2312" w:eastAsia="仿宋_GB2312" w:cs="仿宋_GB2312"/>
                <w:szCs w:val="21"/>
              </w:rPr>
              <w:t>172176</w:t>
            </w:r>
          </w:p>
        </w:tc>
        <w:tc>
          <w:tcPr>
            <w:tcW w:w="810" w:type="dxa"/>
          </w:tcPr>
          <w:p w14:paraId="2CC17655">
            <w:pPr>
              <w:rPr>
                <w:rFonts w:ascii="仿宋_GB2312" w:hAnsi="仿宋_GB2312" w:eastAsia="仿宋_GB2312" w:cs="仿宋_GB2312"/>
                <w:szCs w:val="21"/>
              </w:rPr>
            </w:pPr>
            <w:r>
              <w:rPr>
                <w:rFonts w:hint="eastAsia" w:ascii="仿宋_GB2312" w:hAnsi="仿宋_GB2312" w:eastAsia="仿宋_GB2312" w:cs="仿宋_GB2312"/>
                <w:szCs w:val="21"/>
              </w:rPr>
              <w:t>100</w:t>
            </w:r>
          </w:p>
        </w:tc>
      </w:tr>
      <w:tr w14:paraId="16BFA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5" w:type="dxa"/>
          </w:tcPr>
          <w:p w14:paraId="1A67A3DC">
            <w:pPr>
              <w:rPr>
                <w:rFonts w:hint="eastAsia" w:ascii="仿宋_GB2312" w:hAnsi="仿宋_GB2312" w:eastAsia="仿宋_GB2312" w:cs="仿宋_GB2312"/>
                <w:szCs w:val="21"/>
              </w:rPr>
            </w:pPr>
            <w:r>
              <w:rPr>
                <w:rFonts w:hint="eastAsia" w:ascii="仿宋_GB2312" w:hAnsi="仿宋_GB2312" w:eastAsia="仿宋_GB2312" w:cs="仿宋_GB2312"/>
                <w:szCs w:val="21"/>
              </w:rPr>
              <w:t>常委会</w:t>
            </w:r>
            <w:r>
              <w:rPr>
                <w:rFonts w:hint="eastAsia" w:ascii="仿宋_GB2312" w:hAnsi="仿宋_GB2312" w:eastAsia="仿宋_GB2312" w:cs="仿宋_GB2312"/>
                <w:szCs w:val="21"/>
                <w:lang w:val="en-US" w:eastAsia="zh-CN"/>
              </w:rPr>
              <w:t>会议</w:t>
            </w:r>
            <w:r>
              <w:rPr>
                <w:rFonts w:hint="eastAsia" w:ascii="仿宋_GB2312" w:hAnsi="仿宋_GB2312" w:eastAsia="仿宋_GB2312" w:cs="仿宋_GB2312"/>
                <w:szCs w:val="21"/>
              </w:rPr>
              <w:t>费</w:t>
            </w:r>
          </w:p>
        </w:tc>
        <w:tc>
          <w:tcPr>
            <w:tcW w:w="1350" w:type="dxa"/>
          </w:tcPr>
          <w:p w14:paraId="3D72BDFE">
            <w:pPr>
              <w:rPr>
                <w:rFonts w:hint="eastAsia" w:ascii="仿宋_GB2312" w:hAnsi="仿宋_GB2312" w:eastAsia="仿宋_GB2312" w:cs="仿宋_GB2312"/>
                <w:szCs w:val="21"/>
              </w:rPr>
            </w:pPr>
            <w:r>
              <w:rPr>
                <w:rFonts w:hint="eastAsia" w:ascii="仿宋_GB2312" w:hAnsi="仿宋_GB2312" w:eastAsia="仿宋_GB2312" w:cs="仿宋_GB2312"/>
                <w:szCs w:val="21"/>
              </w:rPr>
              <w:t>全年性项目</w:t>
            </w:r>
          </w:p>
        </w:tc>
        <w:tc>
          <w:tcPr>
            <w:tcW w:w="1710" w:type="dxa"/>
          </w:tcPr>
          <w:p w14:paraId="57299D0E">
            <w:pPr>
              <w:rPr>
                <w:rFonts w:hint="eastAsia" w:ascii="仿宋_GB2312" w:hAnsi="仿宋_GB2312" w:eastAsia="仿宋_GB2312" w:cs="仿宋_GB2312"/>
                <w:szCs w:val="21"/>
              </w:rPr>
            </w:pPr>
            <w:r>
              <w:rPr>
                <w:rFonts w:hint="eastAsia" w:ascii="仿宋_GB2312" w:hAnsi="仿宋_GB2312" w:eastAsia="仿宋_GB2312" w:cs="仿宋_GB2312"/>
                <w:szCs w:val="21"/>
              </w:rPr>
              <w:t>县本级</w:t>
            </w:r>
          </w:p>
        </w:tc>
        <w:tc>
          <w:tcPr>
            <w:tcW w:w="960" w:type="dxa"/>
          </w:tcPr>
          <w:p w14:paraId="6F74AABB">
            <w:pPr>
              <w:rPr>
                <w:rFonts w:ascii="仿宋_GB2312" w:hAnsi="仿宋_GB2312" w:eastAsia="仿宋_GB2312" w:cs="仿宋_GB2312"/>
                <w:szCs w:val="21"/>
              </w:rPr>
            </w:pPr>
            <w:r>
              <w:rPr>
                <w:rFonts w:hint="eastAsia" w:ascii="仿宋_GB2312" w:hAnsi="仿宋_GB2312" w:eastAsia="仿宋_GB2312" w:cs="仿宋_GB2312"/>
                <w:szCs w:val="21"/>
              </w:rPr>
              <w:t>42917</w:t>
            </w:r>
          </w:p>
        </w:tc>
        <w:tc>
          <w:tcPr>
            <w:tcW w:w="1155" w:type="dxa"/>
          </w:tcPr>
          <w:p w14:paraId="3D537A0E">
            <w:pPr>
              <w:rPr>
                <w:rFonts w:ascii="仿宋_GB2312" w:hAnsi="仿宋_GB2312" w:eastAsia="仿宋_GB2312" w:cs="仿宋_GB2312"/>
                <w:szCs w:val="21"/>
              </w:rPr>
            </w:pPr>
            <w:r>
              <w:rPr>
                <w:rFonts w:hint="eastAsia" w:ascii="仿宋_GB2312" w:hAnsi="仿宋_GB2312" w:eastAsia="仿宋_GB2312" w:cs="仿宋_GB2312"/>
                <w:szCs w:val="21"/>
              </w:rPr>
              <w:t>42917</w:t>
            </w:r>
          </w:p>
        </w:tc>
        <w:tc>
          <w:tcPr>
            <w:tcW w:w="810" w:type="dxa"/>
          </w:tcPr>
          <w:p w14:paraId="06F245A3">
            <w:pPr>
              <w:rPr>
                <w:rFonts w:ascii="仿宋_GB2312" w:hAnsi="仿宋_GB2312" w:eastAsia="仿宋_GB2312" w:cs="仿宋_GB2312"/>
                <w:szCs w:val="21"/>
              </w:rPr>
            </w:pPr>
            <w:r>
              <w:rPr>
                <w:rFonts w:hint="eastAsia" w:ascii="仿宋_GB2312" w:hAnsi="仿宋_GB2312" w:eastAsia="仿宋_GB2312" w:cs="仿宋_GB2312"/>
                <w:szCs w:val="21"/>
              </w:rPr>
              <w:t>97</w:t>
            </w:r>
          </w:p>
        </w:tc>
      </w:tr>
      <w:tr w14:paraId="1442D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5" w:type="dxa"/>
          </w:tcPr>
          <w:p w14:paraId="594AA423">
            <w:pPr>
              <w:rPr>
                <w:rFonts w:hint="eastAsia" w:ascii="仿宋_GB2312" w:hAnsi="仿宋_GB2312" w:eastAsia="仿宋_GB2312" w:cs="仿宋_GB2312"/>
                <w:szCs w:val="21"/>
              </w:rPr>
            </w:pPr>
            <w:r>
              <w:rPr>
                <w:rFonts w:hint="eastAsia" w:ascii="仿宋_GB2312" w:hAnsi="仿宋_GB2312" w:eastAsia="仿宋_GB2312" w:cs="仿宋_GB2312"/>
                <w:szCs w:val="21"/>
              </w:rPr>
              <w:t>代表活动费</w:t>
            </w:r>
          </w:p>
        </w:tc>
        <w:tc>
          <w:tcPr>
            <w:tcW w:w="1350" w:type="dxa"/>
          </w:tcPr>
          <w:p w14:paraId="088274CE">
            <w:pPr>
              <w:rPr>
                <w:rFonts w:hint="eastAsia" w:ascii="仿宋_GB2312" w:hAnsi="仿宋_GB2312" w:eastAsia="仿宋_GB2312" w:cs="仿宋_GB2312"/>
                <w:szCs w:val="21"/>
              </w:rPr>
            </w:pPr>
            <w:r>
              <w:rPr>
                <w:rFonts w:hint="eastAsia" w:ascii="仿宋_GB2312" w:hAnsi="仿宋_GB2312" w:eastAsia="仿宋_GB2312" w:cs="仿宋_GB2312"/>
                <w:szCs w:val="21"/>
              </w:rPr>
              <w:t>全年性项目</w:t>
            </w:r>
          </w:p>
        </w:tc>
        <w:tc>
          <w:tcPr>
            <w:tcW w:w="1710" w:type="dxa"/>
          </w:tcPr>
          <w:p w14:paraId="50D27B60">
            <w:pPr>
              <w:rPr>
                <w:rFonts w:hint="eastAsia" w:ascii="仿宋_GB2312" w:hAnsi="仿宋_GB2312" w:eastAsia="仿宋_GB2312" w:cs="仿宋_GB2312"/>
                <w:szCs w:val="21"/>
              </w:rPr>
            </w:pPr>
            <w:r>
              <w:rPr>
                <w:rFonts w:hint="eastAsia" w:ascii="仿宋_GB2312" w:hAnsi="仿宋_GB2312" w:eastAsia="仿宋_GB2312" w:cs="仿宋_GB2312"/>
                <w:szCs w:val="21"/>
              </w:rPr>
              <w:t>县本级</w:t>
            </w:r>
          </w:p>
        </w:tc>
        <w:tc>
          <w:tcPr>
            <w:tcW w:w="960" w:type="dxa"/>
          </w:tcPr>
          <w:p w14:paraId="2CBBCAFB">
            <w:pPr>
              <w:rPr>
                <w:rFonts w:ascii="仿宋_GB2312" w:hAnsi="仿宋_GB2312" w:eastAsia="仿宋_GB2312" w:cs="仿宋_GB2312"/>
                <w:szCs w:val="21"/>
              </w:rPr>
            </w:pPr>
            <w:r>
              <w:rPr>
                <w:rFonts w:hint="eastAsia" w:ascii="仿宋_GB2312" w:hAnsi="仿宋_GB2312" w:eastAsia="仿宋_GB2312" w:cs="仿宋_GB2312"/>
                <w:szCs w:val="21"/>
              </w:rPr>
              <w:t>179350</w:t>
            </w:r>
          </w:p>
        </w:tc>
        <w:tc>
          <w:tcPr>
            <w:tcW w:w="1155" w:type="dxa"/>
          </w:tcPr>
          <w:p w14:paraId="7C8133FF">
            <w:pPr>
              <w:rPr>
                <w:rFonts w:ascii="仿宋_GB2312" w:hAnsi="仿宋_GB2312" w:eastAsia="仿宋_GB2312" w:cs="仿宋_GB2312"/>
                <w:szCs w:val="21"/>
              </w:rPr>
            </w:pPr>
            <w:r>
              <w:rPr>
                <w:rFonts w:hint="eastAsia" w:ascii="仿宋_GB2312" w:hAnsi="仿宋_GB2312" w:eastAsia="仿宋_GB2312" w:cs="仿宋_GB2312"/>
                <w:szCs w:val="21"/>
              </w:rPr>
              <w:t>179350</w:t>
            </w:r>
          </w:p>
        </w:tc>
        <w:tc>
          <w:tcPr>
            <w:tcW w:w="810" w:type="dxa"/>
          </w:tcPr>
          <w:p w14:paraId="305C6BA4">
            <w:pPr>
              <w:rPr>
                <w:rFonts w:ascii="仿宋_GB2312" w:hAnsi="仿宋_GB2312" w:eastAsia="仿宋_GB2312" w:cs="仿宋_GB2312"/>
                <w:szCs w:val="21"/>
              </w:rPr>
            </w:pPr>
            <w:r>
              <w:rPr>
                <w:rFonts w:hint="eastAsia" w:ascii="仿宋_GB2312" w:hAnsi="仿宋_GB2312" w:eastAsia="仿宋_GB2312" w:cs="仿宋_GB2312"/>
                <w:szCs w:val="21"/>
              </w:rPr>
              <w:t>100</w:t>
            </w:r>
          </w:p>
        </w:tc>
      </w:tr>
      <w:tr w14:paraId="15EE3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3525" w:type="dxa"/>
          </w:tcPr>
          <w:p w14:paraId="1219267C">
            <w:pPr>
              <w:rPr>
                <w:rFonts w:hint="eastAsia" w:ascii="仿宋_GB2312" w:hAnsi="仿宋_GB2312" w:eastAsia="仿宋_GB2312" w:cs="仿宋_GB2312"/>
                <w:szCs w:val="21"/>
              </w:rPr>
            </w:pPr>
            <w:r>
              <w:rPr>
                <w:rFonts w:hint="eastAsia" w:ascii="仿宋_GB2312" w:hAnsi="仿宋_GB2312" w:eastAsia="仿宋_GB2312" w:cs="仿宋_GB2312"/>
                <w:szCs w:val="21"/>
              </w:rPr>
              <w:t>代表之家运行经费</w:t>
            </w:r>
          </w:p>
        </w:tc>
        <w:tc>
          <w:tcPr>
            <w:tcW w:w="1350" w:type="dxa"/>
          </w:tcPr>
          <w:p w14:paraId="0D86D316">
            <w:pPr>
              <w:rPr>
                <w:rFonts w:hint="eastAsia" w:ascii="仿宋_GB2312" w:hAnsi="仿宋_GB2312" w:eastAsia="仿宋_GB2312" w:cs="仿宋_GB2312"/>
                <w:szCs w:val="21"/>
              </w:rPr>
            </w:pPr>
            <w:r>
              <w:rPr>
                <w:rFonts w:hint="eastAsia" w:ascii="仿宋_GB2312" w:hAnsi="仿宋_GB2312" w:eastAsia="仿宋_GB2312" w:cs="仿宋_GB2312"/>
                <w:szCs w:val="21"/>
              </w:rPr>
              <w:t>全年性项目</w:t>
            </w:r>
          </w:p>
        </w:tc>
        <w:tc>
          <w:tcPr>
            <w:tcW w:w="1710" w:type="dxa"/>
          </w:tcPr>
          <w:p w14:paraId="76D11FA0">
            <w:pPr>
              <w:rPr>
                <w:rFonts w:hint="eastAsia" w:ascii="仿宋_GB2312" w:hAnsi="仿宋_GB2312" w:eastAsia="仿宋_GB2312" w:cs="仿宋_GB2312"/>
                <w:szCs w:val="21"/>
              </w:rPr>
            </w:pPr>
            <w:r>
              <w:rPr>
                <w:rFonts w:hint="eastAsia" w:ascii="仿宋_GB2312" w:hAnsi="仿宋_GB2312" w:eastAsia="仿宋_GB2312" w:cs="仿宋_GB2312"/>
                <w:szCs w:val="21"/>
              </w:rPr>
              <w:t>县本级</w:t>
            </w:r>
          </w:p>
        </w:tc>
        <w:tc>
          <w:tcPr>
            <w:tcW w:w="960" w:type="dxa"/>
          </w:tcPr>
          <w:p w14:paraId="10B136C4">
            <w:pPr>
              <w:rPr>
                <w:rFonts w:ascii="仿宋_GB2312" w:hAnsi="仿宋_GB2312" w:eastAsia="仿宋_GB2312" w:cs="仿宋_GB2312"/>
                <w:szCs w:val="21"/>
              </w:rPr>
            </w:pPr>
            <w:r>
              <w:rPr>
                <w:rFonts w:hint="eastAsia" w:ascii="仿宋_GB2312" w:hAnsi="仿宋_GB2312" w:eastAsia="仿宋_GB2312" w:cs="仿宋_GB2312"/>
                <w:szCs w:val="21"/>
              </w:rPr>
              <w:t>68000</w:t>
            </w:r>
          </w:p>
        </w:tc>
        <w:tc>
          <w:tcPr>
            <w:tcW w:w="1155" w:type="dxa"/>
          </w:tcPr>
          <w:p w14:paraId="5B2AA030">
            <w:pPr>
              <w:rPr>
                <w:rFonts w:ascii="仿宋_GB2312" w:hAnsi="仿宋_GB2312" w:eastAsia="仿宋_GB2312" w:cs="仿宋_GB2312"/>
                <w:szCs w:val="21"/>
              </w:rPr>
            </w:pPr>
            <w:r>
              <w:rPr>
                <w:rFonts w:hint="eastAsia" w:ascii="仿宋_GB2312" w:hAnsi="仿宋_GB2312" w:eastAsia="仿宋_GB2312" w:cs="仿宋_GB2312"/>
                <w:szCs w:val="21"/>
              </w:rPr>
              <w:t>68000</w:t>
            </w:r>
          </w:p>
        </w:tc>
        <w:tc>
          <w:tcPr>
            <w:tcW w:w="810" w:type="dxa"/>
          </w:tcPr>
          <w:p w14:paraId="5FFEB088">
            <w:pPr>
              <w:rPr>
                <w:rFonts w:ascii="仿宋_GB2312" w:hAnsi="仿宋_GB2312" w:eastAsia="仿宋_GB2312" w:cs="仿宋_GB2312"/>
                <w:szCs w:val="21"/>
              </w:rPr>
            </w:pPr>
            <w:r>
              <w:rPr>
                <w:rFonts w:hint="eastAsia" w:ascii="仿宋_GB2312" w:hAnsi="仿宋_GB2312" w:eastAsia="仿宋_GB2312" w:cs="仿宋_GB2312"/>
                <w:szCs w:val="21"/>
              </w:rPr>
              <w:t>100</w:t>
            </w:r>
          </w:p>
        </w:tc>
      </w:tr>
      <w:tr w14:paraId="2DDFC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5" w:type="dxa"/>
          </w:tcPr>
          <w:p w14:paraId="76AE4705">
            <w:pPr>
              <w:rPr>
                <w:rFonts w:hint="eastAsia" w:ascii="仿宋_GB2312" w:hAnsi="仿宋_GB2312" w:eastAsia="仿宋_GB2312" w:cs="仿宋_GB2312"/>
                <w:szCs w:val="21"/>
              </w:rPr>
            </w:pPr>
            <w:r>
              <w:rPr>
                <w:rFonts w:hint="eastAsia" w:ascii="仿宋_GB2312" w:hAnsi="仿宋_GB2312" w:eastAsia="仿宋_GB2312" w:cs="仿宋_GB2312"/>
                <w:szCs w:val="21"/>
              </w:rPr>
              <w:t>人大专门委员会活动经费</w:t>
            </w:r>
          </w:p>
        </w:tc>
        <w:tc>
          <w:tcPr>
            <w:tcW w:w="1350" w:type="dxa"/>
          </w:tcPr>
          <w:p w14:paraId="1220CF2E">
            <w:pPr>
              <w:rPr>
                <w:rFonts w:hint="eastAsia" w:ascii="仿宋_GB2312" w:hAnsi="仿宋_GB2312" w:eastAsia="仿宋_GB2312" w:cs="仿宋_GB2312"/>
                <w:szCs w:val="21"/>
              </w:rPr>
            </w:pPr>
            <w:r>
              <w:rPr>
                <w:rFonts w:hint="eastAsia" w:ascii="仿宋_GB2312" w:hAnsi="仿宋_GB2312" w:eastAsia="仿宋_GB2312" w:cs="仿宋_GB2312"/>
                <w:szCs w:val="21"/>
              </w:rPr>
              <w:t>全年性项目</w:t>
            </w:r>
          </w:p>
        </w:tc>
        <w:tc>
          <w:tcPr>
            <w:tcW w:w="1710" w:type="dxa"/>
          </w:tcPr>
          <w:p w14:paraId="6118E932">
            <w:pPr>
              <w:rPr>
                <w:rFonts w:hint="eastAsia" w:ascii="仿宋_GB2312" w:hAnsi="仿宋_GB2312" w:eastAsia="仿宋_GB2312" w:cs="仿宋_GB2312"/>
                <w:szCs w:val="21"/>
              </w:rPr>
            </w:pPr>
            <w:r>
              <w:rPr>
                <w:rFonts w:hint="eastAsia" w:ascii="仿宋_GB2312" w:hAnsi="仿宋_GB2312" w:eastAsia="仿宋_GB2312" w:cs="仿宋_GB2312"/>
                <w:szCs w:val="21"/>
              </w:rPr>
              <w:t>县本级</w:t>
            </w:r>
          </w:p>
        </w:tc>
        <w:tc>
          <w:tcPr>
            <w:tcW w:w="960" w:type="dxa"/>
          </w:tcPr>
          <w:p w14:paraId="59140C2E">
            <w:pPr>
              <w:rPr>
                <w:rFonts w:ascii="仿宋_GB2312" w:hAnsi="仿宋_GB2312" w:eastAsia="仿宋_GB2312" w:cs="仿宋_GB2312"/>
                <w:szCs w:val="21"/>
              </w:rPr>
            </w:pPr>
            <w:r>
              <w:rPr>
                <w:rFonts w:hint="eastAsia" w:ascii="仿宋_GB2312" w:hAnsi="仿宋_GB2312" w:eastAsia="仿宋_GB2312" w:cs="仿宋_GB2312"/>
                <w:szCs w:val="21"/>
              </w:rPr>
              <w:t>42500</w:t>
            </w:r>
          </w:p>
        </w:tc>
        <w:tc>
          <w:tcPr>
            <w:tcW w:w="1155" w:type="dxa"/>
          </w:tcPr>
          <w:p w14:paraId="1F1859A6">
            <w:pPr>
              <w:rPr>
                <w:rFonts w:ascii="仿宋_GB2312" w:hAnsi="仿宋_GB2312" w:eastAsia="仿宋_GB2312" w:cs="仿宋_GB2312"/>
                <w:szCs w:val="21"/>
              </w:rPr>
            </w:pPr>
            <w:r>
              <w:rPr>
                <w:rFonts w:hint="eastAsia" w:ascii="仿宋_GB2312" w:hAnsi="仿宋_GB2312" w:eastAsia="仿宋_GB2312" w:cs="仿宋_GB2312"/>
                <w:szCs w:val="21"/>
              </w:rPr>
              <w:t>42500</w:t>
            </w:r>
          </w:p>
        </w:tc>
        <w:tc>
          <w:tcPr>
            <w:tcW w:w="810" w:type="dxa"/>
          </w:tcPr>
          <w:p w14:paraId="6F965CD3">
            <w:pPr>
              <w:rPr>
                <w:rFonts w:ascii="仿宋_GB2312" w:hAnsi="仿宋_GB2312" w:eastAsia="仿宋_GB2312" w:cs="仿宋_GB2312"/>
                <w:szCs w:val="21"/>
              </w:rPr>
            </w:pPr>
            <w:r>
              <w:rPr>
                <w:rFonts w:hint="eastAsia" w:ascii="仿宋_GB2312" w:hAnsi="仿宋_GB2312" w:eastAsia="仿宋_GB2312" w:cs="仿宋_GB2312"/>
                <w:szCs w:val="21"/>
              </w:rPr>
              <w:t>100</w:t>
            </w:r>
          </w:p>
        </w:tc>
      </w:tr>
      <w:tr w14:paraId="4F593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5" w:type="dxa"/>
          </w:tcPr>
          <w:p w14:paraId="3C40996E">
            <w:pPr>
              <w:rPr>
                <w:rFonts w:hint="eastAsia" w:ascii="仿宋_GB2312" w:hAnsi="仿宋_GB2312" w:eastAsia="仿宋_GB2312" w:cs="仿宋_GB2312"/>
                <w:szCs w:val="21"/>
              </w:rPr>
            </w:pPr>
            <w:r>
              <w:rPr>
                <w:rFonts w:hint="eastAsia" w:ascii="仿宋_GB2312" w:hAnsi="仿宋_GB2312" w:eastAsia="仿宋_GB2312" w:cs="仿宋_GB2312"/>
                <w:szCs w:val="21"/>
              </w:rPr>
              <w:t>人大专项办公经费</w:t>
            </w:r>
          </w:p>
        </w:tc>
        <w:tc>
          <w:tcPr>
            <w:tcW w:w="1350" w:type="dxa"/>
          </w:tcPr>
          <w:p w14:paraId="09930933">
            <w:pPr>
              <w:rPr>
                <w:rFonts w:hint="eastAsia" w:ascii="仿宋_GB2312" w:hAnsi="仿宋_GB2312" w:eastAsia="仿宋_GB2312" w:cs="仿宋_GB2312"/>
                <w:szCs w:val="21"/>
              </w:rPr>
            </w:pPr>
            <w:r>
              <w:rPr>
                <w:rFonts w:hint="eastAsia" w:ascii="仿宋_GB2312" w:hAnsi="仿宋_GB2312" w:eastAsia="仿宋_GB2312" w:cs="仿宋_GB2312"/>
                <w:szCs w:val="21"/>
              </w:rPr>
              <w:t>全年性项目</w:t>
            </w:r>
          </w:p>
        </w:tc>
        <w:tc>
          <w:tcPr>
            <w:tcW w:w="1710" w:type="dxa"/>
          </w:tcPr>
          <w:p w14:paraId="39388F88">
            <w:pPr>
              <w:rPr>
                <w:rFonts w:hint="eastAsia" w:ascii="仿宋_GB2312" w:hAnsi="仿宋_GB2312" w:eastAsia="仿宋_GB2312" w:cs="仿宋_GB2312"/>
                <w:szCs w:val="21"/>
              </w:rPr>
            </w:pPr>
            <w:r>
              <w:rPr>
                <w:rFonts w:hint="eastAsia" w:ascii="仿宋_GB2312" w:hAnsi="仿宋_GB2312" w:eastAsia="仿宋_GB2312" w:cs="仿宋_GB2312"/>
                <w:szCs w:val="21"/>
              </w:rPr>
              <w:t>县本级</w:t>
            </w:r>
          </w:p>
        </w:tc>
        <w:tc>
          <w:tcPr>
            <w:tcW w:w="960" w:type="dxa"/>
          </w:tcPr>
          <w:p w14:paraId="2DB57D1B">
            <w:pPr>
              <w:rPr>
                <w:rFonts w:ascii="仿宋_GB2312" w:hAnsi="仿宋_GB2312" w:eastAsia="仿宋_GB2312" w:cs="仿宋_GB2312"/>
                <w:szCs w:val="21"/>
              </w:rPr>
            </w:pPr>
            <w:r>
              <w:rPr>
                <w:rFonts w:hint="eastAsia" w:ascii="仿宋_GB2312" w:hAnsi="仿宋_GB2312" w:eastAsia="仿宋_GB2312" w:cs="仿宋_GB2312"/>
                <w:szCs w:val="21"/>
              </w:rPr>
              <w:t>211015</w:t>
            </w:r>
          </w:p>
        </w:tc>
        <w:tc>
          <w:tcPr>
            <w:tcW w:w="1155" w:type="dxa"/>
          </w:tcPr>
          <w:p w14:paraId="67FE18CC">
            <w:pPr>
              <w:rPr>
                <w:rFonts w:ascii="仿宋_GB2312" w:hAnsi="仿宋_GB2312" w:eastAsia="仿宋_GB2312" w:cs="仿宋_GB2312"/>
                <w:szCs w:val="21"/>
              </w:rPr>
            </w:pPr>
            <w:r>
              <w:rPr>
                <w:rFonts w:hint="eastAsia" w:ascii="仿宋_GB2312" w:hAnsi="仿宋_GB2312" w:eastAsia="仿宋_GB2312" w:cs="仿宋_GB2312"/>
                <w:szCs w:val="21"/>
              </w:rPr>
              <w:t>211015</w:t>
            </w:r>
          </w:p>
        </w:tc>
        <w:tc>
          <w:tcPr>
            <w:tcW w:w="810" w:type="dxa"/>
          </w:tcPr>
          <w:p w14:paraId="4E8FB58E">
            <w:pPr>
              <w:rPr>
                <w:rFonts w:ascii="仿宋_GB2312" w:hAnsi="仿宋_GB2312" w:eastAsia="仿宋_GB2312" w:cs="仿宋_GB2312"/>
                <w:szCs w:val="21"/>
              </w:rPr>
            </w:pPr>
            <w:r>
              <w:rPr>
                <w:rFonts w:hint="eastAsia" w:ascii="仿宋_GB2312" w:hAnsi="仿宋_GB2312" w:eastAsia="仿宋_GB2312" w:cs="仿宋_GB2312"/>
                <w:szCs w:val="21"/>
              </w:rPr>
              <w:t>98</w:t>
            </w:r>
          </w:p>
        </w:tc>
      </w:tr>
      <w:tr w14:paraId="017B8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5" w:type="dxa"/>
          </w:tcPr>
          <w:p w14:paraId="42035746">
            <w:pPr>
              <w:rPr>
                <w:rFonts w:ascii="仿宋_GB2312" w:hAnsi="仿宋_GB2312" w:eastAsia="仿宋_GB2312" w:cs="仿宋_GB2312"/>
                <w:szCs w:val="21"/>
              </w:rPr>
            </w:pPr>
            <w:r>
              <w:rPr>
                <w:rFonts w:hint="eastAsia" w:ascii="仿宋_GB2312" w:hAnsi="仿宋_GB2312" w:eastAsia="仿宋_GB2312" w:cs="仿宋_GB2312"/>
                <w:szCs w:val="21"/>
              </w:rPr>
              <w:t>十六届一次全会会议费</w:t>
            </w:r>
          </w:p>
        </w:tc>
        <w:tc>
          <w:tcPr>
            <w:tcW w:w="1350" w:type="dxa"/>
          </w:tcPr>
          <w:p w14:paraId="20CA3F07">
            <w:pPr>
              <w:rPr>
                <w:rFonts w:hint="eastAsia" w:ascii="仿宋_GB2312" w:hAnsi="仿宋_GB2312" w:eastAsia="仿宋_GB2312" w:cs="仿宋_GB2312"/>
                <w:szCs w:val="21"/>
              </w:rPr>
            </w:pPr>
            <w:r>
              <w:rPr>
                <w:rFonts w:hint="eastAsia" w:ascii="仿宋_GB2312" w:hAnsi="仿宋_GB2312" w:eastAsia="仿宋_GB2312" w:cs="仿宋_GB2312"/>
                <w:szCs w:val="21"/>
              </w:rPr>
              <w:t>全年性项目</w:t>
            </w:r>
          </w:p>
        </w:tc>
        <w:tc>
          <w:tcPr>
            <w:tcW w:w="1710" w:type="dxa"/>
          </w:tcPr>
          <w:p w14:paraId="2D8E66D1">
            <w:pPr>
              <w:rPr>
                <w:rFonts w:hint="eastAsia" w:ascii="仿宋_GB2312" w:hAnsi="仿宋_GB2312" w:eastAsia="仿宋_GB2312" w:cs="仿宋_GB2312"/>
                <w:szCs w:val="21"/>
              </w:rPr>
            </w:pPr>
            <w:r>
              <w:rPr>
                <w:rFonts w:hint="eastAsia" w:ascii="仿宋_GB2312" w:hAnsi="仿宋_GB2312" w:eastAsia="仿宋_GB2312" w:cs="仿宋_GB2312"/>
                <w:szCs w:val="21"/>
              </w:rPr>
              <w:t>县本级</w:t>
            </w:r>
          </w:p>
        </w:tc>
        <w:tc>
          <w:tcPr>
            <w:tcW w:w="960" w:type="dxa"/>
          </w:tcPr>
          <w:p w14:paraId="224F1B71">
            <w:pPr>
              <w:rPr>
                <w:rFonts w:ascii="仿宋_GB2312" w:hAnsi="仿宋_GB2312" w:eastAsia="仿宋_GB2312" w:cs="仿宋_GB2312"/>
                <w:szCs w:val="21"/>
              </w:rPr>
            </w:pPr>
            <w:r>
              <w:rPr>
                <w:rFonts w:hint="eastAsia" w:ascii="仿宋_GB2312" w:hAnsi="仿宋_GB2312" w:eastAsia="仿宋_GB2312" w:cs="仿宋_GB2312"/>
                <w:szCs w:val="21"/>
              </w:rPr>
              <w:t>308700</w:t>
            </w:r>
          </w:p>
        </w:tc>
        <w:tc>
          <w:tcPr>
            <w:tcW w:w="1155" w:type="dxa"/>
          </w:tcPr>
          <w:p w14:paraId="0C433A60">
            <w:pPr>
              <w:rPr>
                <w:rFonts w:ascii="仿宋_GB2312" w:hAnsi="仿宋_GB2312" w:eastAsia="仿宋_GB2312" w:cs="仿宋_GB2312"/>
                <w:szCs w:val="21"/>
              </w:rPr>
            </w:pPr>
            <w:r>
              <w:rPr>
                <w:rFonts w:hint="eastAsia" w:ascii="仿宋_GB2312" w:hAnsi="仿宋_GB2312" w:eastAsia="仿宋_GB2312" w:cs="仿宋_GB2312"/>
                <w:szCs w:val="21"/>
              </w:rPr>
              <w:t>308700</w:t>
            </w:r>
          </w:p>
        </w:tc>
        <w:tc>
          <w:tcPr>
            <w:tcW w:w="810" w:type="dxa"/>
          </w:tcPr>
          <w:p w14:paraId="79D51E73">
            <w:pPr>
              <w:ind w:firstLine="222"/>
              <w:rPr>
                <w:rFonts w:ascii="仿宋_GB2312" w:hAnsi="仿宋_GB2312" w:eastAsia="仿宋_GB2312" w:cs="仿宋_GB2312"/>
                <w:szCs w:val="21"/>
              </w:rPr>
            </w:pPr>
            <w:r>
              <w:rPr>
                <w:rFonts w:hint="eastAsia" w:ascii="仿宋_GB2312" w:hAnsi="仿宋_GB2312" w:eastAsia="仿宋_GB2312" w:cs="仿宋_GB2312"/>
                <w:szCs w:val="21"/>
              </w:rPr>
              <w:t>99</w:t>
            </w:r>
          </w:p>
        </w:tc>
      </w:tr>
      <w:tr w14:paraId="00EAE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5" w:type="dxa"/>
          </w:tcPr>
          <w:p w14:paraId="26BBA17F">
            <w:pPr>
              <w:jc w:val="center"/>
              <w:rPr>
                <w:rFonts w:ascii="仿宋_GB2312" w:hAnsi="仿宋_GB2312" w:eastAsia="仿宋_GB2312" w:cs="仿宋_GB2312"/>
                <w:szCs w:val="21"/>
              </w:rPr>
            </w:pPr>
            <w:r>
              <w:rPr>
                <w:rFonts w:hint="eastAsia" w:ascii="仿宋_GB2312" w:hAnsi="仿宋_GB2312" w:eastAsia="仿宋_GB2312" w:cs="仿宋_GB2312"/>
                <w:szCs w:val="21"/>
              </w:rPr>
              <w:t>新农村建设促进会运行经费</w:t>
            </w:r>
          </w:p>
        </w:tc>
        <w:tc>
          <w:tcPr>
            <w:tcW w:w="1350" w:type="dxa"/>
          </w:tcPr>
          <w:p w14:paraId="18C5E66B">
            <w:pPr>
              <w:rPr>
                <w:rFonts w:hint="eastAsia" w:ascii="仿宋_GB2312" w:hAnsi="仿宋_GB2312" w:eastAsia="仿宋_GB2312" w:cs="仿宋_GB2312"/>
                <w:szCs w:val="21"/>
              </w:rPr>
            </w:pPr>
            <w:r>
              <w:rPr>
                <w:rFonts w:hint="eastAsia" w:ascii="仿宋_GB2312" w:hAnsi="仿宋_GB2312" w:eastAsia="仿宋_GB2312" w:cs="仿宋_GB2312"/>
                <w:szCs w:val="21"/>
              </w:rPr>
              <w:t>全年性项目</w:t>
            </w:r>
          </w:p>
        </w:tc>
        <w:tc>
          <w:tcPr>
            <w:tcW w:w="1710" w:type="dxa"/>
          </w:tcPr>
          <w:p w14:paraId="3FFFDFB5">
            <w:pPr>
              <w:rPr>
                <w:rFonts w:hint="eastAsia" w:ascii="仿宋_GB2312" w:hAnsi="仿宋_GB2312" w:eastAsia="仿宋_GB2312" w:cs="仿宋_GB2312"/>
                <w:szCs w:val="21"/>
              </w:rPr>
            </w:pPr>
            <w:r>
              <w:rPr>
                <w:rFonts w:hint="eastAsia" w:ascii="仿宋_GB2312" w:hAnsi="仿宋_GB2312" w:eastAsia="仿宋_GB2312" w:cs="仿宋_GB2312"/>
                <w:szCs w:val="21"/>
              </w:rPr>
              <w:t>县本级</w:t>
            </w:r>
          </w:p>
        </w:tc>
        <w:tc>
          <w:tcPr>
            <w:tcW w:w="960" w:type="dxa"/>
          </w:tcPr>
          <w:p w14:paraId="79E696CD">
            <w:pPr>
              <w:rPr>
                <w:rFonts w:ascii="仿宋_GB2312" w:hAnsi="仿宋_GB2312" w:eastAsia="仿宋_GB2312" w:cs="仿宋_GB2312"/>
                <w:szCs w:val="21"/>
              </w:rPr>
            </w:pPr>
            <w:r>
              <w:rPr>
                <w:rFonts w:hint="eastAsia" w:ascii="仿宋_GB2312" w:hAnsi="仿宋_GB2312" w:eastAsia="仿宋_GB2312" w:cs="仿宋_GB2312"/>
                <w:szCs w:val="21"/>
              </w:rPr>
              <w:t>25500</w:t>
            </w:r>
          </w:p>
        </w:tc>
        <w:tc>
          <w:tcPr>
            <w:tcW w:w="1155" w:type="dxa"/>
          </w:tcPr>
          <w:p w14:paraId="606E2A6D">
            <w:pPr>
              <w:rPr>
                <w:rFonts w:ascii="仿宋_GB2312" w:hAnsi="仿宋_GB2312" w:eastAsia="仿宋_GB2312" w:cs="仿宋_GB2312"/>
                <w:szCs w:val="21"/>
              </w:rPr>
            </w:pPr>
            <w:r>
              <w:rPr>
                <w:rFonts w:hint="eastAsia" w:ascii="仿宋_GB2312" w:hAnsi="仿宋_GB2312" w:eastAsia="仿宋_GB2312" w:cs="仿宋_GB2312"/>
                <w:szCs w:val="21"/>
              </w:rPr>
              <w:t>25500</w:t>
            </w:r>
          </w:p>
        </w:tc>
        <w:tc>
          <w:tcPr>
            <w:tcW w:w="810" w:type="dxa"/>
          </w:tcPr>
          <w:p w14:paraId="33A130B5">
            <w:pPr>
              <w:rPr>
                <w:rFonts w:ascii="仿宋_GB2312" w:hAnsi="仿宋_GB2312" w:eastAsia="仿宋_GB2312" w:cs="仿宋_GB2312"/>
                <w:szCs w:val="21"/>
              </w:rPr>
            </w:pPr>
            <w:r>
              <w:rPr>
                <w:rFonts w:hint="eastAsia" w:ascii="仿宋_GB2312" w:hAnsi="仿宋_GB2312" w:eastAsia="仿宋_GB2312" w:cs="仿宋_GB2312"/>
                <w:szCs w:val="21"/>
              </w:rPr>
              <w:t>100</w:t>
            </w:r>
          </w:p>
        </w:tc>
      </w:tr>
      <w:tr w14:paraId="2607B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25" w:type="dxa"/>
          </w:tcPr>
          <w:p w14:paraId="7E475E82">
            <w:pPr>
              <w:jc w:val="center"/>
              <w:rPr>
                <w:rFonts w:ascii="仿宋_GB2312" w:hAnsi="仿宋_GB2312" w:eastAsia="仿宋_GB2312" w:cs="仿宋_GB2312"/>
                <w:szCs w:val="21"/>
              </w:rPr>
            </w:pPr>
            <w:r>
              <w:rPr>
                <w:rFonts w:hint="eastAsia" w:ascii="仿宋_GB2312" w:hAnsi="仿宋_GB2312" w:eastAsia="仿宋_GB2312" w:cs="仿宋_GB2312"/>
                <w:szCs w:val="21"/>
              </w:rPr>
              <w:t>上年结转/机关运行经费</w:t>
            </w:r>
          </w:p>
        </w:tc>
        <w:tc>
          <w:tcPr>
            <w:tcW w:w="1350" w:type="dxa"/>
          </w:tcPr>
          <w:p w14:paraId="456A6911">
            <w:pPr>
              <w:rPr>
                <w:rFonts w:hint="eastAsia" w:ascii="仿宋_GB2312" w:hAnsi="仿宋_GB2312" w:eastAsia="仿宋_GB2312" w:cs="仿宋_GB2312"/>
                <w:szCs w:val="21"/>
              </w:rPr>
            </w:pPr>
            <w:r>
              <w:rPr>
                <w:rFonts w:hint="eastAsia" w:ascii="仿宋_GB2312" w:hAnsi="仿宋_GB2312" w:eastAsia="仿宋_GB2312" w:cs="仿宋_GB2312"/>
                <w:szCs w:val="21"/>
              </w:rPr>
              <w:t>全年性项目</w:t>
            </w:r>
          </w:p>
        </w:tc>
        <w:tc>
          <w:tcPr>
            <w:tcW w:w="1710" w:type="dxa"/>
          </w:tcPr>
          <w:p w14:paraId="226AD5D4">
            <w:pPr>
              <w:rPr>
                <w:rFonts w:hint="eastAsia" w:ascii="仿宋_GB2312" w:hAnsi="仿宋_GB2312" w:eastAsia="仿宋_GB2312" w:cs="仿宋_GB2312"/>
                <w:szCs w:val="21"/>
              </w:rPr>
            </w:pPr>
            <w:r>
              <w:rPr>
                <w:rFonts w:hint="eastAsia" w:ascii="仿宋_GB2312" w:hAnsi="仿宋_GB2312" w:eastAsia="仿宋_GB2312" w:cs="仿宋_GB2312"/>
                <w:szCs w:val="21"/>
              </w:rPr>
              <w:t>县本级</w:t>
            </w:r>
          </w:p>
        </w:tc>
        <w:tc>
          <w:tcPr>
            <w:tcW w:w="960" w:type="dxa"/>
          </w:tcPr>
          <w:p w14:paraId="45B8FD98">
            <w:pPr>
              <w:rPr>
                <w:rFonts w:ascii="仿宋_GB2312" w:hAnsi="仿宋_GB2312" w:eastAsia="仿宋_GB2312" w:cs="仿宋_GB2312"/>
                <w:szCs w:val="21"/>
              </w:rPr>
            </w:pPr>
            <w:r>
              <w:rPr>
                <w:rFonts w:hint="eastAsia" w:ascii="仿宋_GB2312" w:hAnsi="仿宋_GB2312" w:eastAsia="仿宋_GB2312" w:cs="仿宋_GB2312"/>
                <w:szCs w:val="21"/>
              </w:rPr>
              <w:t>86796</w:t>
            </w:r>
          </w:p>
        </w:tc>
        <w:tc>
          <w:tcPr>
            <w:tcW w:w="1155" w:type="dxa"/>
          </w:tcPr>
          <w:p w14:paraId="3D706770">
            <w:pPr>
              <w:rPr>
                <w:rFonts w:ascii="仿宋_GB2312" w:hAnsi="仿宋_GB2312" w:eastAsia="仿宋_GB2312" w:cs="仿宋_GB2312"/>
                <w:szCs w:val="21"/>
              </w:rPr>
            </w:pPr>
            <w:r>
              <w:rPr>
                <w:rFonts w:hint="eastAsia" w:ascii="仿宋_GB2312" w:hAnsi="仿宋_GB2312" w:eastAsia="仿宋_GB2312" w:cs="仿宋_GB2312"/>
                <w:szCs w:val="21"/>
              </w:rPr>
              <w:t>86796</w:t>
            </w:r>
          </w:p>
        </w:tc>
        <w:tc>
          <w:tcPr>
            <w:tcW w:w="810" w:type="dxa"/>
          </w:tcPr>
          <w:p w14:paraId="55F0FF58">
            <w:pPr>
              <w:rPr>
                <w:rFonts w:ascii="仿宋_GB2312" w:hAnsi="仿宋_GB2312" w:eastAsia="仿宋_GB2312" w:cs="仿宋_GB2312"/>
                <w:szCs w:val="21"/>
              </w:rPr>
            </w:pPr>
            <w:r>
              <w:rPr>
                <w:rFonts w:hint="eastAsia" w:ascii="仿宋_GB2312" w:hAnsi="仿宋_GB2312" w:eastAsia="仿宋_GB2312" w:cs="仿宋_GB2312"/>
                <w:szCs w:val="21"/>
              </w:rPr>
              <w:t>100</w:t>
            </w:r>
          </w:p>
        </w:tc>
      </w:tr>
    </w:tbl>
    <w:p w14:paraId="14DE18B5">
      <w:pPr>
        <w:rPr>
          <w:rFonts w:hint="eastAsia" w:ascii="仿宋_GB2312" w:hAnsi="仿宋_GB2312" w:eastAsia="仿宋_GB2312" w:cs="仿宋_GB2312"/>
          <w:sz w:val="32"/>
          <w:szCs w:val="32"/>
        </w:rPr>
      </w:pPr>
    </w:p>
    <w:p w14:paraId="7C96FD2C">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（2）2021年度部门工作情况及工作总结。</w:t>
      </w:r>
    </w:p>
    <w:p w14:paraId="6A82F0BA">
      <w:pPr>
        <w:snapToGrid w:val="0"/>
        <w:spacing w:line="400" w:lineRule="exact"/>
        <w:ind w:firstLine="480" w:firstLineChars="200"/>
        <w:rPr>
          <w:rFonts w:hint="eastAsia" w:ascii="仿宋_GB2312" w:hAnsi="仿宋" w:eastAsia="仿宋_GB2312"/>
          <w:sz w:val="24"/>
        </w:rPr>
      </w:pPr>
      <w:r>
        <w:rPr>
          <w:rFonts w:hint="eastAsia" w:ascii="仿宋_GB2312" w:hAnsi="仿宋" w:eastAsia="仿宋_GB2312"/>
          <w:sz w:val="24"/>
        </w:rPr>
        <w:t>2021年县十六届人大常委会组成以来，在县委的坚强领导下，深入学习习近平新时代中国特色社会主义思想，全面贯彻党的十九届六中全会、中央人大工作会议和省市委人大工作会议精神，认真落实县委“严纪律、优作风、强落实”工作要求，鲜明提出人大“讲政治、创一流、树品牌”目标定位，紧紧围绕全县“一城两区三基地”中长期战略定位和“一五五四六”发展总体思路，抓关键、创亮点、求突破，忠实履行宪法法律赋予的各项职责，实现了新一届人大工作全新开局，为推动全县经济社会高质量赶超发展和民主法治建设贡献了人大力量。</w:t>
      </w:r>
    </w:p>
    <w:p w14:paraId="69D96673">
      <w:pPr>
        <w:snapToGrid w:val="0"/>
        <w:spacing w:line="400" w:lineRule="exact"/>
        <w:ind w:firstLine="480" w:firstLineChars="200"/>
        <w:rPr>
          <w:rFonts w:hint="eastAsia" w:ascii="仿宋_GB2312" w:hAnsi="仿宋" w:eastAsia="仿宋_GB2312"/>
          <w:sz w:val="24"/>
        </w:rPr>
      </w:pPr>
      <w:r>
        <w:rPr>
          <w:rFonts w:hint="eastAsia" w:ascii="仿宋_GB2312" w:hAnsi="仿宋" w:eastAsia="仿宋_GB2312"/>
          <w:sz w:val="24"/>
        </w:rPr>
        <w:t>1、坚定政治立场，保持一个步调，落实县委决策更坚决</w:t>
      </w:r>
    </w:p>
    <w:p w14:paraId="2299838E">
      <w:pPr>
        <w:snapToGrid w:val="0"/>
        <w:spacing w:line="400" w:lineRule="exact"/>
        <w:ind w:firstLine="480" w:firstLineChars="200"/>
        <w:rPr>
          <w:rFonts w:hint="eastAsia" w:ascii="仿宋_GB2312" w:hAnsi="仿宋" w:eastAsia="仿宋_GB2312"/>
          <w:sz w:val="24"/>
        </w:rPr>
      </w:pPr>
      <w:r>
        <w:rPr>
          <w:rFonts w:hint="eastAsia" w:ascii="仿宋_GB2312" w:hAnsi="仿宋" w:eastAsia="仿宋_GB2312"/>
          <w:sz w:val="24"/>
        </w:rPr>
        <w:t>强基铸魂，擎旗奋进。常委会坚持把政治建设摆在首位，站稳政治立场，把牢正确方向，自觉把人大工作放在全县大局中统筹谋划推进，始终在思想上、行动上与县委保持步调一致，贯彻落实党中央和省市委各项决策部署坚定不移、不折不扣。</w:t>
      </w:r>
    </w:p>
    <w:p w14:paraId="1F549717">
      <w:pPr>
        <w:snapToGrid w:val="0"/>
        <w:spacing w:line="400" w:lineRule="exact"/>
        <w:ind w:firstLine="480" w:firstLineChars="200"/>
        <w:rPr>
          <w:rFonts w:hint="eastAsia" w:ascii="仿宋_GB2312" w:hAnsi="仿宋" w:eastAsia="仿宋_GB2312"/>
          <w:sz w:val="24"/>
        </w:rPr>
      </w:pPr>
      <w:r>
        <w:rPr>
          <w:rFonts w:hint="eastAsia" w:ascii="仿宋_GB2312" w:hAnsi="仿宋" w:eastAsia="仿宋_GB2312"/>
          <w:sz w:val="24"/>
        </w:rPr>
        <w:t>深入开展党史</w:t>
      </w:r>
      <w:r>
        <w:rPr>
          <w:rFonts w:hint="eastAsia" w:ascii="仿宋_GB2312" w:hAnsi="仿宋" w:eastAsia="仿宋_GB2312"/>
          <w:sz w:val="24"/>
          <w:lang w:val="en-US" w:eastAsia="zh-CN"/>
        </w:rPr>
        <w:t>学习</w:t>
      </w:r>
      <w:r>
        <w:rPr>
          <w:rFonts w:hint="eastAsia" w:ascii="仿宋_GB2312" w:hAnsi="仿宋" w:eastAsia="仿宋_GB2312"/>
          <w:sz w:val="24"/>
        </w:rPr>
        <w:t>教育。按照“学史明理、学史增信、学史崇德、学史力行”总要求，坚持规定动作不走样、自选动作有特色，扎实推进党史学习教育走深走实，重点围绕“学党史悟思想”，周密安排理论</w:t>
      </w:r>
      <w:r>
        <w:rPr>
          <w:rFonts w:hint="eastAsia" w:ascii="仿宋_GB2312" w:hAnsi="仿宋" w:eastAsia="仿宋_GB2312"/>
          <w:sz w:val="24"/>
          <w:lang w:val="en-US" w:eastAsia="zh-CN"/>
        </w:rPr>
        <w:t>学习</w:t>
      </w:r>
      <w:bookmarkStart w:id="0" w:name="_GoBack"/>
      <w:bookmarkEnd w:id="0"/>
      <w:r>
        <w:rPr>
          <w:rFonts w:hint="eastAsia" w:ascii="仿宋_GB2312" w:hAnsi="仿宋" w:eastAsia="仿宋_GB2312"/>
          <w:sz w:val="24"/>
        </w:rPr>
        <w:t>中心组和机关党支部政治学习，持续创新理论武装；扎实开展“团结就是力量”主题活动，组织新一届县乡人大代表到东庄头村、胡家疙瘩村等红色教育基地学习，汲取红色力量；带头落实“我为群众办实事”要求，组织机关干部帮办群众“微心愿”126个、号召各级代表为防汛救灾捐资捐物40余万元，倾力帮民解忧纾困。通过党史学习教育，进一步做到了“四个坚持”（即坚持党的全面领导、坚持伟大建党精神、坚持党的根本宗旨、坚持党的优良作风），人大机关和各级人大代表的干事激情竞相迸发。</w:t>
      </w:r>
    </w:p>
    <w:p w14:paraId="5FC832EF">
      <w:pPr>
        <w:snapToGrid w:val="0"/>
        <w:spacing w:line="400" w:lineRule="exact"/>
        <w:ind w:firstLine="480" w:firstLineChars="200"/>
        <w:rPr>
          <w:rFonts w:hint="eastAsia" w:ascii="仿宋_GB2312" w:hAnsi="仿宋" w:eastAsia="仿宋_GB2312"/>
          <w:sz w:val="24"/>
        </w:rPr>
      </w:pPr>
      <w:r>
        <w:rPr>
          <w:rFonts w:hint="eastAsia" w:ascii="仿宋_GB2312" w:hAnsi="仿宋" w:eastAsia="仿宋_GB2312"/>
          <w:sz w:val="24"/>
        </w:rPr>
        <w:t>主动服务全局工作。紧扣县委中心工作，依法有效履职，充分发挥人大监督支持和推动作用，先后组织416名省市县乡人大代表，参与开展优化营商环境、农业结构调整、地下水超采治理、公共医疗卫生服务、大气污染防治、拆违拆迁等六项联动监督，推动27个群众反映突出的问题得到全面整改。在优化营商环境监督中，组织明察暗访，推动实现政务服务网上办理100%、取消证明事项284项；在地下水超采治理监督中，抽查用水企业15家，检查8个乡镇取水井关停情况，推动非农取水大户在线监测、城乡生活水源置换管网、冬小麦节水品种推广“三个全覆盖”。</w:t>
      </w:r>
    </w:p>
    <w:p w14:paraId="370D1B41">
      <w:pPr>
        <w:snapToGrid w:val="0"/>
        <w:spacing w:line="400" w:lineRule="exact"/>
        <w:ind w:firstLine="480" w:firstLineChars="200"/>
        <w:rPr>
          <w:rFonts w:hint="eastAsia" w:ascii="仿宋_GB2312" w:hAnsi="仿宋" w:eastAsia="仿宋_GB2312"/>
          <w:sz w:val="24"/>
        </w:rPr>
      </w:pPr>
      <w:r>
        <w:rPr>
          <w:rFonts w:hint="eastAsia" w:ascii="仿宋_GB2312" w:hAnsi="仿宋" w:eastAsia="仿宋_GB2312"/>
          <w:sz w:val="24"/>
        </w:rPr>
        <w:t>依法决定重大事项。常委会把行使重大事项决定权作为重要职责，立足县委决策，深入实际调研，积极行使宪法赋予的重大事项决定权，先后作出关于实施“八五”普法规划、加强人民法庭工作、政府专项债券调整等决议决定6项。坚持讨论决定重大事项会议集体审议，做到决定重大事项科学化、民主化，确保决议决定符合实际、符合人民群众期盼，推动了工作，促进了发展。</w:t>
      </w:r>
    </w:p>
    <w:p w14:paraId="75CBBB2E">
      <w:pPr>
        <w:snapToGrid w:val="0"/>
        <w:spacing w:line="400" w:lineRule="exact"/>
        <w:ind w:firstLine="480" w:firstLineChars="200"/>
        <w:rPr>
          <w:rFonts w:hint="eastAsia" w:ascii="仿宋_GB2312" w:hAnsi="仿宋" w:eastAsia="仿宋_GB2312"/>
          <w:sz w:val="24"/>
        </w:rPr>
      </w:pPr>
      <w:r>
        <w:rPr>
          <w:rFonts w:hint="eastAsia" w:ascii="仿宋_GB2312" w:hAnsi="仿宋" w:eastAsia="仿宋_GB2312"/>
          <w:sz w:val="24"/>
        </w:rPr>
        <w:t>认真行使任免职权。维护县委权威，坚持党管干部原则，依法行使人大任免权，进一步修订了人事任免办法，规范了干部任免程序，对新一届县政府工作部门主要负责人进行了依法任命，对县委调整的人大机关、政府部门人员进行了及时任免，并认真落实宪法宣誓制度，切实增强国家机关干部依法履职的责任感和使命感，为全县经济社会发展提供了有力组织保障。</w:t>
      </w:r>
    </w:p>
    <w:p w14:paraId="764C5BF2">
      <w:pPr>
        <w:snapToGrid w:val="0"/>
        <w:spacing w:line="400" w:lineRule="exact"/>
        <w:ind w:firstLine="480" w:firstLineChars="200"/>
        <w:rPr>
          <w:rFonts w:hint="eastAsia" w:ascii="仿宋_GB2312" w:hAnsi="仿宋" w:eastAsia="仿宋_GB2312"/>
          <w:sz w:val="24"/>
        </w:rPr>
      </w:pPr>
      <w:r>
        <w:rPr>
          <w:rFonts w:hint="eastAsia" w:ascii="仿宋_GB2312" w:hAnsi="仿宋" w:eastAsia="仿宋_GB2312"/>
          <w:sz w:val="24"/>
        </w:rPr>
        <w:t>2、夯实责任担当，突出两条主线，履行监督职能更有力</w:t>
      </w:r>
    </w:p>
    <w:p w14:paraId="00368A93">
      <w:pPr>
        <w:snapToGrid w:val="0"/>
        <w:spacing w:line="400" w:lineRule="exact"/>
        <w:ind w:firstLine="480" w:firstLineChars="200"/>
        <w:rPr>
          <w:rFonts w:hint="eastAsia" w:ascii="仿宋_GB2312" w:hAnsi="仿宋" w:eastAsia="仿宋_GB2312"/>
          <w:sz w:val="24"/>
        </w:rPr>
      </w:pPr>
      <w:r>
        <w:rPr>
          <w:rFonts w:hint="eastAsia" w:ascii="仿宋_GB2312" w:hAnsi="仿宋" w:eastAsia="仿宋_GB2312"/>
          <w:sz w:val="24"/>
        </w:rPr>
        <w:t>法不孤起，仗境方生。常委会牢固树立“隆尧发展、人大尽责”理念，聚焦发展和民生主题主线，以大视野融入发展，以“小切口”关注民生，充分行使监督职权，着力提升监督实效，不断推进县“一府一委两院”依法用权、科学决策、履职为民。</w:t>
      </w:r>
    </w:p>
    <w:p w14:paraId="204AA78B">
      <w:pPr>
        <w:snapToGrid w:val="0"/>
        <w:spacing w:line="400" w:lineRule="exact"/>
        <w:ind w:firstLine="480" w:firstLineChars="200"/>
        <w:rPr>
          <w:rFonts w:hint="eastAsia" w:ascii="仿宋_GB2312" w:hAnsi="仿宋" w:eastAsia="仿宋_GB2312"/>
          <w:sz w:val="24"/>
        </w:rPr>
      </w:pPr>
      <w:r>
        <w:rPr>
          <w:rFonts w:hint="eastAsia" w:ascii="仿宋_GB2312" w:hAnsi="仿宋" w:eastAsia="仿宋_GB2312"/>
          <w:sz w:val="24"/>
        </w:rPr>
        <w:t>开展专项工作审议监督。换届以来，围绕全县中心工作，先后召开常委会会议6次，听取审议了13个部门的21项专项工作报告，提出并交办审议意见62条。为提高审议监督质量，制定《隆尧县人大常委会会议定事项落实、反馈和处理办法》，要求责任部门对人大交办的审议意见，细化措施、认真办理，在6个月内办结并报告整改情况，使人大监督真正解决问题、推动工作。</w:t>
      </w:r>
    </w:p>
    <w:p w14:paraId="741E6739">
      <w:pPr>
        <w:snapToGrid w:val="0"/>
        <w:spacing w:line="400" w:lineRule="exact"/>
        <w:ind w:firstLine="480" w:firstLineChars="200"/>
        <w:rPr>
          <w:rFonts w:hint="eastAsia" w:ascii="仿宋_GB2312" w:hAnsi="仿宋" w:eastAsia="仿宋_GB2312"/>
          <w:sz w:val="24"/>
        </w:rPr>
      </w:pPr>
      <w:r>
        <w:rPr>
          <w:rFonts w:hint="eastAsia" w:ascii="仿宋_GB2312" w:hAnsi="仿宋" w:eastAsia="仿宋_GB2312"/>
          <w:sz w:val="24"/>
        </w:rPr>
        <w:t>加强计划预算审查监督。紧盯经济运行形势，及时听取部门汇报，征集企业意见，全面掌握年度计划预算执行进度，深入分析全县主要指标完成情况，有针对性提出“创新招商激励政策、破解项目用地难题、引导铸造行业集约发展、强化民生资金绩效管理”等监督意见，推动县政府出台专项政策，有效应对挑战，确保了全县经济的平稳运行和计划预算的如期完成。同时，认真听取预算审计工作报告，审查批准财政决算报告，要求财政部门坚持“有预算才有支出”，确保把财政每一分钱都用在刀刃上。</w:t>
      </w:r>
    </w:p>
    <w:p w14:paraId="028F16E7">
      <w:pPr>
        <w:snapToGrid w:val="0"/>
        <w:spacing w:line="400" w:lineRule="exact"/>
        <w:ind w:firstLine="480" w:firstLineChars="200"/>
        <w:rPr>
          <w:rFonts w:hint="eastAsia" w:ascii="仿宋_GB2312" w:hAnsi="仿宋" w:eastAsia="仿宋_GB2312"/>
          <w:sz w:val="24"/>
        </w:rPr>
      </w:pPr>
      <w:r>
        <w:rPr>
          <w:rFonts w:hint="eastAsia" w:ascii="仿宋_GB2312" w:hAnsi="仿宋" w:eastAsia="仿宋_GB2312"/>
          <w:sz w:val="24"/>
        </w:rPr>
        <w:t>组织民生工作重点监督。坚持把维护群众利益作为监督工作的出发点和落脚点，重点针对汛情带来的损失，围绕加强滞洪区建设开展调研，就河堤加固、村庄迁建、救灾资金等工作形成议案建议，交由驻隆省市人大代表提交本级人代会，积极争取政策资金，推动相关问题解决；针对2021年重点民生实事项目落实，跟踪督查、逐项核实，推动部门倒排工期、严把质量，确保把实事办实、好事办好；针对代表建议承办工作，专项视察、重点审议，督促部门积极办理、逐条答复，截至目前，上年度代表提出的86条建议、批评和意见已全部按时办结。</w:t>
      </w:r>
    </w:p>
    <w:p w14:paraId="071B7781">
      <w:pPr>
        <w:snapToGrid w:val="0"/>
        <w:spacing w:line="400" w:lineRule="exact"/>
        <w:ind w:firstLine="480" w:firstLineChars="200"/>
        <w:rPr>
          <w:rFonts w:hint="eastAsia" w:ascii="仿宋_GB2312" w:hAnsi="仿宋" w:eastAsia="仿宋_GB2312"/>
          <w:sz w:val="24"/>
        </w:rPr>
      </w:pPr>
      <w:r>
        <w:rPr>
          <w:rFonts w:hint="eastAsia" w:ascii="仿宋_GB2312" w:hAnsi="仿宋" w:eastAsia="仿宋_GB2312"/>
          <w:sz w:val="24"/>
        </w:rPr>
        <w:t>实施司法工作创新监督。着眼公正司法，积极探索司法监督新路径，在全市乃至全省人大系统首次设置法院、检察院人大代表监督室，优选30名省市县人大代表为成员，应邀参与县法院案件调解、庭审、执行工作和县检察院案件听证、公益诉讼、检务公开工作，与法检机关工作良性互动，实现了监督制度化、常态化。目前，已参与法院、检察院公开活动6次，进一步提升了审判、检察工作的透明度和公信力。同时，与省市人大同步开展执法检查，推动了法院“执行难”的攻坚进位，保障了群众的合法权益，维护了社会的公平正义。</w:t>
      </w:r>
    </w:p>
    <w:p w14:paraId="1F8F1B53">
      <w:pPr>
        <w:snapToGrid w:val="0"/>
        <w:spacing w:line="400" w:lineRule="exact"/>
        <w:ind w:firstLine="480" w:firstLineChars="200"/>
        <w:rPr>
          <w:rFonts w:hint="eastAsia" w:ascii="仿宋_GB2312" w:hAnsi="仿宋" w:eastAsia="仿宋_GB2312"/>
          <w:sz w:val="24"/>
        </w:rPr>
      </w:pPr>
      <w:r>
        <w:rPr>
          <w:rFonts w:hint="eastAsia" w:ascii="仿宋_GB2312" w:hAnsi="仿宋" w:eastAsia="仿宋_GB2312"/>
          <w:sz w:val="24"/>
        </w:rPr>
        <w:t>3、提升服务水平，创新三项活动，发挥代表作用更充分</w:t>
      </w:r>
    </w:p>
    <w:p w14:paraId="458B6C4B">
      <w:pPr>
        <w:snapToGrid w:val="0"/>
        <w:spacing w:line="400" w:lineRule="exact"/>
        <w:ind w:firstLine="480" w:firstLineChars="200"/>
        <w:rPr>
          <w:rFonts w:hint="eastAsia" w:ascii="仿宋_GB2312" w:hAnsi="仿宋" w:eastAsia="仿宋_GB2312"/>
          <w:sz w:val="24"/>
        </w:rPr>
      </w:pPr>
      <w:r>
        <w:rPr>
          <w:rFonts w:hint="eastAsia" w:ascii="仿宋_GB2312" w:hAnsi="仿宋" w:eastAsia="仿宋_GB2312"/>
          <w:sz w:val="24"/>
        </w:rPr>
        <w:t>新时代赶考路上，没有旁观者。常委会广泛凝聚代表力量，积极组织代表参与中心工作和发挥模范作用，先后邀请528名省市县乡人大代表开展监督活动、37名市县人大代表列席常委会会议、汇总代表意见建议127条，进一步激发了代表的履职热情，展现了代表的责任担当。</w:t>
      </w:r>
    </w:p>
    <w:p w14:paraId="658EB888">
      <w:pPr>
        <w:snapToGrid w:val="0"/>
        <w:spacing w:line="400" w:lineRule="exact"/>
        <w:ind w:firstLine="480" w:firstLineChars="200"/>
        <w:rPr>
          <w:rFonts w:hint="eastAsia" w:ascii="仿宋_GB2312" w:hAnsi="仿宋" w:eastAsia="仿宋_GB2312"/>
          <w:sz w:val="24"/>
        </w:rPr>
      </w:pPr>
      <w:r>
        <w:rPr>
          <w:rFonts w:hint="eastAsia" w:ascii="仿宋_GB2312" w:hAnsi="仿宋" w:eastAsia="仿宋_GB2312"/>
          <w:sz w:val="24"/>
        </w:rPr>
        <w:t>创新代表参与接访包案。探索开展代表参与接访包案工作，组织省市县乡四级人大代表在县乡信访中心接访、包联县乡重点督办的信访积案，做到了“六有”（即有场所、有牌子、有制度、有档案、有账簿、有计划），实现了“三个全覆盖”（即县乡接访全覆盖、人大代表全覆盖、信访积案全覆盖）。目前，各级人大代表共接待上访群众310人次、登记问题106个、化解67个，包联重点信访案件181件、协助稳控120件、案结事了38件，得到了社会各界的广泛赞誉，市委政法委予以充分肯定。我县人大代表助力基层治理的做法，先后被《人民日报》客户端、省人大《公民与法治》、《邢台改革动态》、邢台新闻联播报道推介，《河北法制报》头版头条进行了专题报道。</w:t>
      </w:r>
    </w:p>
    <w:p w14:paraId="3298649B">
      <w:pPr>
        <w:snapToGrid w:val="0"/>
        <w:spacing w:line="400" w:lineRule="exact"/>
        <w:ind w:firstLine="480" w:firstLineChars="200"/>
        <w:rPr>
          <w:rFonts w:hint="eastAsia" w:ascii="仿宋_GB2312" w:hAnsi="仿宋" w:eastAsia="仿宋_GB2312"/>
          <w:sz w:val="24"/>
        </w:rPr>
      </w:pPr>
      <w:r>
        <w:rPr>
          <w:rFonts w:hint="eastAsia" w:ascii="仿宋_GB2312" w:hAnsi="仿宋" w:eastAsia="仿宋_GB2312"/>
          <w:sz w:val="24"/>
        </w:rPr>
        <w:t>创新“遍访”人大代表活动。人大代表是人大工作的源泉和活力，为密切与代表的联系，向代表问政、问需、问策，常委会谋划开展“遍访”代表活动，各位主任深入乡村、企业一线，走进基层代表家中、单位，访民意、摸实情，与代表交朋友、谈履职、话发展，进一步提升了代表的荣誉感、归属感和责任感。活动开展以来，共走访代表68名，收集意见建议92条，人大工作更加顺民意、得民心和惠民生，进一步搭建起了常委会与代表间的“连心桥”，画出了聚力发展的“同心圆”。</w:t>
      </w:r>
    </w:p>
    <w:p w14:paraId="643DCCBC">
      <w:pPr>
        <w:snapToGrid w:val="0"/>
        <w:spacing w:line="400" w:lineRule="exact"/>
        <w:ind w:firstLine="480" w:firstLineChars="200"/>
        <w:rPr>
          <w:rFonts w:hint="eastAsia" w:ascii="仿宋_GB2312" w:hAnsi="仿宋" w:eastAsia="仿宋_GB2312"/>
          <w:sz w:val="24"/>
        </w:rPr>
      </w:pPr>
      <w:r>
        <w:rPr>
          <w:rFonts w:hint="eastAsia" w:ascii="仿宋_GB2312" w:hAnsi="仿宋" w:eastAsia="仿宋_GB2312"/>
          <w:sz w:val="24"/>
        </w:rPr>
        <w:t>创新代表履职阵地建设。着力围绕代表履职，建载体、搭平台、抓培训，不断提升代表能力素质和履职水平。一是平台阵地化。念好建、管、用“三字经”，提标准、拓功能、搞观摩，抓实代表联络站阵地建设，确保设施标准、管理规范、活动经常。二是培训规模化。线下和线上相结合，全员培训省市县乡四级人大代表，特别是邀请省人大选任代工委副主任姜虹举办“学习贯彻中央人大工作会议精神”云视频辅导班，大规模集中培训，全员学习蔚然成风，进一步提高了代表的能力素质。</w:t>
      </w:r>
    </w:p>
    <w:p w14:paraId="17C45CC5">
      <w:pPr>
        <w:snapToGrid w:val="0"/>
        <w:spacing w:line="400" w:lineRule="exact"/>
        <w:ind w:firstLine="480" w:firstLineChars="200"/>
        <w:rPr>
          <w:rFonts w:hint="eastAsia" w:ascii="仿宋_GB2312" w:hAnsi="仿宋" w:eastAsia="仿宋_GB2312"/>
          <w:sz w:val="24"/>
        </w:rPr>
      </w:pPr>
      <w:r>
        <w:rPr>
          <w:rFonts w:hint="eastAsia" w:ascii="仿宋_GB2312" w:hAnsi="仿宋" w:eastAsia="仿宋_GB2312"/>
          <w:sz w:val="24"/>
        </w:rPr>
        <w:t>4、奋力创优争先，打造四个机关，人大形象展示更自信</w:t>
      </w:r>
    </w:p>
    <w:p w14:paraId="4DD7C904">
      <w:pPr>
        <w:snapToGrid w:val="0"/>
        <w:spacing w:line="400" w:lineRule="exact"/>
        <w:ind w:firstLine="480" w:firstLineChars="200"/>
        <w:rPr>
          <w:rFonts w:hint="eastAsia" w:ascii="仿宋_GB2312" w:hAnsi="仿宋" w:eastAsia="仿宋_GB2312"/>
          <w:sz w:val="24"/>
        </w:rPr>
      </w:pPr>
      <w:r>
        <w:rPr>
          <w:rFonts w:hint="eastAsia" w:ascii="仿宋_GB2312" w:hAnsi="仿宋" w:eastAsia="仿宋_GB2312"/>
          <w:sz w:val="24"/>
        </w:rPr>
        <w:t>牢记初心，不负韶华。常委会牢固树立“一线”、“火线”意识，严纪律、优作风、强落实，着力打造让党放心、群众满意的政治机关、地方国家权力机关、工作机关和代表机关，人大机关面貌焕然一新，人大队伍精神振奋，干事创业势能充盈。</w:t>
      </w:r>
    </w:p>
    <w:p w14:paraId="5D80F6AF">
      <w:pPr>
        <w:snapToGrid w:val="0"/>
        <w:spacing w:line="400" w:lineRule="exact"/>
        <w:ind w:firstLine="480" w:firstLineChars="200"/>
        <w:rPr>
          <w:rFonts w:hint="eastAsia" w:ascii="仿宋_GB2312" w:hAnsi="仿宋" w:eastAsia="仿宋_GB2312"/>
          <w:sz w:val="24"/>
        </w:rPr>
      </w:pPr>
      <w:r>
        <w:rPr>
          <w:rFonts w:hint="eastAsia" w:ascii="仿宋_GB2312" w:hAnsi="仿宋" w:eastAsia="仿宋_GB2312"/>
          <w:sz w:val="24"/>
        </w:rPr>
        <w:t>深入抓学习。采取专题辅导、人大讲堂等方式，深入学习党的十九届六中全会精神、人大业务知识，着力提升常委会组成人员和机关干部政治素养和能力水平。特别是建立“周一政治学习”制度，及时跟进、学深悟透习近平总书记系列重要讲话精神，不断增强“四个意识”、坚定“四个自信”、做到“两个维护”。</w:t>
      </w:r>
    </w:p>
    <w:p w14:paraId="4275A019">
      <w:pPr>
        <w:snapToGrid w:val="0"/>
        <w:spacing w:line="400" w:lineRule="exact"/>
        <w:ind w:firstLine="480" w:firstLineChars="200"/>
        <w:rPr>
          <w:rFonts w:hint="eastAsia" w:ascii="仿宋_GB2312" w:hAnsi="仿宋" w:eastAsia="仿宋_GB2312"/>
          <w:sz w:val="24"/>
        </w:rPr>
      </w:pPr>
      <w:r>
        <w:rPr>
          <w:rFonts w:hint="eastAsia" w:ascii="仿宋_GB2312" w:hAnsi="仿宋" w:eastAsia="仿宋_GB2312"/>
          <w:sz w:val="24"/>
        </w:rPr>
        <w:t>重点建制度。根据形势发展，结合工作实际，进一步修订完善常委会各项制度，明确各专委会和各委室工作职责标准，以制度提标尺、要效率；全面推行积分制管理，细化量化人大机关、乡镇人大、人大代表履职考核指标，激促全县人大系统干事创业、激情奉献；首次聘任常委会法律顾问，及时为人大作出决策、开展监督提供法律咨询，充分发挥了人大学法用法的表率作用。</w:t>
      </w:r>
    </w:p>
    <w:p w14:paraId="2CBD5581">
      <w:pPr>
        <w:snapToGrid w:val="0"/>
        <w:spacing w:line="400" w:lineRule="exact"/>
        <w:ind w:firstLine="480" w:firstLineChars="200"/>
        <w:rPr>
          <w:rFonts w:hint="eastAsia" w:ascii="仿宋_GB2312" w:hAnsi="仿宋" w:eastAsia="仿宋_GB2312"/>
          <w:sz w:val="24"/>
        </w:rPr>
      </w:pPr>
      <w:r>
        <w:rPr>
          <w:rFonts w:hint="eastAsia" w:ascii="仿宋_GB2312" w:hAnsi="仿宋" w:eastAsia="仿宋_GB2312"/>
          <w:sz w:val="24"/>
        </w:rPr>
        <w:t>切实优作风。狠抓作风建设不放松，坚持把党的政治纪律和政治规矩挺在前，治党全面从严，落实中央八项规定精神不打折扣。邀请县委巡察办主任开展巡察专题讲座，组织机关干部“双节”前到县廉政教育基地接受思想洗礼，正言行、守底线、重担当，把廉洁干事注入灵魂、融入血液。主任会议成员以上率下，机关干部职工严以律己，从值班值守到基层调研，从履职监督到服务发展，主动作为、激情奉献，工作作风得到了进一步锤炼。</w:t>
      </w:r>
    </w:p>
    <w:p w14:paraId="2BC5C859">
      <w:pPr>
        <w:snapToGrid w:val="0"/>
        <w:spacing w:line="400" w:lineRule="exact"/>
        <w:ind w:firstLine="480" w:firstLineChars="200"/>
        <w:rPr>
          <w:rFonts w:hint="eastAsia" w:ascii="仿宋_GB2312" w:hAnsi="仿宋" w:eastAsia="仿宋_GB2312"/>
          <w:sz w:val="24"/>
        </w:rPr>
      </w:pPr>
      <w:r>
        <w:rPr>
          <w:rFonts w:hint="eastAsia" w:ascii="仿宋_GB2312" w:hAnsi="仿宋" w:eastAsia="仿宋_GB2312"/>
          <w:sz w:val="24"/>
        </w:rPr>
        <w:t>大力强宣传。致力传递人大声音、讲好人大故事、汇聚人大能量，创建“隆尧人大”公众号，充分展示代表履职风采。一个代表一面旗帜，示范引领、立竿见影，省人大代表高志敏所在的小孟村顺利通过“全国民主法治示范村”复核，全县各级代表共荣获表彰奖励36项；举办“康晖酒业杯”学习贯彻中央人大工作会议精神有奖知识竞赛，参与群众超过2000人；编纂《人大志》、《文化志》，筹建“民主与法治”主题公园，全方位彰显人大成就；密切与各级媒体联系沟通，及时推送工作动态，我县人大的工作品牌更加响亮。</w:t>
      </w:r>
    </w:p>
    <w:p w14:paraId="32CB15C8">
      <w:pPr>
        <w:spacing w:line="560" w:lineRule="exact"/>
        <w:ind w:firstLine="560" w:firstLineChars="200"/>
        <w:rPr>
          <w:rFonts w:hint="eastAsia" w:ascii="Times New Roman" w:hAnsi="Times New Roman" w:eastAsia="仿宋_GB2312" w:cs="仿宋_GB2312"/>
          <w:sz w:val="28"/>
          <w:szCs w:val="28"/>
        </w:rPr>
      </w:pPr>
    </w:p>
    <w:sectPr>
      <w:footerReference r:id="rId3" w:type="default"/>
      <w:pgSz w:w="11906" w:h="16838"/>
      <w:pgMar w:top="1440" w:right="1800" w:bottom="1440" w:left="1800" w:header="851" w:footer="992" w:gutter="0"/>
      <w:pgNumType w:start="5"/>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278DD">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728568C9">
                          <w:pPr>
                            <w:pStyle w:val="2"/>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M6pebnPAAAABQEA&#10;AA8AAAAAAAAAAQAgAAAAIgAAAGRycy9kb3ducmV2LnhtbFBLAQIUABQAAAAIAIdO4kBS+sDz6gEA&#10;ANQDAAAOAAAAAAAAAAEAIAAAAB4BAABkcnMvZTJvRG9jLnhtbFBLBQYAAAAABgAGAFkBAAB6BQAA&#10;AAA=&#10;">
              <v:fill on="f" focussize="0,0"/>
              <v:stroke on="f"/>
              <v:imagedata o:title=""/>
              <o:lock v:ext="edit" aspectratio="f"/>
              <v:textbox inset="0mm,0mm,0mm,0mm" style="mso-fit-shape-to-text:t;">
                <w:txbxContent>
                  <w:p w14:paraId="728568C9">
                    <w:pPr>
                      <w:pStyle w:val="2"/>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1D0889"/>
    <w:multiLevelType w:val="singleLevel"/>
    <w:tmpl w:val="1F1D0889"/>
    <w:lvl w:ilvl="0" w:tentative="0">
      <w:start w:val="1"/>
      <w:numFmt w:val="decimal"/>
      <w:lvlText w:val="%1)"/>
      <w:lvlJc w:val="left"/>
      <w:pPr>
        <w:tabs>
          <w:tab w:val="left" w:pos="312"/>
        </w:tabs>
      </w:pPr>
    </w:lvl>
  </w:abstractNum>
  <w:abstractNum w:abstractNumId="1">
    <w:nsid w:val="224BFEE7"/>
    <w:multiLevelType w:val="singleLevel"/>
    <w:tmpl w:val="224BFEE7"/>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c2YjMwMTEzY2NjNzY1Mjg4NTEzZGM3NWYwYWQwMzEifQ=="/>
  </w:docVars>
  <w:rsids>
    <w:rsidRoot w:val="00D1324E"/>
    <w:rsid w:val="000C336A"/>
    <w:rsid w:val="004B0F39"/>
    <w:rsid w:val="00B2708C"/>
    <w:rsid w:val="00D1324E"/>
    <w:rsid w:val="05C506CA"/>
    <w:rsid w:val="0D886F7F"/>
    <w:rsid w:val="0EDA39F6"/>
    <w:rsid w:val="0FF65822"/>
    <w:rsid w:val="11366EDD"/>
    <w:rsid w:val="12115342"/>
    <w:rsid w:val="125E2D1E"/>
    <w:rsid w:val="141C35F7"/>
    <w:rsid w:val="147B4EFF"/>
    <w:rsid w:val="159D0B9B"/>
    <w:rsid w:val="180B5097"/>
    <w:rsid w:val="1A384CC2"/>
    <w:rsid w:val="1B69685A"/>
    <w:rsid w:val="1EA279BC"/>
    <w:rsid w:val="1EC3243F"/>
    <w:rsid w:val="202F7F73"/>
    <w:rsid w:val="22C836AC"/>
    <w:rsid w:val="23740D44"/>
    <w:rsid w:val="25064CA0"/>
    <w:rsid w:val="25D50B7B"/>
    <w:rsid w:val="260B5039"/>
    <w:rsid w:val="28174C69"/>
    <w:rsid w:val="28274EF0"/>
    <w:rsid w:val="29435B59"/>
    <w:rsid w:val="2B1D4ADD"/>
    <w:rsid w:val="2BC90EAA"/>
    <w:rsid w:val="2C0651EB"/>
    <w:rsid w:val="2DE961A8"/>
    <w:rsid w:val="312E3C8F"/>
    <w:rsid w:val="320F78BC"/>
    <w:rsid w:val="323344C8"/>
    <w:rsid w:val="324E6410"/>
    <w:rsid w:val="334D2984"/>
    <w:rsid w:val="35986AE7"/>
    <w:rsid w:val="35AA0E25"/>
    <w:rsid w:val="37D01A1A"/>
    <w:rsid w:val="39FC6E55"/>
    <w:rsid w:val="3A057874"/>
    <w:rsid w:val="3A807973"/>
    <w:rsid w:val="3C464A33"/>
    <w:rsid w:val="3D776A45"/>
    <w:rsid w:val="41BF49FA"/>
    <w:rsid w:val="41C751D6"/>
    <w:rsid w:val="429F6967"/>
    <w:rsid w:val="44F92757"/>
    <w:rsid w:val="471C7044"/>
    <w:rsid w:val="4B1A4B97"/>
    <w:rsid w:val="4DA2395F"/>
    <w:rsid w:val="50FC442C"/>
    <w:rsid w:val="520414A7"/>
    <w:rsid w:val="542E6B53"/>
    <w:rsid w:val="554A3461"/>
    <w:rsid w:val="570D612E"/>
    <w:rsid w:val="57F90353"/>
    <w:rsid w:val="5A7F431D"/>
    <w:rsid w:val="5D157159"/>
    <w:rsid w:val="5E2E75BA"/>
    <w:rsid w:val="5EF923A2"/>
    <w:rsid w:val="5F64545E"/>
    <w:rsid w:val="626B1575"/>
    <w:rsid w:val="62C02C5B"/>
    <w:rsid w:val="641558E8"/>
    <w:rsid w:val="65802B83"/>
    <w:rsid w:val="659C49E6"/>
    <w:rsid w:val="67326802"/>
    <w:rsid w:val="69C63BA2"/>
    <w:rsid w:val="6E5A3E2A"/>
    <w:rsid w:val="6E6E6DF5"/>
    <w:rsid w:val="6EA539B7"/>
    <w:rsid w:val="6FB955D6"/>
    <w:rsid w:val="7044014D"/>
    <w:rsid w:val="71610950"/>
    <w:rsid w:val="73E96273"/>
    <w:rsid w:val="750B7783"/>
    <w:rsid w:val="761062BC"/>
    <w:rsid w:val="76D84B0A"/>
    <w:rsid w:val="774E203E"/>
    <w:rsid w:val="79531AEF"/>
    <w:rsid w:val="7A3A07D5"/>
    <w:rsid w:val="7DCB11F6"/>
    <w:rsid w:val="7DF670F1"/>
    <w:rsid w:val="7F4767C3"/>
    <w:rsid w:val="BE7F7AC9"/>
    <w:rsid w:val="EFFD2B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qFormat/>
    <w:uiPriority w:val="0"/>
    <w:pPr>
      <w:widowControl/>
      <w:spacing w:line="240" w:lineRule="atLeast"/>
      <w:jc w:val="center"/>
      <w:outlineLvl w:val="1"/>
    </w:pPr>
    <w:rPr>
      <w:b/>
      <w:bCs/>
      <w:kern w:val="0"/>
      <w:sz w:val="28"/>
      <w:szCs w:val="28"/>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4">
    <w:name w:val="Body Text"/>
    <w:basedOn w:val="1"/>
    <w:next w:val="5"/>
    <w:qFormat/>
    <w:uiPriority w:val="0"/>
    <w:pPr>
      <w:spacing w:line="360" w:lineRule="auto"/>
    </w:pPr>
    <w:rPr>
      <w:rFonts w:ascii="仿宋_GB2312"/>
    </w:rPr>
  </w:style>
  <w:style w:type="paragraph" w:styleId="5">
    <w:name w:val="header"/>
    <w:basedOn w:val="1"/>
    <w:next w:val="6"/>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6">
    <w:name w:val="_Style 4"/>
    <w:basedOn w:val="1"/>
    <w:next w:val="1"/>
    <w:qFormat/>
    <w:uiPriority w:val="99"/>
    <w:pPr>
      <w:widowControl/>
      <w:wordWrap w:val="0"/>
      <w:spacing w:before="200" w:after="160"/>
      <w:ind w:left="864" w:right="864"/>
      <w:jc w:val="center"/>
    </w:pPr>
    <w:rPr>
      <w:rFonts w:ascii="宋体"/>
      <w:i/>
      <w:color w:val="404040"/>
    </w:rPr>
  </w:style>
  <w:style w:type="paragraph" w:styleId="7">
    <w:name w:val="Body Text First Indent"/>
    <w:basedOn w:val="4"/>
    <w:unhideWhenUsed/>
    <w:qFormat/>
    <w:uiPriority w:val="99"/>
    <w:pPr>
      <w:ind w:firstLine="100" w:firstLineChars="1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0"/>
  </w:style>
  <w:style w:type="paragraph" w:customStyle="1" w:styleId="12">
    <w:name w:val="p0"/>
    <w:basedOn w:val="1"/>
    <w:qFormat/>
    <w:uiPriority w:val="0"/>
    <w:pPr>
      <w:widowControl/>
      <w:jc w:val="left"/>
    </w:pPr>
    <w:rPr>
      <w:kern w:val="0"/>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5004</Words>
  <Characters>5258</Characters>
  <Lines>38</Lines>
  <Paragraphs>10</Paragraphs>
  <TotalTime>8</TotalTime>
  <ScaleCrop>false</ScaleCrop>
  <LinksUpToDate>false</LinksUpToDate>
  <CharactersWithSpaces>5259</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2024-07-17T09:20:00Z</dcterms:created>
  <dc:creator>Administrator</dc:creator>
  <cp:lastModifiedBy>L.</cp:lastModifiedBy>
  <cp:lastPrinted>2020-05-29T09:24:00Z</cp:lastPrinted>
  <dcterms:modified xsi:type="dcterms:W3CDTF">2026-09-11T07:32:13Z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76FA5D8D0E5049AEBABFD6952FCE7DF2_13</vt:lpwstr>
  </property>
  <property fmtid="{D5CDD505-2E9C-101B-9397-08002B2CF9AE}" pid="4" name="KSOTemplateDocerSaveRecord">
    <vt:lpwstr>eyJoZGlkIjoiMWNlNmVlNzY3YzQ3ZDVhZTcyYmM5YTk4OTYzYjUxZjYiLCJ1c2VySWQiOiIyNTAxOTMzNDQifQ==</vt:lpwstr>
  </property>
</Properties>
</file>