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42572">
      <w:pPr>
        <w:snapToGrid w:val="0"/>
        <w:spacing w:line="580" w:lineRule="exact"/>
        <w:rPr>
          <w:rFonts w:ascii="方正仿宋_GBK" w:hAnsi="Tahoma" w:eastAsia="方正仿宋_GBK" w:cs="Tahoma"/>
          <w:kern w:val="0"/>
          <w:sz w:val="32"/>
          <w:szCs w:val="32"/>
        </w:rPr>
      </w:pPr>
      <w:r>
        <w:rPr>
          <w:rFonts w:hint="eastAsia" w:ascii="方正仿宋_GBK" w:hAnsi="黑体" w:eastAsia="方正仿宋_GBK"/>
          <w:sz w:val="32"/>
          <w:szCs w:val="32"/>
        </w:rPr>
        <w:t>附件6</w:t>
      </w:r>
    </w:p>
    <w:p w14:paraId="1EDCA391">
      <w:pPr>
        <w:snapToGrid w:val="0"/>
        <w:spacing w:line="580" w:lineRule="exact"/>
        <w:jc w:val="center"/>
        <w:rPr>
          <w:rFonts w:cs="Tahoma" w:asciiTheme="majorEastAsia" w:hAnsiTheme="majorEastAsia" w:eastAsiaTheme="majorEastAsia"/>
          <w:kern w:val="0"/>
          <w:sz w:val="44"/>
          <w:szCs w:val="44"/>
        </w:rPr>
      </w:pPr>
      <w:r>
        <w:rPr>
          <w:rFonts w:hint="eastAsia" w:cs="Tahoma" w:asciiTheme="majorEastAsia" w:hAnsiTheme="majorEastAsia" w:eastAsiaTheme="majorEastAsia"/>
          <w:kern w:val="0"/>
          <w:sz w:val="44"/>
          <w:szCs w:val="44"/>
        </w:rPr>
        <w:t>2022年度</w:t>
      </w:r>
      <w:r>
        <w:rPr>
          <w:rFonts w:hint="eastAsia" w:cs="Tahoma" w:asciiTheme="majorEastAsia" w:hAnsiTheme="majorEastAsia" w:eastAsiaTheme="majorEastAsia"/>
          <w:kern w:val="0"/>
          <w:sz w:val="44"/>
          <w:szCs w:val="44"/>
          <w:lang w:eastAsia="zh-CN"/>
        </w:rPr>
        <w:t>双碑乡</w:t>
      </w:r>
      <w:r>
        <w:rPr>
          <w:rFonts w:hint="eastAsia" w:cs="Tahoma" w:asciiTheme="majorEastAsia" w:hAnsiTheme="majorEastAsia" w:eastAsiaTheme="majorEastAsia"/>
          <w:kern w:val="0"/>
          <w:sz w:val="44"/>
          <w:szCs w:val="44"/>
        </w:rPr>
        <w:t>政府</w:t>
      </w:r>
    </w:p>
    <w:p w14:paraId="7AE46253">
      <w:pPr>
        <w:snapToGrid w:val="0"/>
        <w:spacing w:line="580" w:lineRule="exact"/>
        <w:jc w:val="center"/>
        <w:rPr>
          <w:rFonts w:asciiTheme="majorEastAsia" w:hAnsiTheme="majorEastAsia" w:eastAsiaTheme="majorEastAsia"/>
          <w:sz w:val="44"/>
          <w:szCs w:val="44"/>
        </w:rPr>
      </w:pPr>
      <w:r>
        <w:rPr>
          <w:rFonts w:hint="eastAsia" w:cs="Tahoma" w:asciiTheme="majorEastAsia" w:hAnsiTheme="majorEastAsia" w:eastAsiaTheme="majorEastAsia"/>
          <w:kern w:val="0"/>
          <w:sz w:val="44"/>
          <w:szCs w:val="44"/>
        </w:rPr>
        <w:t>部门整体</w:t>
      </w:r>
      <w:r>
        <w:rPr>
          <w:rFonts w:hint="eastAsia" w:asciiTheme="majorEastAsia" w:hAnsiTheme="majorEastAsia" w:eastAsiaTheme="majorEastAsia"/>
          <w:sz w:val="44"/>
          <w:szCs w:val="44"/>
        </w:rPr>
        <w:t>绩效自评工作报告</w:t>
      </w:r>
    </w:p>
    <w:p w14:paraId="7E813DC0">
      <w:pPr>
        <w:snapToGrid w:val="0"/>
        <w:spacing w:line="400" w:lineRule="exact"/>
        <w:ind w:firstLine="643" w:firstLineChars="200"/>
        <w:rPr>
          <w:rFonts w:ascii="仿宋_GB2312" w:hAnsi="宋体" w:eastAsia="仿宋_GB2312"/>
          <w:b/>
          <w:sz w:val="32"/>
          <w:szCs w:val="32"/>
        </w:rPr>
      </w:pPr>
    </w:p>
    <w:p w14:paraId="1756DC72">
      <w:pPr>
        <w:snapToGrid w:val="0"/>
        <w:spacing w:line="580" w:lineRule="exact"/>
        <w:ind w:firstLine="800" w:firstLineChars="250"/>
        <w:rPr>
          <w:rFonts w:ascii="黑体" w:hAnsi="黑体" w:eastAsia="黑体"/>
          <w:sz w:val="32"/>
          <w:szCs w:val="32"/>
        </w:rPr>
      </w:pPr>
      <w:r>
        <w:rPr>
          <w:rFonts w:hint="eastAsia" w:ascii="黑体" w:hAnsi="黑体" w:eastAsia="黑体"/>
          <w:sz w:val="32"/>
          <w:szCs w:val="32"/>
        </w:rPr>
        <w:t>一、绩效自评工作组织开展情况</w:t>
      </w:r>
    </w:p>
    <w:p w14:paraId="6D879EC3">
      <w:pPr>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为全面实施预算项目绩效自评工作，按照《隆尧县财政局关于开展2022年度县级预算部门绩效自评和重点自评工作的通知》（隆财〔2023〕4号）要求，设计评价指标，制定绩效自评工作方案，我单位成立以自评小组，遵循客观公正、实事求是的原则，认真开展项目绩效自评工作。</w:t>
      </w:r>
    </w:p>
    <w:p w14:paraId="29F34686">
      <w:pPr>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部门绩效自评工作组织情况：</w:t>
      </w:r>
    </w:p>
    <w:p w14:paraId="594D2404">
      <w:pPr>
        <w:snapToGrid w:val="0"/>
        <w:spacing w:line="580" w:lineRule="exact"/>
        <w:ind w:firstLine="640" w:firstLineChars="200"/>
        <w:rPr>
          <w:rFonts w:hint="eastAsia" w:ascii="仿宋" w:hAnsi="仿宋" w:eastAsia="仿宋"/>
          <w:sz w:val="32"/>
          <w:szCs w:val="32"/>
          <w:highlight w:val="yellow"/>
          <w:lang w:val="en-US" w:eastAsia="zh-CN"/>
        </w:rPr>
      </w:pPr>
      <w:r>
        <w:rPr>
          <w:rFonts w:hint="eastAsia" w:ascii="仿宋" w:hAnsi="仿宋" w:eastAsia="仿宋"/>
          <w:sz w:val="32"/>
          <w:szCs w:val="32"/>
          <w:highlight w:val="yellow"/>
        </w:rPr>
        <w:t>组长：</w:t>
      </w:r>
      <w:r>
        <w:rPr>
          <w:rFonts w:hint="eastAsia" w:ascii="仿宋" w:hAnsi="仿宋" w:eastAsia="仿宋"/>
          <w:sz w:val="32"/>
          <w:szCs w:val="32"/>
          <w:highlight w:val="yellow"/>
          <w:lang w:eastAsia="zh-CN"/>
        </w:rPr>
        <w:t>卢丽丽</w:t>
      </w:r>
    </w:p>
    <w:p w14:paraId="7A7EF12F">
      <w:pPr>
        <w:snapToGrid w:val="0"/>
        <w:spacing w:line="580" w:lineRule="exact"/>
        <w:ind w:firstLine="640" w:firstLineChars="200"/>
        <w:rPr>
          <w:rFonts w:hint="eastAsia" w:ascii="仿宋" w:hAnsi="仿宋" w:eastAsia="仿宋"/>
          <w:sz w:val="32"/>
          <w:szCs w:val="32"/>
          <w:highlight w:val="yellow"/>
          <w:lang w:eastAsia="zh-CN"/>
        </w:rPr>
      </w:pPr>
      <w:r>
        <w:rPr>
          <w:rFonts w:hint="eastAsia" w:ascii="仿宋" w:hAnsi="仿宋" w:eastAsia="仿宋"/>
          <w:sz w:val="32"/>
          <w:szCs w:val="32"/>
          <w:highlight w:val="yellow"/>
        </w:rPr>
        <w:t>副组长：</w:t>
      </w:r>
      <w:r>
        <w:rPr>
          <w:rFonts w:hint="eastAsia" w:ascii="仿宋" w:hAnsi="仿宋" w:eastAsia="仿宋"/>
          <w:sz w:val="32"/>
          <w:szCs w:val="32"/>
          <w:highlight w:val="yellow"/>
          <w:lang w:eastAsia="zh-CN"/>
        </w:rPr>
        <w:t>王世超</w:t>
      </w:r>
    </w:p>
    <w:p w14:paraId="1BEAB0F0">
      <w:pPr>
        <w:snapToGrid w:val="0"/>
        <w:spacing w:line="580" w:lineRule="exact"/>
        <w:ind w:firstLine="640" w:firstLineChars="200"/>
        <w:rPr>
          <w:rFonts w:hint="eastAsia" w:ascii="仿宋" w:hAnsi="仿宋" w:eastAsia="仿宋"/>
          <w:sz w:val="32"/>
          <w:szCs w:val="32"/>
          <w:highlight w:val="yellow"/>
          <w:lang w:val="en-US" w:eastAsia="zh-CN"/>
        </w:rPr>
      </w:pPr>
      <w:r>
        <w:rPr>
          <w:rFonts w:hint="eastAsia" w:ascii="仿宋" w:hAnsi="仿宋" w:eastAsia="仿宋"/>
          <w:sz w:val="32"/>
          <w:szCs w:val="32"/>
          <w:highlight w:val="yellow"/>
        </w:rPr>
        <w:t>组员：</w:t>
      </w:r>
      <w:r>
        <w:rPr>
          <w:rFonts w:hint="eastAsia" w:ascii="仿宋" w:hAnsi="仿宋" w:eastAsia="仿宋"/>
          <w:sz w:val="32"/>
          <w:szCs w:val="32"/>
          <w:highlight w:val="yellow"/>
          <w:lang w:eastAsia="zh-CN"/>
        </w:rPr>
        <w:t>杜晓芳</w:t>
      </w:r>
      <w:r>
        <w:rPr>
          <w:rFonts w:hint="eastAsia" w:ascii="仿宋" w:hAnsi="仿宋" w:eastAsia="仿宋"/>
          <w:sz w:val="32"/>
          <w:szCs w:val="32"/>
          <w:highlight w:val="yellow"/>
        </w:rPr>
        <w:t xml:space="preserve"> </w:t>
      </w:r>
      <w:r>
        <w:rPr>
          <w:rFonts w:hint="eastAsia" w:ascii="仿宋" w:hAnsi="仿宋" w:eastAsia="仿宋"/>
          <w:sz w:val="32"/>
          <w:szCs w:val="32"/>
          <w:highlight w:val="yellow"/>
          <w:lang w:eastAsia="zh-CN"/>
        </w:rPr>
        <w:t>刘田鑫</w:t>
      </w:r>
      <w:r>
        <w:rPr>
          <w:rFonts w:hint="eastAsia" w:ascii="仿宋" w:hAnsi="仿宋" w:eastAsia="仿宋"/>
          <w:sz w:val="32"/>
          <w:szCs w:val="32"/>
          <w:highlight w:val="yellow"/>
          <w:lang w:val="en-US" w:eastAsia="zh-CN"/>
        </w:rPr>
        <w:t xml:space="preserve"> 郑诗瑜</w:t>
      </w:r>
    </w:p>
    <w:p w14:paraId="0E24F71B">
      <w:pPr>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 xml:space="preserve"> (一)加强预算编制绩效管理，每年对本单位所申报预算项目进行全面梳理、加强审核、合理保障，所有项目均有详细的资金预算；同时积极推进项目绩效评价，在加强预算编制环节的基础上，加强预算执行监管和执行结果评价，将财务监督渗透到预算管理的事前、事中、事后各个环节。对2022年预算的26个项目进行绩效自评。</w:t>
      </w:r>
    </w:p>
    <w:p w14:paraId="7620BE92">
      <w:pPr>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(二)部门预算安排及资金分配拨付</w:t>
      </w:r>
    </w:p>
    <w:p w14:paraId="38E59679">
      <w:pPr>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我单位2022年度年初申报预算绩效项目</w:t>
      </w:r>
      <w:r>
        <w:rPr>
          <w:rFonts w:hint="eastAsia" w:ascii="仿宋" w:hAnsi="仿宋" w:eastAsia="仿宋"/>
          <w:sz w:val="32"/>
          <w:szCs w:val="32"/>
          <w:highlight w:val="yellow"/>
          <w:lang w:val="en-US" w:eastAsia="zh-CN"/>
        </w:rPr>
        <w:t>26</w:t>
      </w:r>
      <w:r>
        <w:rPr>
          <w:rFonts w:hint="eastAsia" w:ascii="仿宋" w:hAnsi="仿宋" w:eastAsia="仿宋"/>
          <w:sz w:val="32"/>
          <w:szCs w:val="32"/>
        </w:rPr>
        <w:t>个项目，县财政局批复</w:t>
      </w:r>
      <w:r>
        <w:rPr>
          <w:rFonts w:hint="eastAsia" w:ascii="仿宋" w:hAnsi="仿宋" w:eastAsia="仿宋"/>
          <w:sz w:val="32"/>
          <w:szCs w:val="32"/>
          <w:highlight w:val="yellow"/>
          <w:lang w:val="en-US" w:eastAsia="zh-CN"/>
        </w:rPr>
        <w:t>26</w:t>
      </w:r>
      <w:r>
        <w:rPr>
          <w:rFonts w:hint="eastAsia" w:ascii="仿宋" w:hAnsi="仿宋" w:eastAsia="仿宋"/>
          <w:sz w:val="32"/>
          <w:szCs w:val="32"/>
        </w:rPr>
        <w:t>个项目，共计资金</w:t>
      </w:r>
      <w:r>
        <w:rPr>
          <w:rFonts w:hint="eastAsia" w:ascii="仿宋" w:hAnsi="仿宋" w:eastAsia="仿宋"/>
          <w:sz w:val="32"/>
          <w:szCs w:val="32"/>
          <w:highlight w:val="yellow"/>
          <w:lang w:val="en-US" w:eastAsia="zh-CN"/>
        </w:rPr>
        <w:t>1128.444</w:t>
      </w:r>
      <w:r>
        <w:rPr>
          <w:rFonts w:hint="eastAsia" w:ascii="仿宋" w:hAnsi="仿宋" w:eastAsia="仿宋"/>
          <w:sz w:val="32"/>
          <w:szCs w:val="32"/>
        </w:rPr>
        <w:t>万元，全部为本级财政拨款，项目资金来源全部为一般公共预算资金。绩效自评项目</w:t>
      </w:r>
      <w:r>
        <w:rPr>
          <w:rFonts w:hint="eastAsia" w:ascii="仿宋" w:hAnsi="仿宋" w:eastAsia="仿宋"/>
          <w:sz w:val="32"/>
          <w:szCs w:val="32"/>
          <w:highlight w:val="yellow"/>
          <w:lang w:val="en-US" w:eastAsia="zh-CN"/>
        </w:rPr>
        <w:t>27</w:t>
      </w:r>
      <w:r>
        <w:rPr>
          <w:rFonts w:hint="eastAsia" w:ascii="仿宋" w:hAnsi="仿宋" w:eastAsia="仿宋"/>
          <w:sz w:val="32"/>
          <w:szCs w:val="32"/>
        </w:rPr>
        <w:t>个，资金支出</w:t>
      </w:r>
      <w:r>
        <w:rPr>
          <w:rFonts w:hint="eastAsia" w:ascii="仿宋" w:hAnsi="仿宋" w:eastAsia="仿宋"/>
          <w:sz w:val="32"/>
          <w:szCs w:val="32"/>
          <w:highlight w:val="yellow"/>
          <w:lang w:val="en-US" w:eastAsia="zh-CN"/>
        </w:rPr>
        <w:t>1127.444</w:t>
      </w:r>
      <w:r>
        <w:rPr>
          <w:rFonts w:hint="eastAsia" w:ascii="仿宋" w:hAnsi="仿宋" w:eastAsia="仿宋"/>
          <w:sz w:val="32"/>
          <w:szCs w:val="32"/>
        </w:rPr>
        <w:t>万元。</w:t>
      </w:r>
    </w:p>
    <w:p w14:paraId="56122A1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1"/>
        <w:rPr>
          <w:rFonts w:ascii="仿宋" w:hAnsi="仿宋" w:eastAsia="仿宋"/>
          <w:color w:val="000000"/>
          <w:sz w:val="32"/>
          <w:szCs w:val="32"/>
        </w:rPr>
      </w:pPr>
      <w:r>
        <w:rPr>
          <w:rFonts w:hint="eastAsia" w:ascii="仿宋" w:hAnsi="仿宋" w:eastAsia="仿宋"/>
          <w:color w:val="000000"/>
          <w:sz w:val="32"/>
          <w:szCs w:val="32"/>
        </w:rPr>
        <w:t xml:space="preserve"> (三)部门日常财务管理</w:t>
      </w:r>
    </w:p>
    <w:p w14:paraId="5ABD944F">
      <w:pPr>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严格按照预算科目规定使用财政资金，保障资金支出的规范化、制度化；支付时按序时进度拨付到位并按序时进度支出。单位在日常财务管理方面每个季度填制绩效执行监控情况表及完成情况，均按进度完成。使项目达到预期绩效目标，保证单位全年工作任务顺利完成。</w:t>
      </w:r>
    </w:p>
    <w:p w14:paraId="4DB25E11">
      <w:pPr>
        <w:snapToGrid w:val="0"/>
        <w:spacing w:line="580" w:lineRule="exact"/>
        <w:ind w:firstLine="800" w:firstLineChars="250"/>
        <w:rPr>
          <w:rFonts w:ascii="黑体" w:hAnsi="黑体" w:eastAsia="黑体"/>
          <w:sz w:val="32"/>
          <w:szCs w:val="32"/>
        </w:rPr>
      </w:pPr>
      <w:r>
        <w:rPr>
          <w:rFonts w:hint="eastAsia" w:ascii="黑体" w:hAnsi="黑体" w:eastAsia="黑体"/>
          <w:sz w:val="32"/>
          <w:szCs w:val="32"/>
        </w:rPr>
        <w:t>二、绩效目标实现情况</w:t>
      </w:r>
    </w:p>
    <w:p w14:paraId="519C0F33">
      <w:pPr>
        <w:widowControl/>
        <w:ind w:firstLine="480" w:firstLineChars="150"/>
        <w:rPr>
          <w:rFonts w:ascii="黑体" w:hAnsi="黑体" w:eastAsia="黑体" w:cs="宋体"/>
          <w:b/>
          <w:bCs/>
          <w:kern w:val="0"/>
          <w:sz w:val="32"/>
          <w:szCs w:val="32"/>
        </w:rPr>
      </w:pPr>
      <w:r>
        <w:rPr>
          <w:rFonts w:hint="eastAsia" w:ascii="仿宋" w:hAnsi="仿宋" w:eastAsia="仿宋" w:cs="宋体"/>
          <w:kern w:val="0"/>
          <w:sz w:val="32"/>
          <w:szCs w:val="32"/>
        </w:rPr>
        <w:t>（一）部门整体绩效目标实现情况。经过一年工作，</w:t>
      </w:r>
      <w:r>
        <w:rPr>
          <w:rFonts w:hint="eastAsia" w:ascii="仿宋" w:hAnsi="仿宋" w:eastAsia="仿宋" w:cs="宋体"/>
          <w:color w:val="000000"/>
          <w:kern w:val="0"/>
          <w:sz w:val="32"/>
          <w:szCs w:val="32"/>
        </w:rPr>
        <w:t>各项工作均按照县委要求进行考核和落实，在疫情严峻的形势下，实现了经济平稳增长，经济社会稳定，各科室积极履职，完成了今年年度目标。</w:t>
      </w:r>
    </w:p>
    <w:p w14:paraId="39865790">
      <w:pPr>
        <w:widowControl/>
        <w:ind w:firstLine="320" w:firstLineChars="100"/>
        <w:rPr>
          <w:rFonts w:ascii="仿宋" w:hAnsi="仿宋" w:eastAsia="仿宋"/>
          <w:sz w:val="32"/>
          <w:szCs w:val="32"/>
        </w:rPr>
      </w:pPr>
      <w:r>
        <w:rPr>
          <w:rFonts w:hint="eastAsia" w:ascii="仿宋" w:hAnsi="仿宋" w:eastAsia="仿宋" w:cs="宋体"/>
          <w:color w:val="000000"/>
          <w:kern w:val="0"/>
          <w:sz w:val="32"/>
          <w:szCs w:val="32"/>
        </w:rPr>
        <w:t>（二）预算项目绩效目标完成情况。截</w:t>
      </w:r>
      <w:r>
        <w:rPr>
          <w:rFonts w:hint="eastAsia" w:ascii="仿宋" w:hAnsi="仿宋" w:eastAsia="仿宋" w:cs="宋体"/>
          <w:color w:val="000000"/>
          <w:kern w:val="0"/>
          <w:sz w:val="32"/>
          <w:szCs w:val="32"/>
          <w:lang w:val="en-US" w:eastAsia="zh-CN"/>
        </w:rPr>
        <w:t>至</w:t>
      </w:r>
      <w:bookmarkStart w:id="0" w:name="_GoBack"/>
      <w:bookmarkEnd w:id="0"/>
      <w:r>
        <w:rPr>
          <w:rFonts w:hint="eastAsia" w:ascii="仿宋" w:hAnsi="仿宋" w:eastAsia="仿宋" w:cs="宋体"/>
          <w:color w:val="000000"/>
          <w:kern w:val="0"/>
          <w:sz w:val="32"/>
          <w:szCs w:val="32"/>
        </w:rPr>
        <w:t>2022年年底，我部门自评</w:t>
      </w:r>
      <w:r>
        <w:rPr>
          <w:rFonts w:hint="eastAsia" w:ascii="仿宋" w:hAnsi="仿宋" w:eastAsia="仿宋" w:cs="宋体"/>
          <w:color w:val="000000"/>
          <w:kern w:val="0"/>
          <w:sz w:val="32"/>
          <w:szCs w:val="32"/>
          <w:highlight w:val="yellow"/>
        </w:rPr>
        <w:t>26</w:t>
      </w:r>
      <w:r>
        <w:rPr>
          <w:rFonts w:hint="eastAsia" w:ascii="仿宋" w:hAnsi="仿宋" w:eastAsia="仿宋" w:cs="宋体"/>
          <w:color w:val="000000"/>
          <w:kern w:val="0"/>
          <w:sz w:val="32"/>
          <w:szCs w:val="32"/>
        </w:rPr>
        <w:t>个项目</w:t>
      </w:r>
      <w:r>
        <w:rPr>
          <w:rFonts w:hint="eastAsia" w:ascii="仿宋" w:hAnsi="仿宋" w:eastAsia="仿宋"/>
          <w:sz w:val="32"/>
          <w:szCs w:val="32"/>
        </w:rPr>
        <w:t>年初设定绩效目标全部实现，具体预算支出项目的预期绩效目标全部完成。无未完成绩效目标或偏离绩效目标。</w:t>
      </w:r>
    </w:p>
    <w:p w14:paraId="1740A63A">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三、绩效目标设定质量情况</w:t>
      </w:r>
    </w:p>
    <w:p w14:paraId="44ACA3BA">
      <w:pPr>
        <w:pStyle w:val="4"/>
        <w:shd w:val="clear" w:color="auto" w:fill="FFFFFF"/>
        <w:spacing w:before="0" w:beforeAutospacing="0" w:after="0" w:afterAutospacing="0" w:line="600" w:lineRule="atLeast"/>
        <w:ind w:firstLine="645"/>
        <w:jc w:val="both"/>
        <w:rPr>
          <w:rFonts w:ascii="仿宋" w:hAnsi="仿宋" w:eastAsia="仿宋"/>
          <w:sz w:val="32"/>
          <w:szCs w:val="32"/>
        </w:rPr>
      </w:pPr>
      <w:r>
        <w:rPr>
          <w:rFonts w:hint="eastAsia" w:ascii="仿宋" w:hAnsi="仿宋" w:eastAsia="仿宋" w:cs="Times New Roman"/>
          <w:color w:val="000000"/>
          <w:kern w:val="2"/>
          <w:sz w:val="32"/>
          <w:szCs w:val="28"/>
        </w:rPr>
        <w:t>根据县委、县政府工作任务部署，部门发展规划、年度工作计划，针对主要职责和预算编制规定，科学制定部门整体绩效目标，并依据整体绩效目标，分解细化各项目标指标要求。</w:t>
      </w:r>
      <w:r>
        <w:rPr>
          <w:rFonts w:ascii="仿宋" w:hAnsi="仿宋" w:eastAsia="仿宋" w:cs="Times New Roman"/>
          <w:color w:val="000000"/>
          <w:kern w:val="2"/>
          <w:sz w:val="32"/>
          <w:szCs w:val="28"/>
        </w:rPr>
        <w:t>绩效目标的设置指向明确、细化量化、</w:t>
      </w:r>
      <w:r>
        <w:rPr>
          <w:rFonts w:hint="eastAsia" w:ascii="仿宋" w:hAnsi="仿宋" w:eastAsia="仿宋" w:cs="Times New Roman"/>
          <w:color w:val="000000"/>
          <w:kern w:val="2"/>
          <w:sz w:val="32"/>
          <w:szCs w:val="28"/>
        </w:rPr>
        <w:t>全面完整、</w:t>
      </w:r>
      <w:r>
        <w:rPr>
          <w:rFonts w:ascii="仿宋" w:hAnsi="仿宋" w:eastAsia="仿宋" w:cs="Times New Roman"/>
          <w:color w:val="000000"/>
          <w:kern w:val="2"/>
          <w:sz w:val="32"/>
          <w:szCs w:val="28"/>
        </w:rPr>
        <w:t>合理可行，达到可审核、可监控、可评价、可公开要求。</w:t>
      </w:r>
    </w:p>
    <w:p w14:paraId="4C167516">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四、整改措施及结果应用</w:t>
      </w:r>
    </w:p>
    <w:p w14:paraId="694DF66B">
      <w:pPr>
        <w:snapToGrid w:val="0"/>
        <w:spacing w:line="580" w:lineRule="exact"/>
        <w:ind w:firstLine="600" w:firstLineChars="200"/>
        <w:rPr>
          <w:rFonts w:ascii="仿宋" w:hAnsi="仿宋" w:eastAsia="仿宋"/>
          <w:sz w:val="32"/>
          <w:szCs w:val="32"/>
        </w:rPr>
      </w:pPr>
      <w:r>
        <w:rPr>
          <w:rFonts w:hint="eastAsia" w:ascii="仿宋" w:hAnsi="仿宋" w:eastAsia="仿宋"/>
          <w:color w:val="000000"/>
          <w:sz w:val="30"/>
        </w:rPr>
        <w:t>第一，加强预算编制和预算执行的管理，强化部门内部的预算管理意识和约束力，按进度完成预算。第二，专业素质需要提高，加强实施部门预算编制管理工作，如有变更及时上报调整，按时按量完成资金拨付，提高预算资金的针对性和有效性。第三，县财政部门加大对绩效预算管理改革和绩效自评相关内容学习培训，进一步各单位提升工作人员绩效评价业务水平，促进高质量财政建设。</w:t>
      </w:r>
    </w:p>
    <w:p w14:paraId="5B4AB87E">
      <w:pPr>
        <w:snapToGrid w:val="0"/>
        <w:spacing w:line="580" w:lineRule="exact"/>
        <w:ind w:firstLine="640" w:firstLineChars="200"/>
        <w:rPr>
          <w:rFonts w:ascii="仿宋" w:hAnsi="仿宋" w:eastAsia="仿宋"/>
          <w:sz w:val="32"/>
          <w:szCs w:val="32"/>
        </w:rPr>
      </w:pPr>
    </w:p>
    <w:sectPr>
      <w:pgSz w:w="11906" w:h="16838"/>
      <w:pgMar w:top="2098" w:right="1418" w:bottom="153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D8A28030">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jMWMyNDJkOTBhYWJjZjQ0ZTMwODEyYjg2OGRjMDYifQ=="/>
  </w:docVars>
  <w:rsids>
    <w:rsidRoot w:val="00EF16A3"/>
    <w:rsid w:val="0003266D"/>
    <w:rsid w:val="000B5213"/>
    <w:rsid w:val="001627CF"/>
    <w:rsid w:val="00172022"/>
    <w:rsid w:val="00176210"/>
    <w:rsid w:val="00181508"/>
    <w:rsid w:val="001D2D4C"/>
    <w:rsid w:val="002B355F"/>
    <w:rsid w:val="002B509A"/>
    <w:rsid w:val="003444DB"/>
    <w:rsid w:val="00361B67"/>
    <w:rsid w:val="00383AC5"/>
    <w:rsid w:val="003A03E0"/>
    <w:rsid w:val="003B412A"/>
    <w:rsid w:val="004275B3"/>
    <w:rsid w:val="00432709"/>
    <w:rsid w:val="0047487F"/>
    <w:rsid w:val="00481878"/>
    <w:rsid w:val="00491FCD"/>
    <w:rsid w:val="004E6C05"/>
    <w:rsid w:val="004F6F9F"/>
    <w:rsid w:val="00501E35"/>
    <w:rsid w:val="00546BCB"/>
    <w:rsid w:val="00566E9F"/>
    <w:rsid w:val="005A559F"/>
    <w:rsid w:val="005B7C01"/>
    <w:rsid w:val="005C236C"/>
    <w:rsid w:val="005C5417"/>
    <w:rsid w:val="005E6EC9"/>
    <w:rsid w:val="00605123"/>
    <w:rsid w:val="00616F31"/>
    <w:rsid w:val="00665896"/>
    <w:rsid w:val="00693A60"/>
    <w:rsid w:val="006E7D57"/>
    <w:rsid w:val="0071336C"/>
    <w:rsid w:val="0071475B"/>
    <w:rsid w:val="00793214"/>
    <w:rsid w:val="007B065A"/>
    <w:rsid w:val="007D43DA"/>
    <w:rsid w:val="007E50DB"/>
    <w:rsid w:val="007E661D"/>
    <w:rsid w:val="007F4797"/>
    <w:rsid w:val="007F5EE6"/>
    <w:rsid w:val="0081530B"/>
    <w:rsid w:val="008174A2"/>
    <w:rsid w:val="008C31C3"/>
    <w:rsid w:val="008E0E58"/>
    <w:rsid w:val="008E2A92"/>
    <w:rsid w:val="008F3CFF"/>
    <w:rsid w:val="00922F9E"/>
    <w:rsid w:val="00941865"/>
    <w:rsid w:val="00986803"/>
    <w:rsid w:val="0099577A"/>
    <w:rsid w:val="009B6E56"/>
    <w:rsid w:val="009F1522"/>
    <w:rsid w:val="00A06D88"/>
    <w:rsid w:val="00A909F6"/>
    <w:rsid w:val="00AA64AC"/>
    <w:rsid w:val="00AB70A8"/>
    <w:rsid w:val="00AF5C06"/>
    <w:rsid w:val="00B0713E"/>
    <w:rsid w:val="00B20499"/>
    <w:rsid w:val="00B273F9"/>
    <w:rsid w:val="00B27489"/>
    <w:rsid w:val="00B66896"/>
    <w:rsid w:val="00B67C0E"/>
    <w:rsid w:val="00B8177D"/>
    <w:rsid w:val="00B86365"/>
    <w:rsid w:val="00BA723B"/>
    <w:rsid w:val="00BB7E13"/>
    <w:rsid w:val="00BE032C"/>
    <w:rsid w:val="00BE07DC"/>
    <w:rsid w:val="00C05AAA"/>
    <w:rsid w:val="00C242EC"/>
    <w:rsid w:val="00C26077"/>
    <w:rsid w:val="00CE156F"/>
    <w:rsid w:val="00CE74D5"/>
    <w:rsid w:val="00D20FB9"/>
    <w:rsid w:val="00D23678"/>
    <w:rsid w:val="00D43ED6"/>
    <w:rsid w:val="00DA1AC7"/>
    <w:rsid w:val="00DC2768"/>
    <w:rsid w:val="00DE0772"/>
    <w:rsid w:val="00DE50A2"/>
    <w:rsid w:val="00DF6FF4"/>
    <w:rsid w:val="00E57322"/>
    <w:rsid w:val="00E814D8"/>
    <w:rsid w:val="00E841B7"/>
    <w:rsid w:val="00E963F0"/>
    <w:rsid w:val="00ED1A6C"/>
    <w:rsid w:val="00ED5E84"/>
    <w:rsid w:val="00EE0B52"/>
    <w:rsid w:val="00EE16B4"/>
    <w:rsid w:val="00EF16A3"/>
    <w:rsid w:val="00F57E52"/>
    <w:rsid w:val="00F612EF"/>
    <w:rsid w:val="00F72D60"/>
    <w:rsid w:val="231F077D"/>
    <w:rsid w:val="4DE41652"/>
    <w:rsid w:val="54AB20F2"/>
    <w:rsid w:val="569A18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1071</Words>
  <Characters>1108</Characters>
  <Lines>7</Lines>
  <Paragraphs>2</Paragraphs>
  <TotalTime>223</TotalTime>
  <ScaleCrop>false</ScaleCrop>
  <LinksUpToDate>false</LinksUpToDate>
  <CharactersWithSpaces>1112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2019-11-14T00:58:00Z</dcterms:created>
  <dc:creator>user</dc:creator>
  <cp:lastModifiedBy>晴空丶</cp:lastModifiedBy>
  <cp:lastPrinted>2020-01-06T00:47:00Z</cp:lastPrinted>
  <dcterms:modified xsi:type="dcterms:W3CDTF">2026-09-11T06:18:24Z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0D2461CFC33B431F9AECEC5A3629754C_13</vt:lpwstr>
  </property>
  <property fmtid="{D5CDD505-2E9C-101B-9397-08002B2CF9AE}" pid="4" name="KSOTemplateDocerSaveRecord">
    <vt:lpwstr>eyJoZGlkIjoiMzY1NTA5NmI5ZmM5NWYzNTExZDkyZTgyNmZjMTdmODYiLCJ1c2VySWQiOiIxMTU4MjMzODcyIn0=</vt:lpwstr>
  </property>
</Properties>
</file>