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04279">
      <w:pPr>
        <w:keepNext w:val="0"/>
        <w:keepLines w:val="0"/>
        <w:pageBreakBefore w:val="0"/>
        <w:widowControl w:val="0"/>
        <w:kinsoku/>
        <w:wordWrap/>
        <w:overflowPunct/>
        <w:topLinePunct w:val="0"/>
        <w:autoSpaceDE/>
        <w:autoSpaceDN/>
        <w:bidi w:val="0"/>
        <w:adjustRightInd/>
        <w:snapToGrid/>
        <w:spacing w:after="157" w:afterLines="50"/>
        <w:ind w:left="0" w:leftChars="0" w:firstLine="0" w:firstLineChars="0"/>
        <w:jc w:val="center"/>
        <w:textAlignment w:val="auto"/>
        <w:outlineLvl w:val="9"/>
        <w:rPr>
          <w:rFonts w:hint="eastAsia" w:ascii="方正小标宋_GBK" w:hAnsi="方正小标宋_GBK" w:eastAsia="方正小标宋_GBK" w:cs="方正小标宋_GBK"/>
          <w:bCs/>
          <w:spacing w:val="-6"/>
          <w:sz w:val="44"/>
          <w:szCs w:val="44"/>
          <w:lang w:val="en-US" w:eastAsia="zh-CN"/>
        </w:rPr>
      </w:pPr>
      <w:r>
        <w:rPr>
          <w:rFonts w:hint="eastAsia" w:ascii="方正小标宋_GBK" w:hAnsi="方正小标宋_GBK" w:eastAsia="方正小标宋_GBK" w:cs="方正小标宋_GBK"/>
          <w:bCs/>
          <w:spacing w:val="-6"/>
          <w:sz w:val="44"/>
          <w:szCs w:val="44"/>
          <w:lang w:val="en-US" w:eastAsia="zh-CN"/>
        </w:rPr>
        <w:t>关于分布式光伏可开放容量的报告</w:t>
      </w:r>
    </w:p>
    <w:p w14:paraId="63EEF5F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outlineLvl w:val="9"/>
        <w:rPr>
          <w:rFonts w:hint="eastAsia" w:ascii="方正仿宋_GBK" w:hAnsi="方正仿宋_GBK" w:eastAsia="方正仿宋_GBK" w:cs="方正仿宋_GBK"/>
          <w:bCs/>
          <w:spacing w:val="-6"/>
          <w:sz w:val="32"/>
          <w:szCs w:val="32"/>
          <w:lang w:val="en-US" w:eastAsia="zh-CN"/>
        </w:rPr>
      </w:pPr>
      <w:r>
        <w:rPr>
          <w:rFonts w:hint="eastAsia" w:ascii="方正仿宋_GBK" w:hAnsi="方正仿宋_GBK" w:eastAsia="方正仿宋_GBK" w:cs="方正仿宋_GBK"/>
          <w:bCs/>
          <w:spacing w:val="-6"/>
          <w:sz w:val="32"/>
          <w:szCs w:val="32"/>
          <w:lang w:val="en-US" w:eastAsia="zh-CN"/>
        </w:rPr>
        <w:t>隆尧县发展和改革局：</w:t>
      </w:r>
    </w:p>
    <w:p w14:paraId="2243707C">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en-US" w:eastAsia="zh-CN"/>
        </w:rPr>
      </w:pPr>
      <w:r>
        <w:rPr>
          <w:rFonts w:hint="eastAsia" w:ascii="方正仿宋_GBK" w:hAnsi="方正仿宋_GBK" w:eastAsia="方正仿宋_GBK" w:cs="方正仿宋_GBK"/>
          <w:bCs/>
          <w:spacing w:val="-6"/>
          <w:sz w:val="32"/>
          <w:szCs w:val="32"/>
          <w:lang w:val="en-US" w:eastAsia="zh-CN"/>
        </w:rPr>
        <w:t>为落实冀发改能源〔2022〕1243号文件要求，进一步引导分布式光伏规范开发，保障电力系统安全运行和可靠供应，现将本县域内新能源已并网容量及分布式光伏可开发容量情况进行报备，为后续开发分布式光伏提供参考，具体内容如下：</w:t>
      </w:r>
    </w:p>
    <w:p w14:paraId="68472371">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left"/>
        <w:textAlignment w:val="auto"/>
        <w:outlineLvl w:val="9"/>
        <w:rPr>
          <w:rFonts w:hint="eastAsia" w:ascii="方正黑体_GBK" w:hAnsi="方正黑体_GBK" w:eastAsia="方正黑体_GBK" w:cs="方正黑体_GBK"/>
          <w:bCs/>
          <w:spacing w:val="-6"/>
          <w:sz w:val="32"/>
          <w:szCs w:val="32"/>
          <w:lang w:val="en-US" w:eastAsia="zh-CN"/>
        </w:rPr>
      </w:pPr>
      <w:r>
        <w:rPr>
          <w:rFonts w:hint="eastAsia" w:ascii="方正黑体_GBK" w:hAnsi="方正黑体_GBK" w:eastAsia="方正黑体_GBK" w:cs="方正黑体_GBK"/>
          <w:bCs/>
          <w:spacing w:val="-6"/>
          <w:sz w:val="32"/>
          <w:szCs w:val="32"/>
          <w:lang w:val="en-US" w:eastAsia="zh-CN"/>
        </w:rPr>
        <w:t>一、已并网容量情况</w:t>
      </w:r>
    </w:p>
    <w:p w14:paraId="11B96A47">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outlineLvl w:val="9"/>
        <w:rPr>
          <w:rFonts w:hint="eastAsia" w:ascii="方正仿宋_GBK" w:hAnsi="方正仿宋_GBK" w:eastAsia="方正仿宋_GBK" w:cs="方正仿宋_GBK"/>
          <w:bCs/>
          <w:spacing w:val="-6"/>
          <w:sz w:val="32"/>
          <w:szCs w:val="32"/>
          <w:lang w:val="zh-CN" w:eastAsia="zh-CN"/>
        </w:rPr>
      </w:pPr>
      <w:r>
        <w:rPr>
          <w:rFonts w:hint="eastAsia" w:ascii="方正仿宋_GBK" w:hAnsi="方正仿宋_GBK" w:eastAsia="方正仿宋_GBK" w:cs="方正仿宋_GBK"/>
          <w:bCs/>
          <w:spacing w:val="-6"/>
          <w:sz w:val="32"/>
          <w:szCs w:val="32"/>
          <w:lang w:val="zh-CN" w:eastAsia="zh-CN"/>
        </w:rPr>
        <w:t>1.分布式新能源项目</w:t>
      </w:r>
    </w:p>
    <w:p w14:paraId="7C0B803B">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zh-CN" w:eastAsia="zh-CN"/>
        </w:rPr>
      </w:pPr>
      <w:r>
        <w:rPr>
          <w:rFonts w:hint="eastAsia" w:ascii="方正仿宋_GBK" w:hAnsi="方正仿宋_GBK" w:eastAsia="方正仿宋_GBK" w:cs="方正仿宋_GBK"/>
          <w:bCs/>
          <w:spacing w:val="-6"/>
          <w:sz w:val="32"/>
          <w:szCs w:val="32"/>
          <w:lang w:val="zh-CN" w:eastAsia="zh-CN"/>
        </w:rPr>
        <w:t>截至</w:t>
      </w:r>
      <w:bookmarkStart w:id="0" w:name="_GoBack"/>
      <w:bookmarkEnd w:id="0"/>
      <w:r>
        <w:rPr>
          <w:rFonts w:hint="eastAsia" w:ascii="方正仿宋_GBK" w:hAnsi="方正仿宋_GBK" w:eastAsia="方正仿宋_GBK" w:cs="方正仿宋_GBK"/>
          <w:bCs/>
          <w:spacing w:val="-6"/>
          <w:sz w:val="32"/>
          <w:szCs w:val="32"/>
          <w:lang w:val="en-US" w:eastAsia="zh-CN"/>
        </w:rPr>
        <w:t>2024年3</w:t>
      </w:r>
      <w:r>
        <w:rPr>
          <w:rFonts w:hint="eastAsia" w:ascii="方正仿宋_GBK" w:hAnsi="方正仿宋_GBK" w:eastAsia="方正仿宋_GBK" w:cs="方正仿宋_GBK"/>
          <w:bCs/>
          <w:spacing w:val="-6"/>
          <w:sz w:val="32"/>
          <w:szCs w:val="32"/>
          <w:lang w:val="zh-CN" w:eastAsia="zh-CN"/>
        </w:rPr>
        <w:t>月底，本县域内已并网分布式光伏</w:t>
      </w:r>
      <w:r>
        <w:rPr>
          <w:rFonts w:hint="eastAsia" w:ascii="方正仿宋_GBK" w:hAnsi="方正仿宋_GBK" w:eastAsia="方正仿宋_GBK" w:cs="方正仿宋_GBK"/>
          <w:bCs/>
          <w:spacing w:val="-6"/>
          <w:sz w:val="32"/>
          <w:szCs w:val="32"/>
          <w:lang w:val="en-US" w:eastAsia="zh-CN"/>
        </w:rPr>
        <w:t>9408</w:t>
      </w:r>
      <w:r>
        <w:rPr>
          <w:rFonts w:hint="eastAsia" w:ascii="方正仿宋_GBK" w:hAnsi="方正仿宋_GBK" w:eastAsia="方正仿宋_GBK" w:cs="方正仿宋_GBK"/>
          <w:bCs/>
          <w:spacing w:val="-6"/>
          <w:sz w:val="32"/>
          <w:szCs w:val="32"/>
          <w:lang w:val="zh-CN" w:eastAsia="zh-CN"/>
        </w:rPr>
        <w:t>户，容量</w:t>
      </w:r>
      <w:r>
        <w:rPr>
          <w:rFonts w:hint="eastAsia" w:ascii="方正仿宋_GBK" w:hAnsi="方正仿宋_GBK" w:eastAsia="方正仿宋_GBK" w:cs="方正仿宋_GBK"/>
          <w:bCs/>
          <w:spacing w:val="-6"/>
          <w:sz w:val="32"/>
          <w:szCs w:val="32"/>
          <w:lang w:val="en-US" w:eastAsia="zh-CN"/>
        </w:rPr>
        <w:t>25.0588</w:t>
      </w:r>
      <w:r>
        <w:rPr>
          <w:rFonts w:hint="eastAsia" w:ascii="方正仿宋_GBK" w:hAnsi="方正仿宋_GBK" w:eastAsia="方正仿宋_GBK" w:cs="方正仿宋_GBK"/>
          <w:bCs/>
          <w:spacing w:val="-6"/>
          <w:sz w:val="32"/>
          <w:szCs w:val="32"/>
          <w:lang w:val="zh-CN" w:eastAsia="zh-CN"/>
        </w:rPr>
        <w:t>万千瓦，在途分布式光伏</w:t>
      </w:r>
      <w:r>
        <w:rPr>
          <w:rFonts w:hint="eastAsia" w:ascii="方正仿宋_GBK" w:hAnsi="方正仿宋_GBK" w:eastAsia="方正仿宋_GBK" w:cs="方正仿宋_GBK"/>
          <w:bCs/>
          <w:spacing w:val="-6"/>
          <w:sz w:val="32"/>
          <w:szCs w:val="32"/>
          <w:lang w:val="en-US" w:eastAsia="zh-CN"/>
        </w:rPr>
        <w:t>0</w:t>
      </w:r>
      <w:r>
        <w:rPr>
          <w:rFonts w:hint="eastAsia" w:ascii="方正仿宋_GBK" w:hAnsi="方正仿宋_GBK" w:eastAsia="方正仿宋_GBK" w:cs="方正仿宋_GBK"/>
          <w:bCs/>
          <w:spacing w:val="-6"/>
          <w:sz w:val="32"/>
          <w:szCs w:val="32"/>
          <w:lang w:val="zh-CN" w:eastAsia="zh-CN"/>
        </w:rPr>
        <w:t>，容量</w:t>
      </w:r>
      <w:r>
        <w:rPr>
          <w:rFonts w:hint="eastAsia" w:ascii="方正仿宋_GBK" w:hAnsi="方正仿宋_GBK" w:eastAsia="方正仿宋_GBK" w:cs="方正仿宋_GBK"/>
          <w:bCs/>
          <w:spacing w:val="-6"/>
          <w:sz w:val="32"/>
          <w:szCs w:val="32"/>
          <w:lang w:val="en-US" w:eastAsia="zh-CN"/>
        </w:rPr>
        <w:t>0</w:t>
      </w:r>
      <w:r>
        <w:rPr>
          <w:rFonts w:hint="eastAsia" w:ascii="方正仿宋_GBK" w:hAnsi="方正仿宋_GBK" w:eastAsia="方正仿宋_GBK" w:cs="方正仿宋_GBK"/>
          <w:bCs/>
          <w:spacing w:val="-6"/>
          <w:sz w:val="32"/>
          <w:szCs w:val="32"/>
          <w:lang w:val="zh-CN" w:eastAsia="zh-CN"/>
        </w:rPr>
        <w:t>万千瓦，装机容量总计</w:t>
      </w:r>
      <w:r>
        <w:rPr>
          <w:rFonts w:hint="eastAsia" w:ascii="方正仿宋_GBK" w:hAnsi="方正仿宋_GBK" w:eastAsia="方正仿宋_GBK" w:cs="方正仿宋_GBK"/>
          <w:bCs/>
          <w:spacing w:val="-6"/>
          <w:sz w:val="32"/>
          <w:szCs w:val="32"/>
          <w:lang w:val="en-US" w:eastAsia="zh-CN"/>
        </w:rPr>
        <w:t>25.0588</w:t>
      </w:r>
      <w:r>
        <w:rPr>
          <w:rFonts w:hint="eastAsia" w:ascii="方正仿宋_GBK" w:hAnsi="方正仿宋_GBK" w:eastAsia="方正仿宋_GBK" w:cs="方正仿宋_GBK"/>
          <w:bCs/>
          <w:spacing w:val="-6"/>
          <w:sz w:val="32"/>
          <w:szCs w:val="32"/>
          <w:lang w:val="zh-CN" w:eastAsia="zh-CN"/>
        </w:rPr>
        <w:t>万千瓦。</w:t>
      </w:r>
    </w:p>
    <w:p w14:paraId="685AF243">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zh-CN" w:eastAsia="zh-CN"/>
        </w:rPr>
      </w:pPr>
      <w:r>
        <w:rPr>
          <w:rFonts w:hint="eastAsia" w:ascii="方正仿宋_GBK" w:hAnsi="方正仿宋_GBK" w:eastAsia="方正仿宋_GBK" w:cs="方正仿宋_GBK"/>
          <w:b/>
          <w:bCs w:val="0"/>
          <w:spacing w:val="-6"/>
          <w:sz w:val="32"/>
          <w:szCs w:val="32"/>
          <w:lang w:val="zh-CN" w:eastAsia="zh-CN"/>
        </w:rPr>
        <w:t>按并网点电压等级划分</w:t>
      </w:r>
      <w:r>
        <w:rPr>
          <w:rFonts w:hint="eastAsia" w:ascii="方正仿宋_GBK" w:hAnsi="方正仿宋_GBK" w:eastAsia="方正仿宋_GBK" w:cs="方正仿宋_GBK"/>
          <w:bCs/>
          <w:spacing w:val="-6"/>
          <w:sz w:val="32"/>
          <w:szCs w:val="32"/>
          <w:lang w:val="zh-CN" w:eastAsia="zh-CN"/>
        </w:rPr>
        <w:t>，低压接入项目</w:t>
      </w:r>
      <w:r>
        <w:rPr>
          <w:rFonts w:hint="eastAsia" w:ascii="方正仿宋_GBK" w:hAnsi="方正仿宋_GBK" w:eastAsia="方正仿宋_GBK" w:cs="方正仿宋_GBK"/>
          <w:bCs/>
          <w:spacing w:val="-6"/>
          <w:sz w:val="32"/>
          <w:szCs w:val="32"/>
          <w:lang w:val="en-US" w:eastAsia="zh-CN"/>
        </w:rPr>
        <w:t>9405</w:t>
      </w:r>
      <w:r>
        <w:rPr>
          <w:rFonts w:hint="eastAsia" w:ascii="方正仿宋_GBK" w:hAnsi="方正仿宋_GBK" w:eastAsia="方正仿宋_GBK" w:cs="方正仿宋_GBK"/>
          <w:bCs/>
          <w:spacing w:val="-6"/>
          <w:sz w:val="32"/>
          <w:szCs w:val="32"/>
          <w:lang w:val="zh-CN" w:eastAsia="zh-CN"/>
        </w:rPr>
        <w:t>个、</w:t>
      </w:r>
      <w:r>
        <w:rPr>
          <w:rFonts w:hint="eastAsia" w:ascii="方正仿宋_GBK" w:hAnsi="方正仿宋_GBK" w:eastAsia="方正仿宋_GBK" w:cs="方正仿宋_GBK"/>
          <w:bCs/>
          <w:spacing w:val="-6"/>
          <w:sz w:val="32"/>
          <w:szCs w:val="32"/>
          <w:lang w:val="en-US" w:eastAsia="zh-CN"/>
        </w:rPr>
        <w:t>23.4098</w:t>
      </w:r>
      <w:r>
        <w:rPr>
          <w:rFonts w:hint="eastAsia" w:ascii="方正仿宋_GBK" w:hAnsi="方正仿宋_GBK" w:eastAsia="方正仿宋_GBK" w:cs="方正仿宋_GBK"/>
          <w:bCs/>
          <w:spacing w:val="-6"/>
          <w:sz w:val="32"/>
          <w:szCs w:val="32"/>
          <w:lang w:val="zh-CN" w:eastAsia="zh-CN"/>
        </w:rPr>
        <w:t>万千瓦；高压接入项目</w:t>
      </w:r>
      <w:r>
        <w:rPr>
          <w:rFonts w:hint="eastAsia" w:ascii="方正仿宋_GBK" w:hAnsi="方正仿宋_GBK" w:eastAsia="方正仿宋_GBK" w:cs="方正仿宋_GBK"/>
          <w:bCs/>
          <w:spacing w:val="-6"/>
          <w:sz w:val="32"/>
          <w:szCs w:val="32"/>
          <w:lang w:val="en-US" w:eastAsia="zh-CN"/>
        </w:rPr>
        <w:t>3</w:t>
      </w:r>
      <w:r>
        <w:rPr>
          <w:rFonts w:hint="eastAsia" w:ascii="方正仿宋_GBK" w:hAnsi="方正仿宋_GBK" w:eastAsia="方正仿宋_GBK" w:cs="方正仿宋_GBK"/>
          <w:bCs/>
          <w:spacing w:val="-6"/>
          <w:sz w:val="32"/>
          <w:szCs w:val="32"/>
          <w:lang w:val="zh-CN" w:eastAsia="zh-CN"/>
        </w:rPr>
        <w:t>个、1.</w:t>
      </w:r>
      <w:r>
        <w:rPr>
          <w:rFonts w:hint="eastAsia" w:ascii="方正仿宋_GBK" w:hAnsi="方正仿宋_GBK" w:eastAsia="方正仿宋_GBK" w:cs="方正仿宋_GBK"/>
          <w:bCs/>
          <w:spacing w:val="-6"/>
          <w:sz w:val="32"/>
          <w:szCs w:val="32"/>
          <w:lang w:val="en-US" w:eastAsia="zh-CN"/>
        </w:rPr>
        <w:t>649</w:t>
      </w:r>
      <w:r>
        <w:rPr>
          <w:rFonts w:hint="eastAsia" w:ascii="方正仿宋_GBK" w:hAnsi="方正仿宋_GBK" w:eastAsia="方正仿宋_GBK" w:cs="方正仿宋_GBK"/>
          <w:bCs/>
          <w:spacing w:val="-6"/>
          <w:sz w:val="32"/>
          <w:szCs w:val="32"/>
          <w:lang w:val="zh-CN" w:eastAsia="zh-CN"/>
        </w:rPr>
        <w:t>万千瓦。</w:t>
      </w:r>
    </w:p>
    <w:p w14:paraId="664DDF12">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zh-CN" w:eastAsia="zh-CN"/>
        </w:rPr>
      </w:pPr>
      <w:r>
        <w:rPr>
          <w:rFonts w:hint="eastAsia" w:ascii="方正仿宋_GBK" w:hAnsi="方正仿宋_GBK" w:eastAsia="方正仿宋_GBK" w:cs="方正仿宋_GBK"/>
          <w:b/>
          <w:bCs w:val="0"/>
          <w:spacing w:val="-6"/>
          <w:sz w:val="32"/>
          <w:szCs w:val="32"/>
          <w:lang w:val="zh-CN" w:eastAsia="zh-CN"/>
        </w:rPr>
        <w:t>按运营模式划分，</w:t>
      </w:r>
      <w:r>
        <w:rPr>
          <w:rFonts w:hint="eastAsia" w:ascii="方正仿宋_GBK" w:hAnsi="方正仿宋_GBK" w:eastAsia="方正仿宋_GBK" w:cs="方正仿宋_GBK"/>
          <w:bCs/>
          <w:spacing w:val="-6"/>
          <w:sz w:val="32"/>
          <w:szCs w:val="32"/>
          <w:lang w:val="zh-CN" w:eastAsia="zh-CN"/>
        </w:rPr>
        <w:t>全额上网项目</w:t>
      </w:r>
      <w:r>
        <w:rPr>
          <w:rFonts w:hint="eastAsia" w:ascii="方正仿宋_GBK" w:hAnsi="方正仿宋_GBK" w:eastAsia="方正仿宋_GBK" w:cs="方正仿宋_GBK"/>
          <w:bCs/>
          <w:spacing w:val="-6"/>
          <w:sz w:val="32"/>
          <w:szCs w:val="32"/>
          <w:lang w:val="en-US" w:eastAsia="zh-CN"/>
        </w:rPr>
        <w:t>9284</w:t>
      </w:r>
      <w:r>
        <w:rPr>
          <w:rFonts w:hint="eastAsia" w:ascii="方正仿宋_GBK" w:hAnsi="方正仿宋_GBK" w:eastAsia="方正仿宋_GBK" w:cs="方正仿宋_GBK"/>
          <w:bCs/>
          <w:spacing w:val="-6"/>
          <w:sz w:val="32"/>
          <w:szCs w:val="32"/>
          <w:lang w:val="zh-CN" w:eastAsia="zh-CN"/>
        </w:rPr>
        <w:t>个、</w:t>
      </w:r>
      <w:r>
        <w:rPr>
          <w:rFonts w:hint="eastAsia" w:ascii="方正仿宋_GBK" w:hAnsi="方正仿宋_GBK" w:eastAsia="方正仿宋_GBK" w:cs="方正仿宋_GBK"/>
          <w:bCs/>
          <w:spacing w:val="-6"/>
          <w:sz w:val="32"/>
          <w:szCs w:val="32"/>
          <w:lang w:val="en-US" w:eastAsia="zh-CN"/>
        </w:rPr>
        <w:t>22.7219</w:t>
      </w:r>
      <w:r>
        <w:rPr>
          <w:rFonts w:hint="eastAsia" w:ascii="方正仿宋_GBK" w:hAnsi="方正仿宋_GBK" w:eastAsia="方正仿宋_GBK" w:cs="方正仿宋_GBK"/>
          <w:bCs/>
          <w:spacing w:val="-6"/>
          <w:sz w:val="32"/>
          <w:szCs w:val="32"/>
          <w:lang w:val="zh-CN" w:eastAsia="zh-CN"/>
        </w:rPr>
        <w:t>万千瓦；全部自用项目0个、0万千瓦；自发自用余电上网项目12</w:t>
      </w:r>
      <w:r>
        <w:rPr>
          <w:rFonts w:hint="eastAsia" w:ascii="方正仿宋_GBK" w:hAnsi="方正仿宋_GBK" w:eastAsia="方正仿宋_GBK" w:cs="方正仿宋_GBK"/>
          <w:bCs/>
          <w:spacing w:val="-6"/>
          <w:sz w:val="32"/>
          <w:szCs w:val="32"/>
          <w:lang w:val="en-US" w:eastAsia="zh-CN"/>
        </w:rPr>
        <w:t>4</w:t>
      </w:r>
      <w:r>
        <w:rPr>
          <w:rFonts w:hint="eastAsia" w:ascii="方正仿宋_GBK" w:hAnsi="方正仿宋_GBK" w:eastAsia="方正仿宋_GBK" w:cs="方正仿宋_GBK"/>
          <w:bCs/>
          <w:spacing w:val="-6"/>
          <w:sz w:val="32"/>
          <w:szCs w:val="32"/>
          <w:lang w:val="zh-CN" w:eastAsia="zh-CN"/>
        </w:rPr>
        <w:t>个、</w:t>
      </w:r>
      <w:r>
        <w:rPr>
          <w:rFonts w:hint="eastAsia" w:ascii="方正仿宋_GBK" w:hAnsi="方正仿宋_GBK" w:eastAsia="方正仿宋_GBK" w:cs="方正仿宋_GBK"/>
          <w:bCs/>
          <w:spacing w:val="-6"/>
          <w:sz w:val="32"/>
          <w:szCs w:val="32"/>
          <w:lang w:val="en-US" w:eastAsia="zh-CN"/>
        </w:rPr>
        <w:t>2.3369</w:t>
      </w:r>
      <w:r>
        <w:rPr>
          <w:rFonts w:hint="eastAsia" w:ascii="方正仿宋_GBK" w:hAnsi="方正仿宋_GBK" w:eastAsia="方正仿宋_GBK" w:cs="方正仿宋_GBK"/>
          <w:bCs/>
          <w:spacing w:val="-6"/>
          <w:sz w:val="32"/>
          <w:szCs w:val="32"/>
          <w:lang w:val="zh-CN" w:eastAsia="zh-CN"/>
        </w:rPr>
        <w:t>万千瓦。</w:t>
      </w:r>
    </w:p>
    <w:p w14:paraId="5F90581A">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zh-CN" w:eastAsia="zh-CN"/>
        </w:rPr>
      </w:pPr>
      <w:r>
        <w:rPr>
          <w:rFonts w:hint="eastAsia" w:ascii="方正仿宋_GBK" w:hAnsi="方正仿宋_GBK" w:eastAsia="方正仿宋_GBK" w:cs="方正仿宋_GBK"/>
          <w:b/>
          <w:bCs w:val="0"/>
          <w:spacing w:val="-6"/>
          <w:sz w:val="32"/>
          <w:szCs w:val="32"/>
          <w:lang w:val="zh-CN" w:eastAsia="zh-CN"/>
        </w:rPr>
        <w:t>按投资模式划分，</w:t>
      </w:r>
      <w:r>
        <w:rPr>
          <w:rFonts w:hint="eastAsia" w:ascii="方正仿宋_GBK" w:hAnsi="方正仿宋_GBK" w:eastAsia="方正仿宋_GBK" w:cs="方正仿宋_GBK"/>
          <w:bCs/>
          <w:spacing w:val="-6"/>
          <w:sz w:val="32"/>
          <w:szCs w:val="32"/>
          <w:lang w:val="zh-CN" w:eastAsia="zh-CN"/>
        </w:rPr>
        <w:t>自然人项目</w:t>
      </w:r>
      <w:r>
        <w:rPr>
          <w:rFonts w:hint="eastAsia" w:ascii="方正仿宋_GBK" w:hAnsi="方正仿宋_GBK" w:eastAsia="方正仿宋_GBK" w:cs="方正仿宋_GBK"/>
          <w:bCs/>
          <w:spacing w:val="-6"/>
          <w:sz w:val="32"/>
          <w:szCs w:val="32"/>
          <w:lang w:val="en-US" w:eastAsia="zh-CN"/>
        </w:rPr>
        <w:t>8197</w:t>
      </w:r>
      <w:r>
        <w:rPr>
          <w:rFonts w:hint="eastAsia" w:ascii="方正仿宋_GBK" w:hAnsi="方正仿宋_GBK" w:eastAsia="方正仿宋_GBK" w:cs="方正仿宋_GBK"/>
          <w:bCs/>
          <w:spacing w:val="-6"/>
          <w:sz w:val="32"/>
          <w:szCs w:val="32"/>
          <w:lang w:val="zh-CN" w:eastAsia="zh-CN"/>
        </w:rPr>
        <w:t>个、</w:t>
      </w:r>
      <w:r>
        <w:rPr>
          <w:rFonts w:hint="eastAsia" w:ascii="方正仿宋_GBK" w:hAnsi="方正仿宋_GBK" w:eastAsia="方正仿宋_GBK" w:cs="方正仿宋_GBK"/>
          <w:bCs/>
          <w:spacing w:val="-6"/>
          <w:sz w:val="32"/>
          <w:szCs w:val="32"/>
          <w:lang w:val="en-US" w:eastAsia="zh-CN"/>
        </w:rPr>
        <w:t>19.3656</w:t>
      </w:r>
      <w:r>
        <w:rPr>
          <w:rFonts w:hint="eastAsia" w:ascii="方正仿宋_GBK" w:hAnsi="方正仿宋_GBK" w:eastAsia="方正仿宋_GBK" w:cs="方正仿宋_GBK"/>
          <w:bCs/>
          <w:spacing w:val="-6"/>
          <w:sz w:val="32"/>
          <w:szCs w:val="32"/>
          <w:lang w:val="zh-CN" w:eastAsia="zh-CN"/>
        </w:rPr>
        <w:t>万千瓦；非自然人项目</w:t>
      </w:r>
      <w:r>
        <w:rPr>
          <w:rFonts w:hint="eastAsia" w:ascii="方正仿宋_GBK" w:hAnsi="方正仿宋_GBK" w:eastAsia="方正仿宋_GBK" w:cs="方正仿宋_GBK"/>
          <w:bCs/>
          <w:spacing w:val="-6"/>
          <w:sz w:val="32"/>
          <w:szCs w:val="32"/>
          <w:lang w:val="en-US" w:eastAsia="zh-CN"/>
        </w:rPr>
        <w:t>1211</w:t>
      </w:r>
      <w:r>
        <w:rPr>
          <w:rFonts w:hint="eastAsia" w:ascii="方正仿宋_GBK" w:hAnsi="方正仿宋_GBK" w:eastAsia="方正仿宋_GBK" w:cs="方正仿宋_GBK"/>
          <w:bCs/>
          <w:spacing w:val="-6"/>
          <w:sz w:val="32"/>
          <w:szCs w:val="32"/>
          <w:lang w:val="zh-CN" w:eastAsia="zh-CN"/>
        </w:rPr>
        <w:t>个、</w:t>
      </w:r>
      <w:r>
        <w:rPr>
          <w:rFonts w:hint="eastAsia" w:ascii="方正仿宋_GBK" w:hAnsi="方正仿宋_GBK" w:eastAsia="方正仿宋_GBK" w:cs="方正仿宋_GBK"/>
          <w:bCs/>
          <w:spacing w:val="-6"/>
          <w:sz w:val="32"/>
          <w:szCs w:val="32"/>
          <w:lang w:val="en-US" w:eastAsia="zh-CN"/>
        </w:rPr>
        <w:t>5.6932</w:t>
      </w:r>
      <w:r>
        <w:rPr>
          <w:rFonts w:hint="eastAsia" w:ascii="方正仿宋_GBK" w:hAnsi="方正仿宋_GBK" w:eastAsia="方正仿宋_GBK" w:cs="方正仿宋_GBK"/>
          <w:bCs/>
          <w:spacing w:val="-6"/>
          <w:sz w:val="32"/>
          <w:szCs w:val="32"/>
          <w:lang w:val="zh-CN" w:eastAsia="zh-CN"/>
        </w:rPr>
        <w:t>万千瓦。</w:t>
      </w:r>
    </w:p>
    <w:p w14:paraId="085A67C4">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left"/>
        <w:textAlignment w:val="auto"/>
        <w:outlineLvl w:val="9"/>
        <w:rPr>
          <w:rFonts w:hint="eastAsia" w:ascii="方正黑体_GBK" w:hAnsi="方正黑体_GBK" w:eastAsia="方正黑体_GBK" w:cs="方正黑体_GBK"/>
          <w:bCs/>
          <w:spacing w:val="-6"/>
          <w:sz w:val="32"/>
          <w:szCs w:val="32"/>
          <w:lang w:val="en-US" w:eastAsia="zh-CN"/>
        </w:rPr>
      </w:pPr>
      <w:r>
        <w:rPr>
          <w:rFonts w:hint="eastAsia" w:ascii="方正黑体_GBK" w:hAnsi="方正黑体_GBK" w:eastAsia="方正黑体_GBK" w:cs="方正黑体_GBK"/>
          <w:bCs/>
          <w:spacing w:val="-6"/>
          <w:sz w:val="32"/>
          <w:szCs w:val="32"/>
          <w:lang w:val="en-US" w:eastAsia="zh-CN"/>
        </w:rPr>
        <w:t>二、可开发容量情况</w:t>
      </w:r>
    </w:p>
    <w:p w14:paraId="3B0E013C">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en-US" w:eastAsia="zh-CN"/>
        </w:rPr>
      </w:pPr>
      <w:r>
        <w:rPr>
          <w:rFonts w:hint="eastAsia" w:ascii="方正仿宋_GBK" w:hAnsi="方正仿宋_GBK" w:eastAsia="方正仿宋_GBK" w:cs="方正仿宋_GBK"/>
          <w:bCs/>
          <w:spacing w:val="-6"/>
          <w:sz w:val="32"/>
          <w:szCs w:val="32"/>
          <w:lang w:val="en-US" w:eastAsia="zh-CN"/>
        </w:rPr>
        <w:t>为统筹推动分布式光伏发电项目持续健康有序发展，隆尧县供电公司对辖区各级主变容量、主变最大负荷、最小负荷、公变台区配变容量、已接入的用电户数量、用电户容量、已接入的光伏发电户数量、光伏发电户容量、可接入的用电户容量进行了统计分析。按照《河北省发展和改革委员会关于加强屋顶分布式光伏发电管理有关事项的通知》（冀发改能源〔2022〕1243号）要求，屋顶分布式光伏开发建设应“坚持就近消纳就地平衡”、“县域电网可接入屋顶分布式光伏容量原则上按照不向220千伏及以上电网返送功率为依据进行测算”原则。依照该原则并经计算：220千伏隆尧站、唐尧站、金店站所带供电范围暂无可接入光伏容量，无消纳220千伏以及下电压等级光伏能力，全部台区暂停低压接入。</w:t>
      </w:r>
    </w:p>
    <w:p w14:paraId="239105D0">
      <w:pPr>
        <w:keepNext w:val="0"/>
        <w:keepLines w:val="0"/>
        <w:pageBreakBefore w:val="0"/>
        <w:widowControl w:val="0"/>
        <w:kinsoku/>
        <w:wordWrap/>
        <w:overflowPunct/>
        <w:topLinePunct w:val="0"/>
        <w:autoSpaceDE/>
        <w:autoSpaceDN/>
        <w:bidi w:val="0"/>
        <w:adjustRightInd/>
        <w:snapToGrid/>
        <w:spacing w:line="54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en-US" w:eastAsia="zh-CN"/>
        </w:rPr>
      </w:pPr>
    </w:p>
    <w:tbl>
      <w:tblPr>
        <w:tblStyle w:val="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00"/>
        <w:gridCol w:w="4619"/>
        <w:gridCol w:w="3117"/>
      </w:tblGrid>
      <w:tr w14:paraId="2A15C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0" w:hRule="atLeast"/>
        </w:trPr>
        <w:tc>
          <w:tcPr>
            <w:tcW w:w="8336" w:type="dxa"/>
            <w:gridSpan w:val="3"/>
            <w:noWrap w:val="0"/>
            <w:vAlign w:val="center"/>
          </w:tcPr>
          <w:p w14:paraId="16904A50">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隆尧县分布式光伏220千伏变电站可开放容量一览表</w:t>
            </w:r>
          </w:p>
        </w:tc>
      </w:tr>
      <w:tr w14:paraId="2B31E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6EF979F0">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4619" w:type="dxa"/>
            <w:tcBorders>
              <w:top w:val="single" w:color="000000" w:sz="4" w:space="0"/>
              <w:left w:val="single" w:color="000000" w:sz="4" w:space="0"/>
              <w:bottom w:val="single" w:color="000000" w:sz="4" w:space="0"/>
              <w:right w:val="single" w:color="000000" w:sz="4" w:space="0"/>
            </w:tcBorders>
            <w:noWrap w:val="0"/>
            <w:vAlign w:val="center"/>
          </w:tcPr>
          <w:p w14:paraId="0C2F23C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220千伏千伏变电站供电区</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13C9F31F">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剩余可开放容量</w:t>
            </w:r>
          </w:p>
        </w:tc>
      </w:tr>
      <w:tr w14:paraId="09394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4C00D90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619" w:type="dxa"/>
            <w:tcBorders>
              <w:top w:val="single" w:color="000000" w:sz="4" w:space="0"/>
              <w:left w:val="single" w:color="000000" w:sz="4" w:space="0"/>
              <w:bottom w:val="single" w:color="000000" w:sz="4" w:space="0"/>
              <w:right w:val="single" w:color="000000" w:sz="4" w:space="0"/>
            </w:tcBorders>
            <w:noWrap w:val="0"/>
            <w:vAlign w:val="center"/>
          </w:tcPr>
          <w:p w14:paraId="1788327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隆尧220千伏变电站</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14D7153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0.00 </w:t>
            </w:r>
          </w:p>
        </w:tc>
      </w:tr>
      <w:tr w14:paraId="413C7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163C8C3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619" w:type="dxa"/>
            <w:tcBorders>
              <w:top w:val="single" w:color="000000" w:sz="4" w:space="0"/>
              <w:left w:val="single" w:color="000000" w:sz="4" w:space="0"/>
              <w:bottom w:val="single" w:color="000000" w:sz="4" w:space="0"/>
              <w:right w:val="single" w:color="000000" w:sz="4" w:space="0"/>
            </w:tcBorders>
            <w:noWrap w:val="0"/>
            <w:vAlign w:val="center"/>
          </w:tcPr>
          <w:p w14:paraId="53755B8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唐尧220千伏变电站</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7CE8259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0.00 </w:t>
            </w:r>
          </w:p>
        </w:tc>
      </w:tr>
      <w:tr w14:paraId="79050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7E5505F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619" w:type="dxa"/>
            <w:tcBorders>
              <w:top w:val="single" w:color="000000" w:sz="4" w:space="0"/>
              <w:left w:val="single" w:color="000000" w:sz="4" w:space="0"/>
              <w:bottom w:val="single" w:color="000000" w:sz="4" w:space="0"/>
              <w:right w:val="single" w:color="000000" w:sz="4" w:space="0"/>
            </w:tcBorders>
            <w:noWrap w:val="0"/>
            <w:vAlign w:val="center"/>
          </w:tcPr>
          <w:p w14:paraId="6A9DEA4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金店220千伏变电站</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7E3670B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0.00 </w:t>
            </w:r>
          </w:p>
        </w:tc>
      </w:tr>
    </w:tbl>
    <w:p w14:paraId="31EDC9EF">
      <w:pPr>
        <w:keepNext w:val="0"/>
        <w:keepLines w:val="0"/>
        <w:pageBreakBefore w:val="0"/>
        <w:widowControl w:val="0"/>
        <w:kinsoku/>
        <w:wordWrap/>
        <w:overflowPunct/>
        <w:topLinePunct w:val="0"/>
        <w:autoSpaceDE/>
        <w:autoSpaceDN/>
        <w:bidi w:val="0"/>
        <w:adjustRightInd/>
        <w:snapToGrid/>
        <w:spacing w:line="560" w:lineRule="exact"/>
        <w:ind w:left="0" w:leftChars="0" w:firstLine="4312" w:firstLineChars="1400"/>
        <w:jc w:val="left"/>
        <w:textAlignment w:val="auto"/>
        <w:rPr>
          <w:rFonts w:hint="eastAsia" w:ascii="方正仿宋_GBK" w:hAnsi="方正仿宋_GBK" w:eastAsia="方正仿宋_GBK" w:cs="方正仿宋_GBK"/>
          <w:bCs/>
          <w:spacing w:val="-6"/>
          <w:sz w:val="32"/>
          <w:szCs w:val="32"/>
          <w:lang w:val="en-US" w:eastAsia="zh-CN"/>
        </w:rPr>
      </w:pPr>
    </w:p>
    <w:p w14:paraId="0B815DC6">
      <w:pPr>
        <w:keepNext w:val="0"/>
        <w:keepLines w:val="0"/>
        <w:pageBreakBefore w:val="0"/>
        <w:widowControl w:val="0"/>
        <w:kinsoku/>
        <w:wordWrap/>
        <w:overflowPunct/>
        <w:topLinePunct w:val="0"/>
        <w:autoSpaceDE/>
        <w:autoSpaceDN/>
        <w:bidi w:val="0"/>
        <w:adjustRightInd/>
        <w:snapToGrid/>
        <w:spacing w:line="560" w:lineRule="exact"/>
        <w:ind w:left="0" w:leftChars="0" w:firstLine="4312" w:firstLineChars="1400"/>
        <w:jc w:val="left"/>
        <w:textAlignment w:val="auto"/>
        <w:rPr>
          <w:rFonts w:hint="eastAsia" w:ascii="方正仿宋_GBK" w:hAnsi="方正仿宋_GBK" w:eastAsia="方正仿宋_GBK" w:cs="方正仿宋_GBK"/>
          <w:bCs/>
          <w:spacing w:val="-6"/>
          <w:sz w:val="32"/>
          <w:szCs w:val="32"/>
          <w:lang w:val="en-US" w:eastAsia="zh-CN"/>
        </w:rPr>
      </w:pPr>
    </w:p>
    <w:p w14:paraId="24F95283">
      <w:pPr>
        <w:keepNext w:val="0"/>
        <w:keepLines w:val="0"/>
        <w:pageBreakBefore w:val="0"/>
        <w:widowControl w:val="0"/>
        <w:kinsoku/>
        <w:wordWrap/>
        <w:overflowPunct/>
        <w:topLinePunct w:val="0"/>
        <w:autoSpaceDE/>
        <w:autoSpaceDN/>
        <w:bidi w:val="0"/>
        <w:adjustRightInd/>
        <w:snapToGrid/>
        <w:spacing w:line="560" w:lineRule="exact"/>
        <w:ind w:left="0" w:leftChars="0" w:firstLine="4312" w:firstLineChars="1400"/>
        <w:jc w:val="left"/>
        <w:textAlignment w:val="auto"/>
        <w:rPr>
          <w:rFonts w:hint="eastAsia" w:ascii="方正仿宋_GBK" w:hAnsi="方正仿宋_GBK" w:eastAsia="方正仿宋_GBK" w:cs="方正仿宋_GBK"/>
          <w:bCs/>
          <w:spacing w:val="-6"/>
          <w:sz w:val="32"/>
          <w:szCs w:val="32"/>
          <w:lang w:val="en-US" w:eastAsia="zh-CN"/>
        </w:rPr>
      </w:pPr>
    </w:p>
    <w:p w14:paraId="7A9E9893">
      <w:pPr>
        <w:keepNext w:val="0"/>
        <w:keepLines w:val="0"/>
        <w:pageBreakBefore w:val="0"/>
        <w:widowControl w:val="0"/>
        <w:kinsoku/>
        <w:wordWrap/>
        <w:overflowPunct/>
        <w:topLinePunct w:val="0"/>
        <w:autoSpaceDE/>
        <w:autoSpaceDN/>
        <w:bidi w:val="0"/>
        <w:adjustRightInd/>
        <w:snapToGrid/>
        <w:spacing w:line="560" w:lineRule="exact"/>
        <w:ind w:left="0" w:leftChars="0" w:firstLine="4312" w:firstLineChars="1400"/>
        <w:jc w:val="left"/>
        <w:textAlignment w:val="auto"/>
        <w:rPr>
          <w:rFonts w:hint="eastAsia" w:ascii="方正仿宋_GBK" w:hAnsi="方正仿宋_GBK" w:eastAsia="方正仿宋_GBK" w:cs="方正仿宋_GBK"/>
          <w:bCs/>
          <w:spacing w:val="-6"/>
          <w:sz w:val="32"/>
          <w:szCs w:val="32"/>
          <w:lang w:val="en-US" w:eastAsia="zh-CN"/>
        </w:rPr>
      </w:pPr>
      <w:r>
        <w:rPr>
          <w:rFonts w:hint="eastAsia" w:ascii="方正仿宋_GBK" w:hAnsi="方正仿宋_GBK" w:eastAsia="方正仿宋_GBK" w:cs="方正仿宋_GBK"/>
          <w:bCs/>
          <w:spacing w:val="-6"/>
          <w:sz w:val="32"/>
          <w:szCs w:val="32"/>
          <w:lang w:val="en-US" w:eastAsia="zh-CN"/>
        </w:rPr>
        <w:t>国网隆尧县供电公司</w:t>
      </w:r>
    </w:p>
    <w:p w14:paraId="6858C2BF">
      <w:pPr>
        <w:ind w:firstLine="4312" w:firstLineChars="1400"/>
      </w:pPr>
      <w:r>
        <w:rPr>
          <w:rFonts w:hint="eastAsia" w:ascii="方正仿宋_GBK" w:hAnsi="方正仿宋_GBK" w:eastAsia="方正仿宋_GBK" w:cs="方正仿宋_GBK"/>
          <w:bCs/>
          <w:spacing w:val="-6"/>
          <w:sz w:val="32"/>
          <w:szCs w:val="32"/>
          <w:lang w:val="en-US" w:eastAsia="zh-CN"/>
        </w:rPr>
        <w:t>二〇二四年四月十六日</w:t>
      </w:r>
    </w:p>
    <w:p w14:paraId="1D8EEE2E"/>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3OThjZjJiMmUzMTQ0ZmFiZDg4MTgxMTNiYmY1NzAifQ=="/>
  </w:docVars>
  <w:rsids>
    <w:rsidRoot w:val="00000000"/>
    <w:rsid w:val="2AF0077D"/>
    <w:rsid w:val="74314B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autoRedefine/>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738</Words>
  <Characters>840</Characters>
  <Lines>0</Lines>
  <Paragraphs>0</Paragraphs>
  <TotalTime>0</TotalTime>
  <ScaleCrop>false</ScaleCrop>
  <LinksUpToDate>false</LinksUpToDate>
  <CharactersWithSpaces>843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2024-04-17T03:07:00Z</dcterms:created>
  <dc:creator>Administrator</dc:creator>
  <cp:lastModifiedBy>曹战强</cp:lastModifiedBy>
  <dcterms:modified xsi:type="dcterms:W3CDTF">2026-09-11T03:37:55Z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BE95D0059A744FA180C43B0D549285AB_12</vt:lpwstr>
  </property>
  <property fmtid="{D5CDD505-2E9C-101B-9397-08002B2CF9AE}" pid="4" name="KSOTemplateDocerSaveRecord">
    <vt:lpwstr>eyJoZGlkIjoiNGY3OThjZjJiMmUzMTQ0ZmFiZDg4MTgxMTNiYmY1NzAiLCJ1c2VySWQiOiIzNTg1OTAzMzIifQ==</vt:lpwstr>
  </property>
</Properties>
</file>