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A3115">
      <w:pPr>
        <w:keepNext w:val="0"/>
        <w:keepLines w:val="0"/>
        <w:pageBreakBefore w:val="0"/>
        <w:widowControl w:val="0"/>
        <w:kinsoku/>
        <w:wordWrap/>
        <w:overflowPunct/>
        <w:topLinePunct w:val="0"/>
        <w:autoSpaceDE/>
        <w:autoSpaceDN/>
        <w:bidi w:val="0"/>
        <w:adjustRightInd/>
        <w:snapToGrid/>
        <w:spacing w:after="157" w:afterLines="50"/>
        <w:ind w:left="0" w:leftChars="0" w:firstLine="0" w:firstLineChars="0"/>
        <w:jc w:val="center"/>
        <w:textAlignment w:val="auto"/>
        <w:outlineLvl w:val="9"/>
        <w:rPr>
          <w:rFonts w:hint="eastAsia" w:ascii="方正小标宋_GBK" w:hAnsi="方正小标宋_GBK" w:eastAsia="方正小标宋_GBK" w:cs="方正小标宋_GBK"/>
          <w:bCs/>
          <w:spacing w:val="-6"/>
          <w:sz w:val="44"/>
          <w:szCs w:val="44"/>
          <w:lang w:val="en-US" w:eastAsia="zh-CN"/>
        </w:rPr>
      </w:pPr>
      <w:r>
        <w:rPr>
          <w:rFonts w:hint="eastAsia" w:ascii="方正小标宋_GBK" w:hAnsi="方正小标宋_GBK" w:eastAsia="方正小标宋_GBK" w:cs="方正小标宋_GBK"/>
          <w:bCs/>
          <w:spacing w:val="-6"/>
          <w:sz w:val="44"/>
          <w:szCs w:val="44"/>
          <w:lang w:val="en-US" w:eastAsia="zh-CN"/>
        </w:rPr>
        <w:t>关于分布式光伏可开放容量的报告</w:t>
      </w:r>
    </w:p>
    <w:p w14:paraId="3744710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隆尧县发展和改革局：</w:t>
      </w:r>
    </w:p>
    <w:p w14:paraId="31EA6C7B">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为落实冀发改能源〔2022〕1243号文件要求，进一步引导分布式光伏规范开发，保障电力系统安全运行和可靠供应，现将本县域内新能源已并网容量及分布式光伏可开发容量情况进行报备</w:t>
      </w:r>
      <w:bookmarkStart w:id="0" w:name="_GoBack"/>
      <w:bookmarkEnd w:id="0"/>
      <w:r>
        <w:rPr>
          <w:rFonts w:hint="eastAsia" w:ascii="方正仿宋_GBK" w:hAnsi="方正仿宋_GBK" w:eastAsia="方正仿宋_GBK" w:cs="方正仿宋_GBK"/>
          <w:bCs/>
          <w:spacing w:val="-6"/>
          <w:sz w:val="32"/>
          <w:szCs w:val="32"/>
          <w:lang w:val="en-US" w:eastAsia="zh-CN"/>
        </w:rPr>
        <w:t>，为后续开发分布式光伏提供参考，具体内容如下：</w:t>
      </w:r>
    </w:p>
    <w:p w14:paraId="366A7F82">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黑体_GBK" w:hAnsi="方正黑体_GBK" w:eastAsia="方正黑体_GBK" w:cs="方正黑体_GBK"/>
          <w:bCs/>
          <w:spacing w:val="-6"/>
          <w:sz w:val="32"/>
          <w:szCs w:val="32"/>
          <w:lang w:val="en-US" w:eastAsia="zh-CN"/>
        </w:rPr>
      </w:pPr>
      <w:r>
        <w:rPr>
          <w:rFonts w:hint="eastAsia" w:ascii="方正黑体_GBK" w:hAnsi="方正黑体_GBK" w:eastAsia="方正黑体_GBK" w:cs="方正黑体_GBK"/>
          <w:bCs/>
          <w:spacing w:val="-6"/>
          <w:sz w:val="32"/>
          <w:szCs w:val="32"/>
          <w:lang w:val="en-US" w:eastAsia="zh-CN"/>
        </w:rPr>
        <w:t>一、已并网容量情况</w:t>
      </w:r>
    </w:p>
    <w:p w14:paraId="79C928BA">
      <w:pPr>
        <w:keepNext w:val="0"/>
        <w:keepLines w:val="0"/>
        <w:pageBreakBefore w:val="0"/>
        <w:widowControl w:val="0"/>
        <w:kinsoku/>
        <w:wordWrap/>
        <w:overflowPunct/>
        <w:topLinePunct w:val="0"/>
        <w:autoSpaceDE/>
        <w:autoSpaceDN/>
        <w:bidi w:val="0"/>
        <w:adjustRightInd/>
        <w:snapToGrid/>
        <w:spacing w:line="540" w:lineRule="exact"/>
        <w:ind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1.分布式新能源项目</w:t>
      </w:r>
    </w:p>
    <w:p w14:paraId="7C7926B3">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截至</w:t>
      </w:r>
      <w:r>
        <w:rPr>
          <w:rFonts w:hint="eastAsia" w:ascii="方正仿宋_GBK" w:hAnsi="方正仿宋_GBK" w:eastAsia="方正仿宋_GBK" w:cs="方正仿宋_GBK"/>
          <w:bCs/>
          <w:spacing w:val="-6"/>
          <w:sz w:val="32"/>
          <w:szCs w:val="32"/>
          <w:lang w:val="en-US" w:eastAsia="zh-CN"/>
        </w:rPr>
        <w:t>2024年12</w:t>
      </w:r>
      <w:r>
        <w:rPr>
          <w:rFonts w:hint="eastAsia" w:ascii="方正仿宋_GBK" w:hAnsi="方正仿宋_GBK" w:eastAsia="方正仿宋_GBK" w:cs="方正仿宋_GBK"/>
          <w:bCs/>
          <w:spacing w:val="-6"/>
          <w:sz w:val="32"/>
          <w:szCs w:val="32"/>
          <w:lang w:val="zh-CN" w:eastAsia="zh-CN"/>
        </w:rPr>
        <w:t>月底，本县域内已并网分布式光伏</w:t>
      </w:r>
      <w:r>
        <w:rPr>
          <w:rFonts w:hint="eastAsia" w:ascii="方正仿宋_GBK" w:hAnsi="方正仿宋_GBK" w:eastAsia="方正仿宋_GBK" w:cs="方正仿宋_GBK"/>
          <w:bCs/>
          <w:spacing w:val="-6"/>
          <w:sz w:val="32"/>
          <w:szCs w:val="32"/>
          <w:lang w:val="en-US" w:eastAsia="zh-CN"/>
        </w:rPr>
        <w:t>9400</w:t>
      </w:r>
      <w:r>
        <w:rPr>
          <w:rFonts w:hint="eastAsia" w:ascii="方正仿宋_GBK" w:hAnsi="方正仿宋_GBK" w:eastAsia="方正仿宋_GBK" w:cs="方正仿宋_GBK"/>
          <w:bCs/>
          <w:spacing w:val="-6"/>
          <w:sz w:val="32"/>
          <w:szCs w:val="32"/>
          <w:lang w:val="zh-CN" w:eastAsia="zh-CN"/>
        </w:rPr>
        <w:t>户，容量</w:t>
      </w:r>
      <w:r>
        <w:rPr>
          <w:rFonts w:hint="eastAsia" w:ascii="方正仿宋_GBK" w:hAnsi="方正仿宋_GBK" w:eastAsia="方正仿宋_GBK" w:cs="方正仿宋_GBK"/>
          <w:bCs/>
          <w:spacing w:val="-6"/>
          <w:sz w:val="32"/>
          <w:szCs w:val="32"/>
          <w:lang w:val="en-US" w:eastAsia="zh-CN"/>
        </w:rPr>
        <w:t>25.0515</w:t>
      </w:r>
      <w:r>
        <w:rPr>
          <w:rFonts w:hint="eastAsia" w:ascii="方正仿宋_GBK" w:hAnsi="方正仿宋_GBK" w:eastAsia="方正仿宋_GBK" w:cs="方正仿宋_GBK"/>
          <w:bCs/>
          <w:spacing w:val="-6"/>
          <w:sz w:val="32"/>
          <w:szCs w:val="32"/>
          <w:lang w:val="zh-CN" w:eastAsia="zh-CN"/>
        </w:rPr>
        <w:t>万千瓦，在途分布式光伏</w:t>
      </w:r>
      <w:r>
        <w:rPr>
          <w:rFonts w:hint="eastAsia" w:ascii="方正仿宋_GBK" w:hAnsi="方正仿宋_GBK" w:eastAsia="方正仿宋_GBK" w:cs="方正仿宋_GBK"/>
          <w:bCs/>
          <w:spacing w:val="-6"/>
          <w:sz w:val="32"/>
          <w:szCs w:val="32"/>
          <w:lang w:val="en-US" w:eastAsia="zh-CN"/>
        </w:rPr>
        <w:t>0</w:t>
      </w:r>
      <w:r>
        <w:rPr>
          <w:rFonts w:hint="eastAsia" w:ascii="方正仿宋_GBK" w:hAnsi="方正仿宋_GBK" w:eastAsia="方正仿宋_GBK" w:cs="方正仿宋_GBK"/>
          <w:bCs/>
          <w:spacing w:val="-6"/>
          <w:sz w:val="32"/>
          <w:szCs w:val="32"/>
          <w:lang w:val="zh-CN" w:eastAsia="zh-CN"/>
        </w:rPr>
        <w:t>，容量</w:t>
      </w:r>
      <w:r>
        <w:rPr>
          <w:rFonts w:hint="eastAsia" w:ascii="方正仿宋_GBK" w:hAnsi="方正仿宋_GBK" w:eastAsia="方正仿宋_GBK" w:cs="方正仿宋_GBK"/>
          <w:bCs/>
          <w:spacing w:val="-6"/>
          <w:sz w:val="32"/>
          <w:szCs w:val="32"/>
          <w:lang w:val="en-US" w:eastAsia="zh-CN"/>
        </w:rPr>
        <w:t>0</w:t>
      </w:r>
      <w:r>
        <w:rPr>
          <w:rFonts w:hint="eastAsia" w:ascii="方正仿宋_GBK" w:hAnsi="方正仿宋_GBK" w:eastAsia="方正仿宋_GBK" w:cs="方正仿宋_GBK"/>
          <w:bCs/>
          <w:spacing w:val="-6"/>
          <w:sz w:val="32"/>
          <w:szCs w:val="32"/>
          <w:lang w:val="zh-CN" w:eastAsia="zh-CN"/>
        </w:rPr>
        <w:t>万千瓦，装机容量总计</w:t>
      </w:r>
      <w:r>
        <w:rPr>
          <w:rFonts w:hint="eastAsia" w:ascii="方正仿宋_GBK" w:hAnsi="方正仿宋_GBK" w:eastAsia="方正仿宋_GBK" w:cs="方正仿宋_GBK"/>
          <w:bCs/>
          <w:spacing w:val="-6"/>
          <w:sz w:val="32"/>
          <w:szCs w:val="32"/>
          <w:lang w:val="en-US" w:eastAsia="zh-CN"/>
        </w:rPr>
        <w:t>25.0515</w:t>
      </w:r>
      <w:r>
        <w:rPr>
          <w:rFonts w:hint="eastAsia" w:ascii="方正仿宋_GBK" w:hAnsi="方正仿宋_GBK" w:eastAsia="方正仿宋_GBK" w:cs="方正仿宋_GBK"/>
          <w:bCs/>
          <w:spacing w:val="-6"/>
          <w:sz w:val="32"/>
          <w:szCs w:val="32"/>
          <w:lang w:val="zh-CN" w:eastAsia="zh-CN"/>
        </w:rPr>
        <w:t>万千瓦。</w:t>
      </w:r>
    </w:p>
    <w:p w14:paraId="6532E810">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按并网点电压等级划分</w:t>
      </w:r>
      <w:r>
        <w:rPr>
          <w:rFonts w:hint="eastAsia" w:ascii="方正仿宋_GBK" w:hAnsi="方正仿宋_GBK" w:eastAsia="方正仿宋_GBK" w:cs="方正仿宋_GBK"/>
          <w:bCs/>
          <w:spacing w:val="-6"/>
          <w:sz w:val="32"/>
          <w:szCs w:val="32"/>
          <w:lang w:val="zh-CN" w:eastAsia="zh-CN"/>
        </w:rPr>
        <w:t>，低压接入项目</w:t>
      </w:r>
      <w:r>
        <w:rPr>
          <w:rFonts w:hint="eastAsia" w:ascii="方正仿宋_GBK" w:hAnsi="方正仿宋_GBK" w:eastAsia="方正仿宋_GBK" w:cs="方正仿宋_GBK"/>
          <w:bCs/>
          <w:spacing w:val="-6"/>
          <w:sz w:val="32"/>
          <w:szCs w:val="32"/>
          <w:lang w:val="en-US" w:eastAsia="zh-CN"/>
        </w:rPr>
        <w:t>9397</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23.4025</w:t>
      </w:r>
      <w:r>
        <w:rPr>
          <w:rFonts w:hint="eastAsia" w:ascii="方正仿宋_GBK" w:hAnsi="方正仿宋_GBK" w:eastAsia="方正仿宋_GBK" w:cs="方正仿宋_GBK"/>
          <w:bCs/>
          <w:spacing w:val="-6"/>
          <w:sz w:val="32"/>
          <w:szCs w:val="32"/>
          <w:lang w:val="zh-CN" w:eastAsia="zh-CN"/>
        </w:rPr>
        <w:t>万千瓦；高压接入项目</w:t>
      </w:r>
      <w:r>
        <w:rPr>
          <w:rFonts w:hint="eastAsia" w:ascii="方正仿宋_GBK" w:hAnsi="方正仿宋_GBK" w:eastAsia="方正仿宋_GBK" w:cs="方正仿宋_GBK"/>
          <w:bCs/>
          <w:spacing w:val="-6"/>
          <w:sz w:val="32"/>
          <w:szCs w:val="32"/>
          <w:lang w:val="en-US" w:eastAsia="zh-CN"/>
        </w:rPr>
        <w:t>3</w:t>
      </w:r>
      <w:r>
        <w:rPr>
          <w:rFonts w:hint="eastAsia" w:ascii="方正仿宋_GBK" w:hAnsi="方正仿宋_GBK" w:eastAsia="方正仿宋_GBK" w:cs="方正仿宋_GBK"/>
          <w:bCs/>
          <w:spacing w:val="-6"/>
          <w:sz w:val="32"/>
          <w:szCs w:val="32"/>
          <w:lang w:val="zh-CN" w:eastAsia="zh-CN"/>
        </w:rPr>
        <w:t>个、1.</w:t>
      </w:r>
      <w:r>
        <w:rPr>
          <w:rFonts w:hint="eastAsia" w:ascii="方正仿宋_GBK" w:hAnsi="方正仿宋_GBK" w:eastAsia="方正仿宋_GBK" w:cs="方正仿宋_GBK"/>
          <w:bCs/>
          <w:spacing w:val="-6"/>
          <w:sz w:val="32"/>
          <w:szCs w:val="32"/>
          <w:lang w:val="en-US" w:eastAsia="zh-CN"/>
        </w:rPr>
        <w:t>649</w:t>
      </w:r>
      <w:r>
        <w:rPr>
          <w:rFonts w:hint="eastAsia" w:ascii="方正仿宋_GBK" w:hAnsi="方正仿宋_GBK" w:eastAsia="方正仿宋_GBK" w:cs="方正仿宋_GBK"/>
          <w:bCs/>
          <w:spacing w:val="-6"/>
          <w:sz w:val="32"/>
          <w:szCs w:val="32"/>
          <w:lang w:val="zh-CN" w:eastAsia="zh-CN"/>
        </w:rPr>
        <w:t>万千瓦。</w:t>
      </w:r>
    </w:p>
    <w:p w14:paraId="1652C969">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按运营模式划分，</w:t>
      </w:r>
      <w:r>
        <w:rPr>
          <w:rFonts w:hint="eastAsia" w:ascii="方正仿宋_GBK" w:hAnsi="方正仿宋_GBK" w:eastAsia="方正仿宋_GBK" w:cs="方正仿宋_GBK"/>
          <w:bCs/>
          <w:spacing w:val="-6"/>
          <w:sz w:val="32"/>
          <w:szCs w:val="32"/>
          <w:lang w:val="zh-CN" w:eastAsia="zh-CN"/>
        </w:rPr>
        <w:t>全额上网项目</w:t>
      </w:r>
      <w:r>
        <w:rPr>
          <w:rFonts w:hint="eastAsia" w:ascii="方正仿宋_GBK" w:hAnsi="方正仿宋_GBK" w:eastAsia="方正仿宋_GBK" w:cs="方正仿宋_GBK"/>
          <w:bCs/>
          <w:spacing w:val="-6"/>
          <w:sz w:val="32"/>
          <w:szCs w:val="32"/>
          <w:lang w:val="en-US" w:eastAsia="zh-CN"/>
        </w:rPr>
        <w:t>9276</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22.7146</w:t>
      </w:r>
      <w:r>
        <w:rPr>
          <w:rFonts w:hint="eastAsia" w:ascii="方正仿宋_GBK" w:hAnsi="方正仿宋_GBK" w:eastAsia="方正仿宋_GBK" w:cs="方正仿宋_GBK"/>
          <w:bCs/>
          <w:spacing w:val="-6"/>
          <w:sz w:val="32"/>
          <w:szCs w:val="32"/>
          <w:lang w:val="zh-CN" w:eastAsia="zh-CN"/>
        </w:rPr>
        <w:t>万千瓦；全部自用项目0个、0万千瓦；自发自用余电上网项目12</w:t>
      </w:r>
      <w:r>
        <w:rPr>
          <w:rFonts w:hint="eastAsia" w:ascii="方正仿宋_GBK" w:hAnsi="方正仿宋_GBK" w:eastAsia="方正仿宋_GBK" w:cs="方正仿宋_GBK"/>
          <w:bCs/>
          <w:spacing w:val="-6"/>
          <w:sz w:val="32"/>
          <w:szCs w:val="32"/>
          <w:lang w:val="en-US" w:eastAsia="zh-CN"/>
        </w:rPr>
        <w:t>4</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2.3369</w:t>
      </w:r>
      <w:r>
        <w:rPr>
          <w:rFonts w:hint="eastAsia" w:ascii="方正仿宋_GBK" w:hAnsi="方正仿宋_GBK" w:eastAsia="方正仿宋_GBK" w:cs="方正仿宋_GBK"/>
          <w:bCs/>
          <w:spacing w:val="-6"/>
          <w:sz w:val="32"/>
          <w:szCs w:val="32"/>
          <w:lang w:val="zh-CN" w:eastAsia="zh-CN"/>
        </w:rPr>
        <w:t>万千瓦。</w:t>
      </w:r>
    </w:p>
    <w:p w14:paraId="0655FDF9">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
          <w:bCs w:val="0"/>
          <w:spacing w:val="-6"/>
          <w:sz w:val="32"/>
          <w:szCs w:val="32"/>
          <w:lang w:val="zh-CN" w:eastAsia="zh-CN"/>
        </w:rPr>
        <w:t>按投资模式划分，</w:t>
      </w:r>
      <w:r>
        <w:rPr>
          <w:rFonts w:hint="eastAsia" w:ascii="方正仿宋_GBK" w:hAnsi="方正仿宋_GBK" w:eastAsia="方正仿宋_GBK" w:cs="方正仿宋_GBK"/>
          <w:bCs/>
          <w:spacing w:val="-6"/>
          <w:sz w:val="32"/>
          <w:szCs w:val="32"/>
          <w:lang w:val="zh-CN" w:eastAsia="zh-CN"/>
        </w:rPr>
        <w:t>自然人项目</w:t>
      </w:r>
      <w:r>
        <w:rPr>
          <w:rFonts w:hint="eastAsia" w:ascii="方正仿宋_GBK" w:hAnsi="方正仿宋_GBK" w:eastAsia="方正仿宋_GBK" w:cs="方正仿宋_GBK"/>
          <w:bCs/>
          <w:spacing w:val="-6"/>
          <w:sz w:val="32"/>
          <w:szCs w:val="32"/>
          <w:lang w:val="en-US" w:eastAsia="zh-CN"/>
        </w:rPr>
        <w:t>8189</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19.3583</w:t>
      </w:r>
      <w:r>
        <w:rPr>
          <w:rFonts w:hint="eastAsia" w:ascii="方正仿宋_GBK" w:hAnsi="方正仿宋_GBK" w:eastAsia="方正仿宋_GBK" w:cs="方正仿宋_GBK"/>
          <w:bCs/>
          <w:spacing w:val="-6"/>
          <w:sz w:val="32"/>
          <w:szCs w:val="32"/>
          <w:lang w:val="zh-CN" w:eastAsia="zh-CN"/>
        </w:rPr>
        <w:t>万千瓦；非自然人项目</w:t>
      </w:r>
      <w:r>
        <w:rPr>
          <w:rFonts w:hint="eastAsia" w:ascii="方正仿宋_GBK" w:hAnsi="方正仿宋_GBK" w:eastAsia="方正仿宋_GBK" w:cs="方正仿宋_GBK"/>
          <w:bCs/>
          <w:spacing w:val="-6"/>
          <w:sz w:val="32"/>
          <w:szCs w:val="32"/>
          <w:lang w:val="en-US" w:eastAsia="zh-CN"/>
        </w:rPr>
        <w:t>1211</w:t>
      </w:r>
      <w:r>
        <w:rPr>
          <w:rFonts w:hint="eastAsia" w:ascii="方正仿宋_GBK" w:hAnsi="方正仿宋_GBK" w:eastAsia="方正仿宋_GBK" w:cs="方正仿宋_GBK"/>
          <w:bCs/>
          <w:spacing w:val="-6"/>
          <w:sz w:val="32"/>
          <w:szCs w:val="32"/>
          <w:lang w:val="zh-CN" w:eastAsia="zh-CN"/>
        </w:rPr>
        <w:t>个、</w:t>
      </w:r>
      <w:r>
        <w:rPr>
          <w:rFonts w:hint="eastAsia" w:ascii="方正仿宋_GBK" w:hAnsi="方正仿宋_GBK" w:eastAsia="方正仿宋_GBK" w:cs="方正仿宋_GBK"/>
          <w:bCs/>
          <w:spacing w:val="-6"/>
          <w:sz w:val="32"/>
          <w:szCs w:val="32"/>
          <w:lang w:val="en-US" w:eastAsia="zh-CN"/>
        </w:rPr>
        <w:t>5.6932</w:t>
      </w:r>
      <w:r>
        <w:rPr>
          <w:rFonts w:hint="eastAsia" w:ascii="方正仿宋_GBK" w:hAnsi="方正仿宋_GBK" w:eastAsia="方正仿宋_GBK" w:cs="方正仿宋_GBK"/>
          <w:bCs/>
          <w:spacing w:val="-6"/>
          <w:sz w:val="32"/>
          <w:szCs w:val="32"/>
          <w:lang w:val="zh-CN" w:eastAsia="zh-CN"/>
        </w:rPr>
        <w:t>万千瓦。</w:t>
      </w:r>
    </w:p>
    <w:p w14:paraId="21F65AAF">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黑体_GBK" w:hAnsi="方正黑体_GBK" w:eastAsia="方正黑体_GBK" w:cs="方正黑体_GBK"/>
          <w:bCs/>
          <w:spacing w:val="-6"/>
          <w:sz w:val="32"/>
          <w:szCs w:val="32"/>
          <w:lang w:val="en-US" w:eastAsia="zh-CN"/>
        </w:rPr>
      </w:pPr>
      <w:r>
        <w:rPr>
          <w:rFonts w:hint="eastAsia" w:ascii="方正黑体_GBK" w:hAnsi="方正黑体_GBK" w:eastAsia="方正黑体_GBK" w:cs="方正黑体_GBK"/>
          <w:bCs/>
          <w:spacing w:val="-6"/>
          <w:sz w:val="32"/>
          <w:szCs w:val="32"/>
          <w:lang w:val="en-US" w:eastAsia="zh-CN"/>
        </w:rPr>
        <w:t>二、可开发容量情况</w:t>
      </w:r>
    </w:p>
    <w:p w14:paraId="6068CF23">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为统筹推动分布式光伏发电项目持续健康有序发展，隆尧县供电公司对辖区各级主变容量、主变最大负荷、最小负荷、公变台区配变容量、已接入的用电户数量、用电户容量、已接入的光伏发电户数量、光伏发电户容量、可接入的用电户容量进行了统计分析。按照《河北省发展和改革委员会关于加强屋顶分布式光伏发电管理有关事项的通知》（冀发改能源〔2022〕1243号）要求，屋顶分布式光伏开发建设应“坚持就近消纳就地平衡”、“县域电网可接入屋顶分布式光伏容量原则上按照不向220千伏及以上电网返送功率为依据进行测算”、“各级电网主变（配变）所接入的光伏容量不应超过设备额定容量的80%”的原则。依照该原则并经计算：隆尧县域220千伏一季度柏乡站可开放容量为9.5兆瓦，北张站可开放容量为5.92兆瓦，尧山站可开放容量为6.36兆瓦，220千伏隆尧站、唐尧站、金店站、临泉站均无可开放容量。</w:t>
      </w:r>
    </w:p>
    <w:tbl>
      <w:tblPr>
        <w:tblStyle w:val="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8336"/>
      </w:tblGrid>
      <w:tr w14:paraId="668D6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0" w:hRule="atLeast"/>
        </w:trPr>
        <w:tc>
          <w:tcPr>
            <w:tcW w:w="8336" w:type="dxa"/>
            <w:noWrap w:val="0"/>
            <w:vAlign w:val="center"/>
          </w:tcPr>
          <w:tbl>
            <w:tblPr>
              <w:tblStyle w:val="2"/>
              <w:tblpPr w:leftFromText="180" w:rightFromText="180" w:vertAnchor="text" w:horzAnchor="page" w:tblpX="-1076" w:tblpY="476"/>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89"/>
              <w:gridCol w:w="1012"/>
              <w:gridCol w:w="2036"/>
              <w:gridCol w:w="1629"/>
              <w:gridCol w:w="1547"/>
              <w:gridCol w:w="1283"/>
            </w:tblGrid>
            <w:tr w14:paraId="1B725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10"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3157A00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县域</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5C3CE63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乡镇</w:t>
                  </w:r>
                </w:p>
              </w:tc>
              <w:tc>
                <w:tcPr>
                  <w:tcW w:w="2036" w:type="dxa"/>
                  <w:tcBorders>
                    <w:top w:val="single" w:color="000000" w:sz="4" w:space="0"/>
                    <w:left w:val="single" w:color="000000" w:sz="4" w:space="0"/>
                    <w:bottom w:val="single" w:color="000000" w:sz="4" w:space="0"/>
                    <w:right w:val="single" w:color="000000" w:sz="4" w:space="0"/>
                  </w:tcBorders>
                  <w:noWrap w:val="0"/>
                  <w:vAlign w:val="center"/>
                </w:tcPr>
                <w:p w14:paraId="4E0C054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供电变电</w:t>
                  </w:r>
                  <w:r>
                    <w:rPr>
                      <w:rFonts w:hint="eastAsia" w:ascii="宋体" w:hAnsi="宋体" w:cs="宋体"/>
                      <w:b/>
                      <w:i w:val="0"/>
                      <w:color w:val="000000"/>
                      <w:kern w:val="0"/>
                      <w:sz w:val="22"/>
                      <w:szCs w:val="22"/>
                      <w:u w:val="none"/>
                      <w:lang w:val="en-US" w:eastAsia="zh-CN" w:bidi="ar"/>
                    </w:rPr>
                    <w:t>站</w:t>
                  </w:r>
                </w:p>
              </w:tc>
              <w:tc>
                <w:tcPr>
                  <w:tcW w:w="1629" w:type="dxa"/>
                  <w:tcBorders>
                    <w:top w:val="single" w:color="000000" w:sz="4" w:space="0"/>
                    <w:left w:val="single" w:color="000000" w:sz="4" w:space="0"/>
                    <w:bottom w:val="single" w:color="000000" w:sz="4" w:space="0"/>
                    <w:right w:val="single" w:color="000000" w:sz="4" w:space="0"/>
                  </w:tcBorders>
                  <w:noWrap w:val="0"/>
                  <w:vAlign w:val="center"/>
                </w:tcPr>
                <w:p w14:paraId="04B29F6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一季度该变电</w:t>
                  </w:r>
                  <w:r>
                    <w:rPr>
                      <w:rFonts w:hint="eastAsia" w:ascii="宋体" w:hAnsi="宋体" w:cs="宋体"/>
                      <w:b/>
                      <w:i w:val="0"/>
                      <w:color w:val="000000"/>
                      <w:kern w:val="0"/>
                      <w:sz w:val="22"/>
                      <w:szCs w:val="22"/>
                      <w:u w:val="none"/>
                      <w:lang w:val="en-US" w:eastAsia="zh-CN" w:bidi="ar"/>
                    </w:rPr>
                    <w:t>站</w:t>
                  </w:r>
                  <w:r>
                    <w:rPr>
                      <w:rFonts w:hint="eastAsia" w:ascii="宋体" w:hAnsi="宋体" w:eastAsia="宋体" w:cs="宋体"/>
                      <w:b/>
                      <w:i w:val="0"/>
                      <w:color w:val="000000"/>
                      <w:kern w:val="0"/>
                      <w:sz w:val="22"/>
                      <w:szCs w:val="22"/>
                      <w:u w:val="none"/>
                      <w:lang w:val="en-US" w:eastAsia="zh-CN" w:bidi="ar"/>
                    </w:rPr>
                    <w:t>可开放容量</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62EE73E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乡镇</w:t>
                  </w:r>
                  <w:r>
                    <w:rPr>
                      <w:rFonts w:hint="eastAsia" w:ascii="宋体" w:hAnsi="宋体" w:eastAsia="宋体" w:cs="宋体"/>
                      <w:b/>
                      <w:i w:val="0"/>
                      <w:color w:val="000000"/>
                      <w:kern w:val="0"/>
                      <w:sz w:val="22"/>
                      <w:szCs w:val="22"/>
                      <w:u w:val="none"/>
                      <w:lang w:val="en-US" w:eastAsia="zh-CN" w:bidi="ar"/>
                    </w:rPr>
                    <w:br w:type="textWrapping"/>
                  </w:r>
                  <w:r>
                    <w:rPr>
                      <w:rFonts w:hint="eastAsia" w:ascii="宋体" w:hAnsi="宋体" w:eastAsia="宋体" w:cs="宋体"/>
                      <w:b/>
                      <w:i w:val="0"/>
                      <w:color w:val="000000"/>
                      <w:kern w:val="0"/>
                      <w:sz w:val="22"/>
                      <w:szCs w:val="22"/>
                      <w:u w:val="none"/>
                      <w:lang w:val="en-US" w:eastAsia="zh-CN" w:bidi="ar"/>
                    </w:rPr>
                    <w:t>可开放容量</w:t>
                  </w:r>
                </w:p>
              </w:tc>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05EB15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该县域</w:t>
                  </w:r>
                  <w:r>
                    <w:rPr>
                      <w:rFonts w:hint="eastAsia" w:ascii="宋体" w:hAnsi="宋体" w:cs="宋体"/>
                      <w:b/>
                      <w:i w:val="0"/>
                      <w:color w:val="000000"/>
                      <w:kern w:val="0"/>
                      <w:sz w:val="22"/>
                      <w:szCs w:val="22"/>
                      <w:u w:val="none"/>
                      <w:lang w:val="en-US" w:eastAsia="zh-CN" w:bidi="ar"/>
                    </w:rPr>
                    <w:t>合计</w:t>
                  </w:r>
                  <w:r>
                    <w:rPr>
                      <w:rFonts w:hint="eastAsia" w:ascii="宋体" w:hAnsi="宋体" w:eastAsia="宋体" w:cs="宋体"/>
                      <w:b/>
                      <w:i w:val="0"/>
                      <w:color w:val="000000"/>
                      <w:kern w:val="0"/>
                      <w:sz w:val="22"/>
                      <w:szCs w:val="22"/>
                      <w:u w:val="none"/>
                      <w:lang w:val="en-US" w:eastAsia="zh-CN" w:bidi="ar"/>
                    </w:rPr>
                    <w:t>可开放容量</w:t>
                  </w:r>
                </w:p>
              </w:tc>
            </w:tr>
            <w:tr w14:paraId="1E5A3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04A693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40F7B7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隆尧镇</w:t>
                  </w:r>
                </w:p>
              </w:tc>
              <w:tc>
                <w:tcPr>
                  <w:tcW w:w="2036" w:type="dxa"/>
                  <w:vMerge w:val="restart"/>
                  <w:tcBorders>
                    <w:top w:val="single" w:color="000000" w:sz="4" w:space="0"/>
                    <w:left w:val="single" w:color="000000" w:sz="4" w:space="0"/>
                    <w:right w:val="single" w:color="000000" w:sz="4" w:space="0"/>
                  </w:tcBorders>
                  <w:noWrap w:val="0"/>
                  <w:vAlign w:val="center"/>
                </w:tcPr>
                <w:p w14:paraId="3C8D85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柏乡220千伏变电站</w:t>
                  </w:r>
                </w:p>
              </w:tc>
              <w:tc>
                <w:tcPr>
                  <w:tcW w:w="16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242FA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9.50 </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39B5DB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283" w:type="dxa"/>
                  <w:vMerge w:val="restart"/>
                  <w:tcBorders>
                    <w:top w:val="single" w:color="000000" w:sz="4" w:space="0"/>
                    <w:left w:val="single" w:color="000000" w:sz="4" w:space="0"/>
                    <w:bottom w:val="single" w:color="000000" w:sz="4" w:space="0"/>
                    <w:right w:val="single" w:color="000000" w:sz="4" w:space="0"/>
                  </w:tcBorders>
                  <w:noWrap w:val="0"/>
                  <w:vAlign w:val="center"/>
                </w:tcPr>
                <w:p w14:paraId="358F6A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21.78</w:t>
                  </w:r>
                </w:p>
              </w:tc>
            </w:tr>
            <w:tr w14:paraId="4FE4F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471FBD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2251E31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山口镇</w:t>
                  </w:r>
                </w:p>
              </w:tc>
              <w:tc>
                <w:tcPr>
                  <w:tcW w:w="2036" w:type="dxa"/>
                  <w:vMerge w:val="continue"/>
                  <w:tcBorders>
                    <w:left w:val="single" w:color="000000" w:sz="4" w:space="0"/>
                    <w:bottom w:val="single" w:color="000000" w:sz="4" w:space="0"/>
                    <w:right w:val="single" w:color="000000" w:sz="4" w:space="0"/>
                  </w:tcBorders>
                  <w:noWrap w:val="0"/>
                  <w:vAlign w:val="center"/>
                </w:tcPr>
                <w:p w14:paraId="1DE3353E">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6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AE143">
                  <w:pPr>
                    <w:jc w:val="center"/>
                    <w:rPr>
                      <w:rFonts w:hint="eastAsia" w:ascii="宋体" w:hAnsi="宋体" w:eastAsia="宋体" w:cs="宋体"/>
                      <w:i w:val="0"/>
                      <w:color w:val="000000"/>
                      <w:sz w:val="22"/>
                      <w:szCs w:val="22"/>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042041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1FB0CA">
                  <w:pPr>
                    <w:jc w:val="center"/>
                    <w:rPr>
                      <w:rFonts w:hint="eastAsia" w:ascii="宋体" w:hAnsi="宋体" w:eastAsia="宋体" w:cs="宋体"/>
                      <w:i w:val="0"/>
                      <w:color w:val="000000"/>
                      <w:sz w:val="22"/>
                      <w:szCs w:val="22"/>
                      <w:u w:val="none"/>
                    </w:rPr>
                  </w:pPr>
                </w:p>
              </w:tc>
            </w:tr>
            <w:tr w14:paraId="7D2CC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0AEF35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5A8F5A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北楼乡</w:t>
                  </w:r>
                </w:p>
              </w:tc>
              <w:tc>
                <w:tcPr>
                  <w:tcW w:w="2036" w:type="dxa"/>
                  <w:vMerge w:val="restart"/>
                  <w:tcBorders>
                    <w:top w:val="single" w:color="000000" w:sz="4" w:space="0"/>
                    <w:left w:val="single" w:color="000000" w:sz="4" w:space="0"/>
                    <w:right w:val="single" w:color="000000" w:sz="4" w:space="0"/>
                  </w:tcBorders>
                  <w:noWrap w:val="0"/>
                  <w:vAlign w:val="center"/>
                </w:tcPr>
                <w:p w14:paraId="2EE785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北张220千伏变电站</w:t>
                  </w:r>
                </w:p>
              </w:tc>
              <w:tc>
                <w:tcPr>
                  <w:tcW w:w="1629" w:type="dxa"/>
                  <w:vMerge w:val="restart"/>
                  <w:tcBorders>
                    <w:top w:val="single" w:color="000000" w:sz="4" w:space="0"/>
                    <w:left w:val="single" w:color="000000" w:sz="4" w:space="0"/>
                    <w:bottom w:val="single" w:color="000000" w:sz="4" w:space="0"/>
                    <w:right w:val="single" w:color="000000" w:sz="4" w:space="0"/>
                  </w:tcBorders>
                  <w:noWrap w:val="0"/>
                  <w:vAlign w:val="center"/>
                </w:tcPr>
                <w:p w14:paraId="0BD722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5.92 </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139FAC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1.98</w:t>
                  </w: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66FF62">
                  <w:pPr>
                    <w:jc w:val="center"/>
                    <w:rPr>
                      <w:rFonts w:hint="eastAsia" w:ascii="宋体" w:hAnsi="宋体" w:eastAsia="宋体" w:cs="宋体"/>
                      <w:i w:val="0"/>
                      <w:color w:val="000000"/>
                      <w:sz w:val="22"/>
                      <w:szCs w:val="22"/>
                      <w:u w:val="none"/>
                    </w:rPr>
                  </w:pPr>
                </w:p>
              </w:tc>
            </w:tr>
            <w:tr w14:paraId="5577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17D0B3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07AC0C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隆尧镇</w:t>
                  </w:r>
                </w:p>
              </w:tc>
              <w:tc>
                <w:tcPr>
                  <w:tcW w:w="2036" w:type="dxa"/>
                  <w:vMerge w:val="continue"/>
                  <w:tcBorders>
                    <w:left w:val="single" w:color="000000" w:sz="4" w:space="0"/>
                    <w:right w:val="single" w:color="000000" w:sz="4" w:space="0"/>
                  </w:tcBorders>
                  <w:noWrap w:val="0"/>
                  <w:vAlign w:val="center"/>
                </w:tcPr>
                <w:p w14:paraId="1041633B">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6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D42390">
                  <w:pPr>
                    <w:jc w:val="center"/>
                    <w:rPr>
                      <w:rFonts w:hint="eastAsia" w:ascii="宋体" w:hAnsi="宋体" w:eastAsia="宋体" w:cs="宋体"/>
                      <w:i w:val="0"/>
                      <w:color w:val="000000"/>
                      <w:sz w:val="22"/>
                      <w:szCs w:val="22"/>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7C7E3C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1.97</w:t>
                  </w: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DC23C5">
                  <w:pPr>
                    <w:jc w:val="center"/>
                    <w:rPr>
                      <w:rFonts w:hint="eastAsia" w:ascii="宋体" w:hAnsi="宋体" w:eastAsia="宋体" w:cs="宋体"/>
                      <w:i w:val="0"/>
                      <w:color w:val="000000"/>
                      <w:sz w:val="22"/>
                      <w:szCs w:val="22"/>
                      <w:u w:val="none"/>
                    </w:rPr>
                  </w:pPr>
                </w:p>
              </w:tc>
            </w:tr>
            <w:tr w14:paraId="62D3F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4C9C87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54F20E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魏家庄镇</w:t>
                  </w:r>
                </w:p>
              </w:tc>
              <w:tc>
                <w:tcPr>
                  <w:tcW w:w="2036" w:type="dxa"/>
                  <w:vMerge w:val="continue"/>
                  <w:tcBorders>
                    <w:left w:val="single" w:color="000000" w:sz="4" w:space="0"/>
                    <w:bottom w:val="single" w:color="000000" w:sz="4" w:space="0"/>
                    <w:right w:val="single" w:color="000000" w:sz="4" w:space="0"/>
                  </w:tcBorders>
                  <w:noWrap w:val="0"/>
                  <w:vAlign w:val="center"/>
                </w:tcPr>
                <w:p w14:paraId="093AEEFC">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6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881DA">
                  <w:pPr>
                    <w:jc w:val="center"/>
                    <w:rPr>
                      <w:rFonts w:hint="eastAsia" w:ascii="宋体" w:hAnsi="宋体" w:eastAsia="宋体" w:cs="宋体"/>
                      <w:i w:val="0"/>
                      <w:color w:val="000000"/>
                      <w:sz w:val="22"/>
                      <w:szCs w:val="22"/>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58E49A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1.97</w:t>
                  </w: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BABA1E">
                  <w:pPr>
                    <w:jc w:val="center"/>
                    <w:rPr>
                      <w:rFonts w:hint="eastAsia" w:ascii="宋体" w:hAnsi="宋体" w:eastAsia="宋体" w:cs="宋体"/>
                      <w:i w:val="0"/>
                      <w:color w:val="000000"/>
                      <w:sz w:val="22"/>
                      <w:szCs w:val="22"/>
                      <w:u w:val="none"/>
                    </w:rPr>
                  </w:pPr>
                </w:p>
              </w:tc>
            </w:tr>
            <w:tr w14:paraId="36B8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05F139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2D23BA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北楼乡</w:t>
                  </w:r>
                </w:p>
              </w:tc>
              <w:tc>
                <w:tcPr>
                  <w:tcW w:w="2036" w:type="dxa"/>
                  <w:vMerge w:val="restart"/>
                  <w:tcBorders>
                    <w:top w:val="single" w:color="000000" w:sz="4" w:space="0"/>
                    <w:left w:val="single" w:color="000000" w:sz="4" w:space="0"/>
                    <w:right w:val="single" w:color="000000" w:sz="4" w:space="0"/>
                  </w:tcBorders>
                  <w:noWrap w:val="0"/>
                  <w:vAlign w:val="center"/>
                </w:tcPr>
                <w:p w14:paraId="3F95A2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尧山220千伏变电站</w:t>
                  </w:r>
                </w:p>
              </w:tc>
              <w:tc>
                <w:tcPr>
                  <w:tcW w:w="1629" w:type="dxa"/>
                  <w:vMerge w:val="restart"/>
                  <w:tcBorders>
                    <w:top w:val="single" w:color="000000" w:sz="4" w:space="0"/>
                    <w:left w:val="single" w:color="000000" w:sz="4" w:space="0"/>
                    <w:bottom w:val="single" w:color="000000" w:sz="4" w:space="0"/>
                    <w:right w:val="single" w:color="000000" w:sz="4" w:space="0"/>
                  </w:tcBorders>
                  <w:noWrap w:val="0"/>
                  <w:vAlign w:val="center"/>
                </w:tcPr>
                <w:p w14:paraId="63BB43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6.36</w:t>
                  </w: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18CD1E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w:t>
                  </w: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8DA528">
                  <w:pPr>
                    <w:jc w:val="center"/>
                    <w:rPr>
                      <w:rFonts w:hint="eastAsia" w:ascii="宋体" w:hAnsi="宋体" w:eastAsia="宋体" w:cs="宋体"/>
                      <w:i w:val="0"/>
                      <w:color w:val="000000"/>
                      <w:sz w:val="22"/>
                      <w:szCs w:val="22"/>
                      <w:u w:val="none"/>
                    </w:rPr>
                  </w:pPr>
                </w:p>
              </w:tc>
            </w:tr>
            <w:tr w14:paraId="393AB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341843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75D061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魏家庄镇</w:t>
                  </w:r>
                </w:p>
              </w:tc>
              <w:tc>
                <w:tcPr>
                  <w:tcW w:w="2036" w:type="dxa"/>
                  <w:vMerge w:val="continue"/>
                  <w:tcBorders>
                    <w:left w:val="single" w:color="000000" w:sz="4" w:space="0"/>
                    <w:right w:val="single" w:color="000000" w:sz="4" w:space="0"/>
                  </w:tcBorders>
                  <w:noWrap w:val="0"/>
                  <w:vAlign w:val="center"/>
                </w:tcPr>
                <w:p w14:paraId="5493179D">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6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436790">
                  <w:pPr>
                    <w:jc w:val="center"/>
                    <w:rPr>
                      <w:rFonts w:hint="eastAsia" w:ascii="宋体" w:hAnsi="宋体" w:eastAsia="宋体" w:cs="宋体"/>
                      <w:i w:val="0"/>
                      <w:color w:val="000000"/>
                      <w:sz w:val="22"/>
                      <w:szCs w:val="22"/>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0E4D0D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w:t>
                  </w: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57224">
                  <w:pPr>
                    <w:jc w:val="center"/>
                    <w:rPr>
                      <w:rFonts w:hint="eastAsia" w:ascii="宋体" w:hAnsi="宋体" w:eastAsia="宋体" w:cs="宋体"/>
                      <w:i w:val="0"/>
                      <w:color w:val="000000"/>
                      <w:sz w:val="22"/>
                      <w:szCs w:val="22"/>
                      <w:u w:val="none"/>
                    </w:rPr>
                  </w:pPr>
                </w:p>
              </w:tc>
            </w:tr>
            <w:tr w14:paraId="3E7E6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789" w:type="dxa"/>
                  <w:tcBorders>
                    <w:top w:val="single" w:color="000000" w:sz="4" w:space="0"/>
                    <w:left w:val="single" w:color="000000" w:sz="4" w:space="0"/>
                    <w:bottom w:val="single" w:color="000000" w:sz="4" w:space="0"/>
                    <w:right w:val="single" w:color="000000" w:sz="4" w:space="0"/>
                  </w:tcBorders>
                  <w:noWrap w:val="0"/>
                  <w:vAlign w:val="center"/>
                </w:tcPr>
                <w:p w14:paraId="2174D2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隆尧县</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4E28B1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隆尧镇</w:t>
                  </w:r>
                </w:p>
              </w:tc>
              <w:tc>
                <w:tcPr>
                  <w:tcW w:w="2036" w:type="dxa"/>
                  <w:vMerge w:val="continue"/>
                  <w:tcBorders>
                    <w:left w:val="single" w:color="000000" w:sz="4" w:space="0"/>
                    <w:bottom w:val="single" w:color="000000" w:sz="4" w:space="0"/>
                    <w:right w:val="single" w:color="000000" w:sz="4" w:space="0"/>
                  </w:tcBorders>
                  <w:noWrap w:val="0"/>
                  <w:vAlign w:val="center"/>
                </w:tcPr>
                <w:p w14:paraId="4EA81AF7">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6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35E17">
                  <w:pPr>
                    <w:jc w:val="center"/>
                    <w:rPr>
                      <w:rFonts w:hint="eastAsia" w:ascii="宋体" w:hAnsi="宋体" w:eastAsia="宋体" w:cs="宋体"/>
                      <w:i w:val="0"/>
                      <w:color w:val="000000"/>
                      <w:sz w:val="22"/>
                      <w:szCs w:val="22"/>
                      <w:u w:val="none"/>
                    </w:rPr>
                  </w:pPr>
                </w:p>
              </w:tc>
              <w:tc>
                <w:tcPr>
                  <w:tcW w:w="1547" w:type="dxa"/>
                  <w:tcBorders>
                    <w:top w:val="single" w:color="000000" w:sz="4" w:space="0"/>
                    <w:left w:val="single" w:color="000000" w:sz="4" w:space="0"/>
                    <w:bottom w:val="single" w:color="000000" w:sz="4" w:space="0"/>
                    <w:right w:val="single" w:color="000000" w:sz="4" w:space="0"/>
                  </w:tcBorders>
                  <w:noWrap w:val="0"/>
                  <w:vAlign w:val="center"/>
                </w:tcPr>
                <w:p w14:paraId="02E6C7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w:t>
                  </w:r>
                </w:p>
              </w:tc>
              <w:tc>
                <w:tcPr>
                  <w:tcW w:w="12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CFA186">
                  <w:pPr>
                    <w:jc w:val="center"/>
                    <w:rPr>
                      <w:rFonts w:hint="eastAsia" w:ascii="宋体" w:hAnsi="宋体" w:eastAsia="宋体" w:cs="宋体"/>
                      <w:i w:val="0"/>
                      <w:color w:val="000000"/>
                      <w:sz w:val="22"/>
                      <w:szCs w:val="22"/>
                      <w:u w:val="none"/>
                    </w:rPr>
                  </w:pPr>
                </w:p>
              </w:tc>
            </w:tr>
          </w:tbl>
          <w:p w14:paraId="2F319385">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隆尧县分布式光伏220千伏变电站可开放容量一览表</w:t>
            </w:r>
          </w:p>
        </w:tc>
      </w:tr>
    </w:tbl>
    <w:p w14:paraId="65C13A0F">
      <w:pPr>
        <w:keepNext w:val="0"/>
        <w:keepLines w:val="0"/>
        <w:pageBreakBefore w:val="0"/>
        <w:widowControl w:val="0"/>
        <w:kinsoku/>
        <w:wordWrap/>
        <w:overflowPunct/>
        <w:topLinePunct w:val="0"/>
        <w:autoSpaceDE/>
        <w:autoSpaceDN/>
        <w:bidi w:val="0"/>
        <w:adjustRightInd/>
        <w:snapToGrid/>
        <w:spacing w:line="540" w:lineRule="exact"/>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备注：</w:t>
      </w:r>
    </w:p>
    <w:p w14:paraId="2A7D3ADB">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zh-CN" w:eastAsia="zh-CN"/>
        </w:rPr>
      </w:pPr>
      <w:r>
        <w:rPr>
          <w:rFonts w:hint="eastAsia" w:ascii="方正仿宋_GBK" w:hAnsi="方正仿宋_GBK" w:eastAsia="方正仿宋_GBK" w:cs="方正仿宋_GBK"/>
          <w:bCs/>
          <w:spacing w:val="-6"/>
          <w:sz w:val="32"/>
          <w:szCs w:val="32"/>
          <w:lang w:val="zh-CN" w:eastAsia="zh-CN"/>
        </w:rPr>
        <w:t>1.公示的分布式光伏可开放容量，是指评估时刻（本季度为2025年1月1日），该区域电网除去已并网的分布式电源（含已报装但尚未并网的在途分布式电源）外，还能继续开发并网的分布式光伏容量规模。</w:t>
      </w:r>
    </w:p>
    <w:p w14:paraId="5B4A738D">
      <w:pPr>
        <w:keepNext w:val="0"/>
        <w:keepLines w:val="0"/>
        <w:pageBreakBefore w:val="0"/>
        <w:widowControl w:val="0"/>
        <w:kinsoku/>
        <w:wordWrap/>
        <w:overflowPunct/>
        <w:topLinePunct w:val="0"/>
        <w:autoSpaceDE/>
        <w:autoSpaceDN/>
        <w:bidi w:val="0"/>
        <w:adjustRightInd/>
        <w:snapToGrid/>
        <w:spacing w:line="540" w:lineRule="exact"/>
        <w:ind w:left="0" w:leftChars="0" w:firstLine="616" w:firstLineChars="200"/>
        <w:jc w:val="left"/>
        <w:textAlignment w:val="auto"/>
        <w:outlineLvl w:val="9"/>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zh-CN" w:eastAsia="zh-CN"/>
        </w:rPr>
        <w:t>2.各配变可开放容量至所在辖区供电所或营业厅查询。</w:t>
      </w:r>
    </w:p>
    <w:p w14:paraId="51851B1E">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p>
    <w:p w14:paraId="3472DC20">
      <w:pPr>
        <w:keepNext w:val="0"/>
        <w:keepLines w:val="0"/>
        <w:pageBreakBefore w:val="0"/>
        <w:widowControl w:val="0"/>
        <w:kinsoku/>
        <w:wordWrap/>
        <w:overflowPunct/>
        <w:topLinePunct w:val="0"/>
        <w:autoSpaceDE/>
        <w:autoSpaceDN/>
        <w:bidi w:val="0"/>
        <w:adjustRightInd/>
        <w:snapToGrid/>
        <w:spacing w:line="560" w:lineRule="exact"/>
        <w:ind w:left="0" w:leftChars="0" w:firstLine="4312" w:firstLineChars="1400"/>
        <w:jc w:val="left"/>
        <w:textAlignment w:val="auto"/>
        <w:rPr>
          <w:rFonts w:hint="eastAsia" w:ascii="方正仿宋_GBK" w:hAnsi="方正仿宋_GBK" w:eastAsia="方正仿宋_GBK" w:cs="方正仿宋_GBK"/>
          <w:bCs/>
          <w:spacing w:val="-6"/>
          <w:sz w:val="32"/>
          <w:szCs w:val="32"/>
          <w:lang w:val="en-US" w:eastAsia="zh-CN"/>
        </w:rPr>
      </w:pPr>
      <w:r>
        <w:rPr>
          <w:rFonts w:hint="eastAsia" w:ascii="方正仿宋_GBK" w:hAnsi="方正仿宋_GBK" w:eastAsia="方正仿宋_GBK" w:cs="方正仿宋_GBK"/>
          <w:bCs/>
          <w:spacing w:val="-6"/>
          <w:sz w:val="32"/>
          <w:szCs w:val="32"/>
          <w:lang w:val="en-US" w:eastAsia="zh-CN"/>
        </w:rPr>
        <w:t>国网隆尧县供电公司</w:t>
      </w:r>
    </w:p>
    <w:p w14:paraId="7A9EADEA">
      <w:pPr>
        <w:ind w:firstLine="2940" w:firstLineChars="14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824C8"/>
    <w:rsid w:val="012103E8"/>
    <w:rsid w:val="0329135B"/>
    <w:rsid w:val="03AE5C85"/>
    <w:rsid w:val="03C36FA8"/>
    <w:rsid w:val="046C5548"/>
    <w:rsid w:val="048331E5"/>
    <w:rsid w:val="04A80A08"/>
    <w:rsid w:val="05D10AB7"/>
    <w:rsid w:val="05DD3E95"/>
    <w:rsid w:val="062F5934"/>
    <w:rsid w:val="083A618D"/>
    <w:rsid w:val="08605F8A"/>
    <w:rsid w:val="09C2350D"/>
    <w:rsid w:val="0A7960B1"/>
    <w:rsid w:val="0B173142"/>
    <w:rsid w:val="0BC00D82"/>
    <w:rsid w:val="0C524218"/>
    <w:rsid w:val="0C7E3C9B"/>
    <w:rsid w:val="0D412961"/>
    <w:rsid w:val="0DE44A0C"/>
    <w:rsid w:val="0DEB1CCA"/>
    <w:rsid w:val="0E5B7070"/>
    <w:rsid w:val="0E746EEA"/>
    <w:rsid w:val="0EC348CE"/>
    <w:rsid w:val="0F585F90"/>
    <w:rsid w:val="0F7C7EFC"/>
    <w:rsid w:val="0FC25ACF"/>
    <w:rsid w:val="103A3D6B"/>
    <w:rsid w:val="10DF5D73"/>
    <w:rsid w:val="10FC3CEC"/>
    <w:rsid w:val="11586564"/>
    <w:rsid w:val="11954B40"/>
    <w:rsid w:val="12291A4D"/>
    <w:rsid w:val="12413A02"/>
    <w:rsid w:val="12493B99"/>
    <w:rsid w:val="12D93553"/>
    <w:rsid w:val="13AC5B9F"/>
    <w:rsid w:val="13E61333"/>
    <w:rsid w:val="15817460"/>
    <w:rsid w:val="176F618F"/>
    <w:rsid w:val="187349D4"/>
    <w:rsid w:val="1B111640"/>
    <w:rsid w:val="1C1D12D6"/>
    <w:rsid w:val="1CF71928"/>
    <w:rsid w:val="1D606AF6"/>
    <w:rsid w:val="1DE9352B"/>
    <w:rsid w:val="1FCE7DDD"/>
    <w:rsid w:val="211F29BE"/>
    <w:rsid w:val="22034AFE"/>
    <w:rsid w:val="225D2224"/>
    <w:rsid w:val="22FD1704"/>
    <w:rsid w:val="23292355"/>
    <w:rsid w:val="23E25F05"/>
    <w:rsid w:val="24696BA8"/>
    <w:rsid w:val="24E97050"/>
    <w:rsid w:val="264D35AA"/>
    <w:rsid w:val="26C31FAC"/>
    <w:rsid w:val="27C64410"/>
    <w:rsid w:val="27D54DB9"/>
    <w:rsid w:val="28050601"/>
    <w:rsid w:val="28664FC0"/>
    <w:rsid w:val="29940E8C"/>
    <w:rsid w:val="2A030B52"/>
    <w:rsid w:val="2A4A0890"/>
    <w:rsid w:val="2A4F56D1"/>
    <w:rsid w:val="2A7E0A8A"/>
    <w:rsid w:val="2ACA3361"/>
    <w:rsid w:val="2B93064B"/>
    <w:rsid w:val="2C660547"/>
    <w:rsid w:val="2C8864C2"/>
    <w:rsid w:val="2D021756"/>
    <w:rsid w:val="2E74471C"/>
    <w:rsid w:val="2E991590"/>
    <w:rsid w:val="2EE36012"/>
    <w:rsid w:val="2F1A5F06"/>
    <w:rsid w:val="311B5020"/>
    <w:rsid w:val="322F79A2"/>
    <w:rsid w:val="325434EB"/>
    <w:rsid w:val="325662A3"/>
    <w:rsid w:val="337E1BA8"/>
    <w:rsid w:val="34211065"/>
    <w:rsid w:val="34287878"/>
    <w:rsid w:val="348C2709"/>
    <w:rsid w:val="3538508A"/>
    <w:rsid w:val="35F217AA"/>
    <w:rsid w:val="36A21CEC"/>
    <w:rsid w:val="36E74215"/>
    <w:rsid w:val="376E43F8"/>
    <w:rsid w:val="3783090C"/>
    <w:rsid w:val="37A1503C"/>
    <w:rsid w:val="38112E6C"/>
    <w:rsid w:val="387D5766"/>
    <w:rsid w:val="3C480D77"/>
    <w:rsid w:val="3CA93B6B"/>
    <w:rsid w:val="3DFF3002"/>
    <w:rsid w:val="3E38561B"/>
    <w:rsid w:val="3F100F23"/>
    <w:rsid w:val="3F7F2668"/>
    <w:rsid w:val="3FA87C4D"/>
    <w:rsid w:val="3FD709B1"/>
    <w:rsid w:val="402F0BE0"/>
    <w:rsid w:val="40A603CA"/>
    <w:rsid w:val="40F85396"/>
    <w:rsid w:val="411A5044"/>
    <w:rsid w:val="412B1CE5"/>
    <w:rsid w:val="4249548F"/>
    <w:rsid w:val="43E94592"/>
    <w:rsid w:val="44253A78"/>
    <w:rsid w:val="458E33A4"/>
    <w:rsid w:val="45B12AD8"/>
    <w:rsid w:val="45B474CB"/>
    <w:rsid w:val="46465567"/>
    <w:rsid w:val="46524306"/>
    <w:rsid w:val="4736543B"/>
    <w:rsid w:val="479308BB"/>
    <w:rsid w:val="4835030E"/>
    <w:rsid w:val="487E2198"/>
    <w:rsid w:val="49314241"/>
    <w:rsid w:val="494E0EEE"/>
    <w:rsid w:val="495110D6"/>
    <w:rsid w:val="49F97A9E"/>
    <w:rsid w:val="4A4C0DC6"/>
    <w:rsid w:val="4BB84611"/>
    <w:rsid w:val="4BBB425C"/>
    <w:rsid w:val="4BE9269F"/>
    <w:rsid w:val="4C1240CB"/>
    <w:rsid w:val="4D305F70"/>
    <w:rsid w:val="4D6249F2"/>
    <w:rsid w:val="4D676A3C"/>
    <w:rsid w:val="4DD014C4"/>
    <w:rsid w:val="4E1A283D"/>
    <w:rsid w:val="4E365EDA"/>
    <w:rsid w:val="4EB71FC4"/>
    <w:rsid w:val="4EF40F72"/>
    <w:rsid w:val="4F20674D"/>
    <w:rsid w:val="50421A18"/>
    <w:rsid w:val="5057162D"/>
    <w:rsid w:val="505939F9"/>
    <w:rsid w:val="50801538"/>
    <w:rsid w:val="511A29F4"/>
    <w:rsid w:val="51486233"/>
    <w:rsid w:val="514D7E76"/>
    <w:rsid w:val="519F3DDF"/>
    <w:rsid w:val="52484A38"/>
    <w:rsid w:val="52826F47"/>
    <w:rsid w:val="52D61395"/>
    <w:rsid w:val="53A255EB"/>
    <w:rsid w:val="556B77C3"/>
    <w:rsid w:val="55E773FA"/>
    <w:rsid w:val="56046BBD"/>
    <w:rsid w:val="562E602A"/>
    <w:rsid w:val="574267B5"/>
    <w:rsid w:val="58FC7A01"/>
    <w:rsid w:val="59CC32A5"/>
    <w:rsid w:val="5A2C795B"/>
    <w:rsid w:val="5A836E5B"/>
    <w:rsid w:val="5B5C58EA"/>
    <w:rsid w:val="5BD10C67"/>
    <w:rsid w:val="5CFB0D8F"/>
    <w:rsid w:val="5D22618B"/>
    <w:rsid w:val="5F355A3D"/>
    <w:rsid w:val="6027478F"/>
    <w:rsid w:val="60CE5FB2"/>
    <w:rsid w:val="60E4377B"/>
    <w:rsid w:val="60FE1EDF"/>
    <w:rsid w:val="611E3835"/>
    <w:rsid w:val="61355962"/>
    <w:rsid w:val="616A242C"/>
    <w:rsid w:val="61FB2AC6"/>
    <w:rsid w:val="62477C0D"/>
    <w:rsid w:val="62606D1B"/>
    <w:rsid w:val="62F06A30"/>
    <w:rsid w:val="639D02B9"/>
    <w:rsid w:val="64AD2ED1"/>
    <w:rsid w:val="64FE7025"/>
    <w:rsid w:val="65254812"/>
    <w:rsid w:val="673539FB"/>
    <w:rsid w:val="67AD6291"/>
    <w:rsid w:val="6A3E2239"/>
    <w:rsid w:val="6A967843"/>
    <w:rsid w:val="6AFF06C2"/>
    <w:rsid w:val="6B6A05F8"/>
    <w:rsid w:val="6CF7593A"/>
    <w:rsid w:val="6DAE2423"/>
    <w:rsid w:val="6DE56C9C"/>
    <w:rsid w:val="6E882E8C"/>
    <w:rsid w:val="6FCE7D0B"/>
    <w:rsid w:val="71A03665"/>
    <w:rsid w:val="720707C9"/>
    <w:rsid w:val="724B1585"/>
    <w:rsid w:val="726E356E"/>
    <w:rsid w:val="73A24B27"/>
    <w:rsid w:val="73FD235A"/>
    <w:rsid w:val="74E31515"/>
    <w:rsid w:val="75BB67CA"/>
    <w:rsid w:val="75EF1F0A"/>
    <w:rsid w:val="767B78AC"/>
    <w:rsid w:val="773E141D"/>
    <w:rsid w:val="7773464A"/>
    <w:rsid w:val="791F2967"/>
    <w:rsid w:val="79A75625"/>
    <w:rsid w:val="79F97C26"/>
    <w:rsid w:val="79FE5FC8"/>
    <w:rsid w:val="7AA54865"/>
    <w:rsid w:val="7B8778FC"/>
    <w:rsid w:val="7DED76AC"/>
    <w:rsid w:val="7E1B34AB"/>
    <w:rsid w:val="7E60734D"/>
    <w:rsid w:val="7EDA4C94"/>
    <w:rsid w:val="7FC247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qFormat/>
    <w:uiPriority w:val="0"/>
    <w:rPr>
      <w:color w:val="0000FF"/>
      <w:u w:val="none"/>
    </w:rPr>
  </w:style>
  <w:style w:type="character" w:styleId="5">
    <w:name w:val="Hyperlink"/>
    <w:basedOn w:val="3"/>
    <w:qFormat/>
    <w:uiPriority w:val="0"/>
    <w:rPr>
      <w:color w:val="0000FF"/>
      <w:u w:val="none"/>
    </w:rPr>
  </w:style>
  <w:style w:type="character" w:customStyle="1" w:styleId="6">
    <w:name w:val="jsfw_window_title"/>
    <w:basedOn w:val="3"/>
    <w:uiPriority w:val="0"/>
    <w:rPr>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969</Words>
  <Characters>1109</Characters>
  <Lines>0</Lines>
  <Paragraphs>0</Paragraphs>
  <TotalTime>11</TotalTime>
  <ScaleCrop>false</ScaleCrop>
  <LinksUpToDate>false</LinksUpToDate>
  <CharactersWithSpaces>1111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隆尧县供电公司</dc:creator>
  <cp:lastModifiedBy>曹战强</cp:lastModifiedBy>
  <cp:lastPrinted>2025-01-23T00:45:00Z</cp:lastPrinted>
  <dcterms:modified xsi:type="dcterms:W3CDTF">2026-09-11T03:26:35Z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6A5AD7900FC3458EAC54C2B85B155B99_13</vt:lpwstr>
  </property>
  <property fmtid="{D5CDD505-2E9C-101B-9397-08002B2CF9AE}" pid="4" name="KSOTemplateDocerSaveRecord">
    <vt:lpwstr>eyJoZGlkIjoiNGY3OThjZjJiMmUzMTQ0ZmFiZDg4MTgxMTNiYmY1NzAiLCJ1c2VySWQiOiIzNTg1OTAzMzIifQ==</vt:lpwstr>
  </property>
</Properties>
</file>