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 xml:space="preserve"> 隆尧县发展和改革局</w:t>
      </w:r>
    </w:p>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202</w:t>
      </w:r>
      <w:r>
        <w:rPr>
          <w:rFonts w:hint="eastAsia" w:ascii="方正小标宋_GBK" w:hAnsi="Times New Roman" w:eastAsia="方正小标宋_GBK" w:cs="Times New Roman"/>
          <w:bCs/>
          <w:sz w:val="44"/>
          <w:szCs w:val="44"/>
          <w:lang w:val="en-US" w:eastAsia="zh-CN"/>
        </w:rPr>
        <w:t>1</w:t>
      </w:r>
      <w:r>
        <w:rPr>
          <w:rFonts w:hint="eastAsia" w:ascii="方正小标宋_GBK" w:hAnsi="Times New Roman" w:eastAsia="方正小标宋_GBK" w:cs="Times New Roman"/>
          <w:bCs/>
          <w:sz w:val="44"/>
          <w:szCs w:val="44"/>
        </w:rPr>
        <w:t>年部门预算信息公开情况说明</w:t>
      </w:r>
    </w:p>
    <w:p>
      <w:pPr>
        <w:ind w:firstLine="640"/>
        <w:rPr>
          <w:rFonts w:ascii="Times New Roman" w:hAnsi="Times New Roman" w:eastAsia="仿宋" w:cs="Times New Roman"/>
          <w:sz w:val="32"/>
          <w:szCs w:val="32"/>
        </w:rPr>
      </w:pP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按照《预算法》、《地方预决算公开操作规程》和《河北省省级预算公开办法》规定，现将隆尧县发展和改革局202</w:t>
      </w:r>
      <w:r>
        <w:rPr>
          <w:rFonts w:hint="eastAsia"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rPr>
        <w:t>年部门预算公开如下：</w:t>
      </w:r>
    </w:p>
    <w:p>
      <w:pPr>
        <w:ind w:firstLine="640"/>
        <w:rPr>
          <w:rFonts w:ascii="黑体" w:hAnsi="黑体" w:eastAsia="黑体" w:cs="Times New Roman"/>
          <w:sz w:val="32"/>
          <w:szCs w:val="32"/>
        </w:rPr>
      </w:pPr>
      <w:r>
        <w:rPr>
          <w:rFonts w:hint="eastAsia" w:ascii="黑体" w:hAnsi="黑体" w:eastAsia="黑体" w:cs="Times New Roman"/>
          <w:sz w:val="32"/>
          <w:szCs w:val="32"/>
        </w:rPr>
        <w:t>一、部门职责及机构设置情况</w:t>
      </w:r>
    </w:p>
    <w:p>
      <w:pPr>
        <w:adjustRightInd w:val="0"/>
        <w:spacing w:line="600" w:lineRule="exact"/>
        <w:ind w:firstLine="640"/>
        <w:rPr>
          <w:rFonts w:ascii="仿宋" w:hAnsi="仿宋" w:eastAsia="仿宋"/>
          <w:sz w:val="32"/>
          <w:szCs w:val="32"/>
        </w:rPr>
      </w:pPr>
      <w:r>
        <w:rPr>
          <w:rFonts w:hint="eastAsia" w:ascii="仿宋" w:hAnsi="仿宋" w:eastAsia="仿宋" w:cs="Times New Roman"/>
          <w:b/>
          <w:sz w:val="32"/>
          <w:szCs w:val="32"/>
        </w:rPr>
        <w:t>部门</w:t>
      </w:r>
      <w:r>
        <w:rPr>
          <w:rFonts w:ascii="仿宋" w:hAnsi="仿宋" w:eastAsia="仿宋" w:cs="Times New Roman"/>
          <w:b/>
          <w:sz w:val="32"/>
          <w:szCs w:val="32"/>
        </w:rPr>
        <w:t>职责：</w:t>
      </w:r>
      <w:r>
        <w:rPr>
          <w:rFonts w:hint="eastAsia" w:ascii="仿宋" w:hAnsi="仿宋" w:eastAsia="仿宋"/>
          <w:sz w:val="32"/>
          <w:szCs w:val="32"/>
        </w:rPr>
        <w:t>（一）贯彻执行国家和省、市有关国民经济和社会发展以及粮食流通和县级储备粮管理的方针、政策和法律、法规。拟订并组织实施全县国民经济和社会发展中长期规划和年度计划；统筹协调经济社会发展，提出全县国民经济发展和优化经济结构的目标、政策，提出综合运用各种经济手段和政策的建议；指导全县粮食流通体制改革。</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（二）贯彻落实国家和省、市宏观调控政策，统筹提出全县国民经济和社会发展主要目标，监测经济和社会发展态势，研究分析经济形势，提出政策建议。</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（三）指导推进和综合协调经济体制改革有关工作，研究全县经济体制改革的重大问题，组织拟订综合性经济体制改革方案。</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（四）拟订固定资产投资规模和投资结构的调控目标、政策及措施；安排县重点建设项目，组织申报省、市重点项目；指导和协调全县招标投标工作。</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（五）推进经济结构战略性调整。组织实施综合性产业政策，负责协调全县第一、二、三产业发展的重大问题并衔接平衡相关发展规划和重大政策，做好与国民经济和社会发展规划、计划的衔接平衡。</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（六）提出能源发展战略的建议，协调能源发展和改革中的重大问题，负责能源行业节能和资源综合利用。</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（七）推进可持续发展战略，负责节能综合协调工作；协调发展循环经济、生态建设、能源资源节约和综合利用的重大问题。</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（八）组织实施全县国民经济动员有关工作；承担县国防动员委员会交办的有关具体工作。</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九）组织实施有关价格政策，组织制定由县级管理的重要商品、服务价格和重要收费标准。研究提出全县价格总水平年度调控计划和目标；预测全县价格总水平及结构变化趋势，提出调控意见和建议；对实行政府定价和政府指导价的商品和服务价格进行直接管理。</w:t>
      </w:r>
    </w:p>
    <w:p>
      <w:pPr>
        <w:adjustRightInd w:val="0"/>
        <w:spacing w:line="600" w:lineRule="exact"/>
        <w:ind w:firstLine="640"/>
        <w:rPr>
          <w:rFonts w:ascii="仿宋" w:hAnsi="仿宋" w:eastAsia="仿宋"/>
          <w:color w:val="FF0000"/>
          <w:sz w:val="32"/>
          <w:szCs w:val="32"/>
        </w:rPr>
      </w:pPr>
      <w:r>
        <w:rPr>
          <w:rFonts w:hint="eastAsia" w:ascii="仿宋" w:hAnsi="仿宋" w:eastAsia="仿宋"/>
          <w:sz w:val="32"/>
          <w:szCs w:val="32"/>
        </w:rPr>
        <w:t>（十）组织谋划、实施事关全县经济和社会发展全局的重大建设项目；编制全县重点建设项目年度工作计划并监督执行；调度重点建设项目实施进度，协调解决重大问题。</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十一）制定全县粮食流通产业结构调整和布局调整实施意见。负责全县粮食流通和物资储备的设施建设规划布局。指导全县粮食流通和物资储备体制改革。拟订全县粮食总量和品种平衡计划。负责全县粮食流通宏观调控的具体工作。负责落实粮食最低收购价政策；指导全县粮食市场供应。</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十二）负责县级储备粮的行政管理工作。监督检查县级储备粮的数量、质量和储存安全。管理国家委托代管的中央、省、市级储备粮。研究提出县级粮食和物资储备规划、储备品种目录建议，组织实施县级粮食和救灾物资等物资的收储、轮换和日常管理。贯彻国家和省、市粮食流通和物资储备有关标准、粮食质量标准和有关技术规范并监督执行。按规定审核上报中央储备粮代储企业承储资格。</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（十三）对贯彻落实有关粮食法律法规、政策制度进行监督检查。负责社会粮食流通执法检查，负责粮食收购、储存、运输环节粮食质量安全和原粮卫生的监督管理，组织实施全县粮食库存检查工作。</w:t>
      </w:r>
    </w:p>
    <w:p>
      <w:pPr>
        <w:adjustRightInd w:val="0"/>
        <w:spacing w:line="600" w:lineRule="exact"/>
        <w:ind w:firstLine="640"/>
        <w:rPr>
          <w:rFonts w:ascii="仿宋" w:hAnsi="仿宋" w:eastAsia="仿宋"/>
          <w:sz w:val="32"/>
          <w:szCs w:val="32"/>
        </w:rPr>
      </w:pPr>
      <w:r>
        <w:rPr>
          <w:rFonts w:hint="eastAsia" w:ascii="仿宋" w:hAnsi="仿宋" w:eastAsia="仿宋"/>
          <w:sz w:val="32"/>
          <w:szCs w:val="32"/>
        </w:rPr>
        <w:t>（十四）完成县委、县政府交办的其他任务。</w:t>
      </w:r>
    </w:p>
    <w:p>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机构设置：</w:t>
      </w:r>
    </w:p>
    <w:p>
      <w:pPr>
        <w:jc w:val="center"/>
        <w:outlineLvl w:val="0"/>
        <w:rPr>
          <w:rFonts w:ascii="Times New Roman" w:hAnsi="Times New Roman" w:eastAsia="方正小标宋_GBK" w:cs="Times New Roman"/>
          <w:color w:val="000000" w:themeColor="text1"/>
          <w:sz w:val="32"/>
          <w:szCs w:val="24"/>
          <w14:textFill>
            <w14:solidFill>
              <w14:schemeClr w14:val="tx1"/>
            </w14:solidFill>
          </w14:textFill>
        </w:rPr>
      </w:pPr>
      <w:r>
        <w:rPr>
          <w:rFonts w:ascii="Times New Roman" w:hAnsi="Times New Roman" w:eastAsia="方正小标宋_GBK" w:cs="Times New Roman"/>
          <w:color w:val="000000" w:themeColor="text1"/>
          <w:sz w:val="32"/>
          <w:szCs w:val="24"/>
          <w14:textFill>
            <w14:solidFill>
              <w14:schemeClr w14:val="tx1"/>
            </w14:solidFill>
          </w14:textFill>
        </w:rPr>
        <w:t>部门</w:t>
      </w:r>
      <w:r>
        <w:rPr>
          <w:rFonts w:hint="eastAsia" w:ascii="Times New Roman" w:hAnsi="Times New Roman" w:eastAsia="方正小标宋_GBK" w:cs="Times New Roman"/>
          <w:color w:val="000000" w:themeColor="text1"/>
          <w:sz w:val="32"/>
          <w:szCs w:val="24"/>
          <w14:textFill>
            <w14:solidFill>
              <w14:schemeClr w14:val="tx1"/>
            </w14:solidFill>
          </w14:textFill>
        </w:rPr>
        <w:t>机构设置情况</w:t>
      </w:r>
    </w:p>
    <w:tbl>
      <w:tblPr>
        <w:tblStyle w:val="7"/>
        <w:tblW w:w="97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17"/>
        <w:gridCol w:w="1134"/>
        <w:gridCol w:w="1276"/>
        <w:gridCol w:w="29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restart"/>
            <w:vAlign w:val="center"/>
          </w:tcPr>
          <w:p>
            <w:pPr>
              <w:spacing w:line="300" w:lineRule="exact"/>
              <w:jc w:val="center"/>
              <w:rPr>
                <w:rFonts w:ascii="Times New Roman" w:hAnsi="Times New Roman" w:eastAsia="方正书宋_GBK" w:cs="Times New Roman"/>
                <w:b/>
                <w:color w:val="000000" w:themeColor="text1"/>
                <w:szCs w:val="24"/>
                <w14:textFill>
                  <w14:solidFill>
                    <w14:schemeClr w14:val="tx1"/>
                  </w14:solidFill>
                </w14:textFill>
              </w:rPr>
            </w:pPr>
            <w:r>
              <w:rPr>
                <w:rFonts w:ascii="Times New Roman" w:hAnsi="Times New Roman" w:eastAsia="方正书宋_GBK" w:cs="Times New Roman"/>
                <w:b/>
                <w:color w:val="000000" w:themeColor="text1"/>
                <w:szCs w:val="24"/>
                <w14:textFill>
                  <w14:solidFill>
                    <w14:schemeClr w14:val="tx1"/>
                  </w14:solidFill>
                </w14:textFill>
              </w:rPr>
              <w:t>单位名称</w:t>
            </w:r>
          </w:p>
        </w:tc>
        <w:tc>
          <w:tcPr>
            <w:tcW w:w="1134" w:type="dxa"/>
            <w:vMerge w:val="restart"/>
            <w:vAlign w:val="center"/>
          </w:tcPr>
          <w:p>
            <w:pPr>
              <w:spacing w:line="300" w:lineRule="exact"/>
              <w:jc w:val="center"/>
              <w:rPr>
                <w:rFonts w:ascii="Times New Roman" w:hAnsi="Times New Roman" w:eastAsia="方正书宋_GBK" w:cs="Times New Roman"/>
                <w:b/>
                <w:color w:val="000000" w:themeColor="text1"/>
                <w:szCs w:val="24"/>
                <w14:textFill>
                  <w14:solidFill>
                    <w14:schemeClr w14:val="tx1"/>
                  </w14:solidFill>
                </w14:textFill>
              </w:rPr>
            </w:pPr>
            <w:r>
              <w:rPr>
                <w:rFonts w:ascii="Times New Roman" w:hAnsi="Times New Roman" w:eastAsia="方正书宋_GBK" w:cs="Times New Roman"/>
                <w:b/>
                <w:color w:val="000000" w:themeColor="text1"/>
                <w:szCs w:val="24"/>
                <w14:textFill>
                  <w14:solidFill>
                    <w14:schemeClr w14:val="tx1"/>
                  </w14:solidFill>
                </w14:textFill>
              </w:rPr>
              <w:t>单位性质</w:t>
            </w:r>
          </w:p>
        </w:tc>
        <w:tc>
          <w:tcPr>
            <w:tcW w:w="1276" w:type="dxa"/>
            <w:vMerge w:val="restart"/>
            <w:vAlign w:val="center"/>
          </w:tcPr>
          <w:p>
            <w:pPr>
              <w:spacing w:line="300" w:lineRule="exact"/>
              <w:jc w:val="center"/>
              <w:rPr>
                <w:rFonts w:ascii="Times New Roman" w:hAnsi="Times New Roman" w:eastAsia="方正书宋_GBK" w:cs="Times New Roman"/>
                <w:b/>
                <w:color w:val="000000" w:themeColor="text1"/>
                <w:szCs w:val="24"/>
                <w14:textFill>
                  <w14:solidFill>
                    <w14:schemeClr w14:val="tx1"/>
                  </w14:solidFill>
                </w14:textFill>
              </w:rPr>
            </w:pPr>
            <w:r>
              <w:rPr>
                <w:rFonts w:ascii="Times New Roman" w:hAnsi="Times New Roman" w:eastAsia="方正书宋_GBK" w:cs="Times New Roman"/>
                <w:b/>
                <w:color w:val="000000" w:themeColor="text1"/>
                <w:szCs w:val="24"/>
                <w14:textFill>
                  <w14:solidFill>
                    <w14:schemeClr w14:val="tx1"/>
                  </w14:solidFill>
                </w14:textFill>
              </w:rPr>
              <w:t>单位规格</w:t>
            </w:r>
          </w:p>
        </w:tc>
        <w:tc>
          <w:tcPr>
            <w:tcW w:w="2902" w:type="dxa"/>
            <w:vMerge w:val="restart"/>
            <w:vAlign w:val="center"/>
          </w:tcPr>
          <w:p>
            <w:pPr>
              <w:spacing w:line="300" w:lineRule="exact"/>
              <w:jc w:val="center"/>
              <w:rPr>
                <w:rFonts w:ascii="Times New Roman" w:hAnsi="Times New Roman" w:eastAsia="方正书宋_GBK" w:cs="Times New Roman"/>
                <w:b/>
                <w:color w:val="000000" w:themeColor="text1"/>
                <w:szCs w:val="24"/>
                <w14:textFill>
                  <w14:solidFill>
                    <w14:schemeClr w14:val="tx1"/>
                  </w14:solidFill>
                </w14:textFill>
              </w:rPr>
            </w:pPr>
            <w:r>
              <w:rPr>
                <w:rFonts w:ascii="Times New Roman" w:hAnsi="Times New Roman" w:eastAsia="方正书宋_GBK" w:cs="Times New Roman"/>
                <w:b/>
                <w:color w:val="000000" w:themeColor="text1"/>
                <w:szCs w:val="24"/>
                <w14:textFill>
                  <w14:solidFill>
                    <w14:schemeClr w14:val="tx1"/>
                  </w14:solidFill>
                </w14:textFill>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continue"/>
            <w:vAlign w:val="center"/>
          </w:tcPr>
          <w:p>
            <w:pPr>
              <w:spacing w:line="300" w:lineRule="exact"/>
              <w:jc w:val="left"/>
              <w:outlineLvl w:val="0"/>
              <w:rPr>
                <w:rFonts w:ascii="Times New Roman" w:hAnsi="Times New Roman" w:cs="Times New Roman"/>
                <w:color w:val="000000" w:themeColor="text1"/>
                <w:szCs w:val="24"/>
                <w14:textFill>
                  <w14:solidFill>
                    <w14:schemeClr w14:val="tx1"/>
                  </w14:solidFill>
                </w14:textFill>
              </w:rPr>
            </w:pPr>
          </w:p>
        </w:tc>
        <w:tc>
          <w:tcPr>
            <w:tcW w:w="1134" w:type="dxa"/>
            <w:vMerge w:val="continue"/>
            <w:vAlign w:val="center"/>
          </w:tcPr>
          <w:p>
            <w:pPr>
              <w:spacing w:line="300" w:lineRule="exact"/>
              <w:jc w:val="left"/>
              <w:outlineLvl w:val="0"/>
              <w:rPr>
                <w:rFonts w:ascii="Times New Roman" w:hAnsi="Times New Roman" w:cs="Times New Roman"/>
                <w:color w:val="000000" w:themeColor="text1"/>
                <w:szCs w:val="24"/>
                <w14:textFill>
                  <w14:solidFill>
                    <w14:schemeClr w14:val="tx1"/>
                  </w14:solidFill>
                </w14:textFill>
              </w:rPr>
            </w:pPr>
          </w:p>
        </w:tc>
        <w:tc>
          <w:tcPr>
            <w:tcW w:w="1276" w:type="dxa"/>
            <w:vMerge w:val="continue"/>
            <w:vAlign w:val="center"/>
          </w:tcPr>
          <w:p>
            <w:pPr>
              <w:spacing w:line="300" w:lineRule="exact"/>
              <w:jc w:val="left"/>
              <w:outlineLvl w:val="0"/>
              <w:rPr>
                <w:rFonts w:ascii="Times New Roman" w:hAnsi="Times New Roman" w:cs="Times New Roman"/>
                <w:color w:val="000000" w:themeColor="text1"/>
                <w:szCs w:val="24"/>
                <w14:textFill>
                  <w14:solidFill>
                    <w14:schemeClr w14:val="tx1"/>
                  </w14:solidFill>
                </w14:textFill>
              </w:rPr>
            </w:pPr>
          </w:p>
        </w:tc>
        <w:tc>
          <w:tcPr>
            <w:tcW w:w="2902" w:type="dxa"/>
            <w:vMerge w:val="continue"/>
            <w:vAlign w:val="center"/>
          </w:tcPr>
          <w:p>
            <w:pPr>
              <w:spacing w:line="300" w:lineRule="exact"/>
              <w:jc w:val="left"/>
              <w:outlineLvl w:val="0"/>
              <w:rPr>
                <w:rFonts w:ascii="Times New Roman" w:hAnsi="Times New Roman" w:cs="Times New Roman"/>
                <w:color w:val="000000" w:themeColor="text1"/>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pPr>
              <w:spacing w:line="300" w:lineRule="exact"/>
              <w:jc w:val="left"/>
              <w:rPr>
                <w:rFonts w:ascii="Times New Roman" w:hAnsi="Times New Roman" w:eastAsia="方正书宋_GBK" w:cs="Times New Roman"/>
                <w:color w:val="000000" w:themeColor="text1"/>
                <w:szCs w:val="24"/>
                <w14:textFill>
                  <w14:solidFill>
                    <w14:schemeClr w14:val="tx1"/>
                  </w14:solidFill>
                </w14:textFill>
              </w:rPr>
            </w:pPr>
            <w:r>
              <w:rPr>
                <w:rFonts w:hint="eastAsia" w:ascii="方正书宋_GBK" w:eastAsia="方正书宋_GBK"/>
                <w:color w:val="000000" w:themeColor="text1"/>
                <w14:textFill>
                  <w14:solidFill>
                    <w14:schemeClr w14:val="tx1"/>
                  </w14:solidFill>
                </w14:textFill>
              </w:rPr>
              <w:t>隆尧县发展和改革局(机关)</w:t>
            </w:r>
          </w:p>
        </w:tc>
        <w:tc>
          <w:tcPr>
            <w:tcW w:w="1134" w:type="dxa"/>
            <w:vAlign w:val="center"/>
          </w:tcPr>
          <w:p>
            <w:pPr>
              <w:spacing w:line="300" w:lineRule="exact"/>
              <w:jc w:val="center"/>
              <w:rPr>
                <w:rFonts w:ascii="Times New Roman" w:hAnsi="Times New Roman" w:eastAsia="方正书宋_GBK" w:cs="Times New Roman"/>
                <w:color w:val="000000" w:themeColor="text1"/>
                <w:szCs w:val="24"/>
                <w14:textFill>
                  <w14:solidFill>
                    <w14:schemeClr w14:val="tx1"/>
                  </w14:solidFill>
                </w14:textFill>
              </w:rPr>
            </w:pPr>
            <w:r>
              <w:rPr>
                <w:rFonts w:hint="eastAsia" w:ascii="方正书宋_GBK" w:eastAsia="方正书宋_GBK"/>
                <w:color w:val="000000" w:themeColor="text1"/>
                <w14:textFill>
                  <w14:solidFill>
                    <w14:schemeClr w14:val="tx1"/>
                  </w14:solidFill>
                </w14:textFill>
              </w:rPr>
              <w:t>行政</w:t>
            </w:r>
          </w:p>
        </w:tc>
        <w:tc>
          <w:tcPr>
            <w:tcW w:w="1276" w:type="dxa"/>
            <w:vAlign w:val="center"/>
          </w:tcPr>
          <w:p>
            <w:pPr>
              <w:spacing w:line="300" w:lineRule="exact"/>
              <w:jc w:val="center"/>
              <w:rPr>
                <w:rFonts w:ascii="Times New Roman" w:hAnsi="Times New Roman" w:eastAsia="方正书宋_GBK" w:cs="Times New Roman"/>
                <w:color w:val="000000" w:themeColor="text1"/>
                <w:szCs w:val="24"/>
                <w14:textFill>
                  <w14:solidFill>
                    <w14:schemeClr w14:val="tx1"/>
                  </w14:solidFill>
                </w14:textFill>
              </w:rPr>
            </w:pPr>
            <w:r>
              <w:rPr>
                <w:rFonts w:hint="eastAsia" w:ascii="方正书宋_GBK" w:eastAsia="方正书宋_GBK"/>
                <w:color w:val="000000" w:themeColor="text1"/>
                <w14:textFill>
                  <w14:solidFill>
                    <w14:schemeClr w14:val="tx1"/>
                  </w14:solidFill>
                </w14:textFill>
              </w:rPr>
              <w:t>正科级</w:t>
            </w:r>
          </w:p>
        </w:tc>
        <w:tc>
          <w:tcPr>
            <w:tcW w:w="2902" w:type="dxa"/>
            <w:vAlign w:val="center"/>
          </w:tcPr>
          <w:p>
            <w:pPr>
              <w:spacing w:line="300" w:lineRule="exact"/>
              <w:jc w:val="center"/>
              <w:rPr>
                <w:rFonts w:ascii="Times New Roman" w:hAnsi="Times New Roman" w:eastAsia="方正书宋_GBK" w:cs="Times New Roman"/>
                <w:color w:val="000000" w:themeColor="text1"/>
                <w:szCs w:val="24"/>
                <w14:textFill>
                  <w14:solidFill>
                    <w14:schemeClr w14:val="tx1"/>
                  </w14:solidFill>
                </w14:textFill>
              </w:rPr>
            </w:pPr>
            <w:r>
              <w:rPr>
                <w:rFonts w:hint="eastAsia" w:ascii="方正书宋_GBK" w:eastAsia="方正书宋_GBK"/>
                <w:color w:val="000000" w:themeColor="text1"/>
                <w14:textFill>
                  <w14:solidFill>
                    <w14:schemeClr w14:val="tx1"/>
                  </w14:solidFill>
                </w14:textFill>
              </w:rPr>
              <w:t>财政拨款</w:t>
            </w:r>
          </w:p>
        </w:tc>
      </w:tr>
    </w:tbl>
    <w:p>
      <w:pPr>
        <w:rPr>
          <w:color w:val="000000" w:themeColor="text1"/>
          <w14:textFill>
            <w14:solidFill>
              <w14:schemeClr w14:val="tx1"/>
            </w14:solidFill>
          </w14:textFill>
        </w:rPr>
      </w:pPr>
    </w:p>
    <w:p>
      <w:pPr>
        <w:ind w:firstLine="640"/>
        <w:rPr>
          <w:rFonts w:ascii="黑体" w:hAnsi="黑体" w:eastAsia="黑体" w:cs="Times New Roman"/>
          <w:sz w:val="32"/>
          <w:szCs w:val="32"/>
        </w:rPr>
      </w:pPr>
      <w:r>
        <w:rPr>
          <w:rFonts w:hint="eastAsia" w:ascii="黑体" w:hAnsi="黑体" w:eastAsia="黑体" w:cs="Times New Roman"/>
          <w:sz w:val="32"/>
          <w:szCs w:val="32"/>
        </w:rPr>
        <w:t>二、部门预算安排的总体情况</w:t>
      </w:r>
    </w:p>
    <w:p>
      <w:pPr>
        <w:ind w:firstLine="640"/>
        <w:rPr>
          <w:rFonts w:ascii="Times New Roman" w:hAnsi="Times New Roman" w:eastAsia="仿宋" w:cs="Times New Roman"/>
          <w:sz w:val="32"/>
          <w:szCs w:val="32"/>
        </w:rPr>
      </w:pPr>
      <w:r>
        <w:rPr>
          <w:rFonts w:ascii="Times New Roman" w:hAnsi="Times New Roman" w:eastAsia="仿宋" w:cs="Times New Roman"/>
          <w:sz w:val="32"/>
          <w:szCs w:val="32"/>
        </w:rPr>
        <w:t>按照预算管理有关规定，目前我</w:t>
      </w:r>
      <w:r>
        <w:rPr>
          <w:rFonts w:hint="eastAsia" w:ascii="Times New Roman" w:hAnsi="Times New Roman" w:eastAsia="仿宋" w:cs="Times New Roman"/>
          <w:sz w:val="32"/>
          <w:szCs w:val="32"/>
        </w:rPr>
        <w:t>县</w:t>
      </w:r>
      <w:r>
        <w:rPr>
          <w:rFonts w:ascii="Times New Roman" w:hAnsi="Times New Roman" w:eastAsia="仿宋" w:cs="Times New Roman"/>
          <w:sz w:val="32"/>
          <w:szCs w:val="32"/>
        </w:rPr>
        <w:t>部门预算的编制实行综合预算</w:t>
      </w:r>
      <w:r>
        <w:rPr>
          <w:rFonts w:hint="eastAsia" w:ascii="Times New Roman" w:hAnsi="Times New Roman" w:eastAsia="仿宋" w:cs="Times New Roman"/>
          <w:sz w:val="32"/>
          <w:szCs w:val="32"/>
        </w:rPr>
        <w:t>管理</w:t>
      </w:r>
      <w:r>
        <w:rPr>
          <w:rFonts w:ascii="Times New Roman" w:hAnsi="Times New Roman" w:eastAsia="仿宋" w:cs="Times New Roman"/>
          <w:sz w:val="32"/>
          <w:szCs w:val="32"/>
        </w:rPr>
        <w:t>，即全部收入和支出都反映</w:t>
      </w:r>
      <w:r>
        <w:rPr>
          <w:rFonts w:hint="eastAsia" w:ascii="Times New Roman" w:hAnsi="Times New Roman" w:eastAsia="仿宋" w:cs="Times New Roman"/>
          <w:sz w:val="32"/>
          <w:szCs w:val="32"/>
          <w:lang w:val="en-US" w:eastAsia="zh-CN"/>
        </w:rPr>
        <w:t>在</w:t>
      </w:r>
      <w:r>
        <w:rPr>
          <w:rFonts w:ascii="Times New Roman" w:hAnsi="Times New Roman" w:eastAsia="仿宋" w:cs="Times New Roman"/>
          <w:sz w:val="32"/>
          <w:szCs w:val="32"/>
        </w:rPr>
        <w:t>预算中。</w:t>
      </w:r>
      <w:r>
        <w:rPr>
          <w:rFonts w:hint="eastAsia" w:ascii="Times New Roman" w:hAnsi="Times New Roman" w:eastAsia="仿宋" w:cs="Times New Roman"/>
          <w:sz w:val="32"/>
          <w:szCs w:val="32"/>
        </w:rPr>
        <w:t>隆尧县发展和改革局</w:t>
      </w:r>
      <w:r>
        <w:rPr>
          <w:rFonts w:ascii="Times New Roman" w:hAnsi="Times New Roman" w:eastAsia="仿宋" w:cs="Times New Roman"/>
          <w:sz w:val="32"/>
          <w:szCs w:val="32"/>
        </w:rPr>
        <w:t>的收支包含在部门预算中。</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1、</w:t>
      </w:r>
      <w:r>
        <w:rPr>
          <w:rFonts w:ascii="Times New Roman" w:hAnsi="Times New Roman" w:eastAsia="仿宋" w:cs="Times New Roman"/>
          <w:sz w:val="32"/>
          <w:szCs w:val="32"/>
        </w:rPr>
        <w:t>收入说明</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反映本部门当年全部收入。202</w:t>
      </w:r>
      <w:r>
        <w:rPr>
          <w:rFonts w:hint="eastAsia"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rPr>
        <w:t>年预算收入829</w:t>
      </w:r>
      <w:r>
        <w:rPr>
          <w:rFonts w:hint="eastAsia"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9</w:t>
      </w:r>
      <w:r>
        <w:rPr>
          <w:rFonts w:hint="eastAsia" w:ascii="Times New Roman" w:hAnsi="Times New Roman" w:eastAsia="仿宋" w:cs="Times New Roman"/>
          <w:sz w:val="32"/>
          <w:szCs w:val="32"/>
        </w:rPr>
        <w:t>万元，其中：一般公共预算收入829</w:t>
      </w:r>
      <w:r>
        <w:rPr>
          <w:rFonts w:hint="eastAsia"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9</w:t>
      </w:r>
      <w:r>
        <w:rPr>
          <w:rFonts w:hint="eastAsia" w:ascii="Times New Roman" w:hAnsi="Times New Roman" w:eastAsia="仿宋" w:cs="Times New Roman"/>
          <w:sz w:val="32"/>
          <w:szCs w:val="32"/>
        </w:rPr>
        <w:t>万元，基金预算收入0万元，财政专户核拨收入0万元，其他来源收入0万元。</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ascii="Times New Roman" w:hAnsi="Times New Roman" w:eastAsia="仿宋" w:cs="Times New Roman"/>
          <w:sz w:val="32"/>
          <w:szCs w:val="32"/>
        </w:rPr>
        <w:t>支出说明</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收支预算总表支出栏、基本支出表、项目支出表按经济分类和支出功能分类科目编制，反映隆尧县发展和改革局年度部门预算中支出预算的总体情况。202</w:t>
      </w:r>
      <w:r>
        <w:rPr>
          <w:rFonts w:hint="eastAsia"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rPr>
        <w:t>年部门支出预算为829</w:t>
      </w:r>
      <w:r>
        <w:rPr>
          <w:rFonts w:hint="eastAsia"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9</w:t>
      </w:r>
      <w:r>
        <w:rPr>
          <w:rFonts w:hint="eastAsia" w:ascii="Times New Roman" w:hAnsi="Times New Roman" w:eastAsia="仿宋" w:cs="Times New Roman"/>
          <w:sz w:val="32"/>
          <w:szCs w:val="32"/>
        </w:rPr>
        <w:t>万元，其中基本支出</w:t>
      </w:r>
      <w:r>
        <w:rPr>
          <w:rFonts w:hint="eastAsia" w:ascii="Times New Roman" w:hAnsi="Times New Roman" w:eastAsia="仿宋" w:cs="Times New Roman"/>
          <w:sz w:val="32"/>
          <w:szCs w:val="32"/>
          <w:lang w:val="en-US" w:eastAsia="zh-CN"/>
        </w:rPr>
        <w:t>342.49</w:t>
      </w:r>
      <w:r>
        <w:rPr>
          <w:rFonts w:hint="eastAsia" w:ascii="Times New Roman" w:hAnsi="Times New Roman" w:eastAsia="仿宋" w:cs="Times New Roman"/>
          <w:sz w:val="32"/>
          <w:szCs w:val="32"/>
        </w:rPr>
        <w:t>万元，包括人员经费</w:t>
      </w:r>
      <w:r>
        <w:rPr>
          <w:rFonts w:hint="eastAsia" w:ascii="Times New Roman" w:hAnsi="Times New Roman" w:eastAsia="仿宋" w:cs="Times New Roman"/>
          <w:sz w:val="32"/>
          <w:szCs w:val="32"/>
          <w:lang w:val="en-US" w:eastAsia="zh-CN"/>
        </w:rPr>
        <w:t>303.45</w:t>
      </w:r>
      <w:r>
        <w:rPr>
          <w:rFonts w:hint="eastAsia" w:ascii="Times New Roman" w:hAnsi="Times New Roman" w:eastAsia="仿宋" w:cs="Times New Roman"/>
          <w:sz w:val="32"/>
          <w:szCs w:val="32"/>
        </w:rPr>
        <w:t>万元和日常公用经费</w:t>
      </w:r>
      <w:r>
        <w:rPr>
          <w:rFonts w:hint="eastAsia" w:ascii="Times New Roman" w:hAnsi="Times New Roman" w:eastAsia="仿宋" w:cs="Times New Roman"/>
          <w:sz w:val="32"/>
          <w:szCs w:val="32"/>
          <w:lang w:val="en-US" w:eastAsia="zh-CN"/>
        </w:rPr>
        <w:t>39.04</w:t>
      </w:r>
      <w:r>
        <w:rPr>
          <w:rFonts w:hint="eastAsia" w:ascii="Times New Roman" w:hAnsi="Times New Roman" w:eastAsia="仿宋" w:cs="Times New Roman"/>
          <w:sz w:val="32"/>
          <w:szCs w:val="32"/>
        </w:rPr>
        <w:t>万元；项目支出</w:t>
      </w:r>
      <w:r>
        <w:rPr>
          <w:rFonts w:hint="eastAsia" w:ascii="Times New Roman" w:hAnsi="Times New Roman" w:eastAsia="仿宋" w:cs="Times New Roman"/>
          <w:sz w:val="32"/>
          <w:szCs w:val="32"/>
          <w:lang w:val="en-US" w:eastAsia="zh-CN"/>
        </w:rPr>
        <w:t>486.79</w:t>
      </w:r>
      <w:r>
        <w:rPr>
          <w:rFonts w:hint="eastAsia" w:ascii="Times New Roman" w:hAnsi="Times New Roman" w:eastAsia="仿宋" w:cs="Times New Roman"/>
          <w:sz w:val="32"/>
          <w:szCs w:val="32"/>
        </w:rPr>
        <w:t>万元，主要为隆尧县“十四五”规划编制经费</w:t>
      </w:r>
      <w:r>
        <w:rPr>
          <w:rFonts w:hint="eastAsia" w:ascii="Times New Roman" w:hAnsi="Times New Roman" w:eastAsia="仿宋" w:cs="Times New Roman"/>
          <w:sz w:val="32"/>
          <w:szCs w:val="32"/>
          <w:lang w:val="en-US" w:eastAsia="zh-CN"/>
        </w:rPr>
        <w:t>8</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双创双服活动2万元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退役军人专岗7.27万元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应急物资储备库建设项目83.2万元，救灾物资购置-电暖器31.8万元，成品粮储备费用补贴20万元，</w:t>
      </w:r>
      <w:r>
        <w:rPr>
          <w:rFonts w:hint="eastAsia" w:ascii="Times New Roman" w:hAnsi="Times New Roman" w:eastAsia="仿宋" w:cs="Times New Roman"/>
          <w:sz w:val="32"/>
          <w:szCs w:val="32"/>
        </w:rPr>
        <w:t>全县重点项目建设经费20万元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重点项目固定资产投资核查核心投资考核成本监审（第三方购买服务）8万元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办案补助/自收自支人员经费</w:t>
      </w:r>
      <w:r>
        <w:rPr>
          <w:rFonts w:hint="eastAsia" w:ascii="Times New Roman" w:hAnsi="Times New Roman" w:eastAsia="仿宋" w:cs="Times New Roman"/>
          <w:sz w:val="32"/>
          <w:szCs w:val="32"/>
          <w:lang w:val="en-US" w:eastAsia="zh-CN"/>
        </w:rPr>
        <w:t>81.52</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还财政暂付款经费</w:t>
      </w:r>
      <w:r>
        <w:rPr>
          <w:rFonts w:hint="eastAsia" w:ascii="Times New Roman" w:hAnsi="Times New Roman" w:eastAsia="仿宋" w:cs="Times New Roman"/>
          <w:sz w:val="32"/>
          <w:szCs w:val="32"/>
          <w:lang w:val="en-US" w:eastAsia="zh-CN"/>
        </w:rPr>
        <w:t>20</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听证会经费（城乡公交车出租车票价）1万元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价格认定经费6万元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第三方成本核算 （联村供水出租车运行农村客运班车成本）6万元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粮食安全责任制考核及粮食质量安全监测</w:t>
      </w:r>
      <w:r>
        <w:rPr>
          <w:rFonts w:hint="eastAsia" w:ascii="Times New Roman" w:hAnsi="Times New Roman" w:eastAsia="仿宋" w:cs="Times New Roman"/>
          <w:sz w:val="32"/>
          <w:szCs w:val="32"/>
          <w:lang w:val="en-US" w:eastAsia="zh-CN"/>
        </w:rPr>
        <w:t>管理及</w:t>
      </w:r>
      <w:r>
        <w:rPr>
          <w:rFonts w:hint="eastAsia" w:ascii="Times New Roman" w:hAnsi="Times New Roman" w:eastAsia="仿宋" w:cs="Times New Roman"/>
          <w:sz w:val="32"/>
          <w:szCs w:val="32"/>
        </w:rPr>
        <w:t>流通执法3万元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2021年</w:t>
      </w:r>
      <w:r>
        <w:rPr>
          <w:rFonts w:hint="eastAsia" w:ascii="Times New Roman" w:hAnsi="Times New Roman" w:eastAsia="仿宋" w:cs="Times New Roman"/>
          <w:sz w:val="32"/>
          <w:szCs w:val="32"/>
        </w:rPr>
        <w:t>粮油质检</w:t>
      </w:r>
      <w:r>
        <w:rPr>
          <w:rFonts w:hint="eastAsia" w:ascii="Times New Roman" w:hAnsi="Times New Roman" w:eastAsia="仿宋" w:cs="Times New Roman"/>
          <w:sz w:val="32"/>
          <w:szCs w:val="32"/>
          <w:lang w:val="en-US" w:eastAsia="zh-CN"/>
        </w:rPr>
        <w:t>站</w:t>
      </w:r>
      <w:r>
        <w:rPr>
          <w:rFonts w:hint="eastAsia" w:ascii="Times New Roman" w:hAnsi="Times New Roman" w:eastAsia="仿宋" w:cs="Times New Roman"/>
          <w:sz w:val="32"/>
          <w:szCs w:val="32"/>
        </w:rPr>
        <w:t>项目</w:t>
      </w:r>
      <w:r>
        <w:rPr>
          <w:rFonts w:hint="eastAsia" w:ascii="Times New Roman" w:hAnsi="Times New Roman" w:eastAsia="仿宋" w:cs="Times New Roman"/>
          <w:sz w:val="32"/>
          <w:szCs w:val="32"/>
          <w:lang w:val="en-US" w:eastAsia="zh-CN"/>
        </w:rPr>
        <w:t>75</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全县食盐储备资金项目14万元</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隆尧县救灾物资储备管理</w:t>
      </w:r>
      <w:r>
        <w:rPr>
          <w:rFonts w:hint="eastAsia" w:ascii="Times New Roman" w:hAnsi="Times New Roman" w:eastAsia="仿宋" w:cs="Times New Roman"/>
          <w:sz w:val="32"/>
          <w:szCs w:val="32"/>
          <w:lang w:val="en-US" w:eastAsia="zh-CN"/>
        </w:rPr>
        <w:t>100</w:t>
      </w:r>
      <w:r>
        <w:rPr>
          <w:rFonts w:hint="eastAsia" w:ascii="Times New Roman" w:hAnsi="Times New Roman" w:eastAsia="仿宋" w:cs="Times New Roman"/>
          <w:sz w:val="32"/>
          <w:szCs w:val="32"/>
        </w:rPr>
        <w:t>万元。</w:t>
      </w:r>
      <w:bookmarkStart w:id="26" w:name="_GoBack"/>
      <w:bookmarkEnd w:id="26"/>
    </w:p>
    <w:p>
      <w:pPr>
        <w:ind w:firstLine="640"/>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3、</w:t>
      </w:r>
      <w:r>
        <w:rPr>
          <w:rFonts w:ascii="仿宋" w:hAnsi="仿宋" w:eastAsia="仿宋" w:cs="Times New Roman"/>
          <w:color w:val="000000" w:themeColor="text1"/>
          <w:sz w:val="32"/>
          <w:szCs w:val="32"/>
          <w14:textFill>
            <w14:solidFill>
              <w14:schemeClr w14:val="tx1"/>
            </w14:solidFill>
          </w14:textFill>
        </w:rPr>
        <w:t>比上年增减情况</w:t>
      </w:r>
    </w:p>
    <w:p>
      <w:pPr>
        <w:ind w:firstLine="640"/>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202</w:t>
      </w:r>
      <w:r>
        <w:rPr>
          <w:rFonts w:hint="eastAsia" w:ascii="仿宋" w:hAnsi="仿宋" w:eastAsia="仿宋" w:cs="Times New Roman"/>
          <w:color w:val="000000" w:themeColor="text1"/>
          <w:sz w:val="32"/>
          <w:szCs w:val="32"/>
          <w:lang w:val="en-US" w:eastAsia="zh-CN"/>
          <w14:textFill>
            <w14:solidFill>
              <w14:schemeClr w14:val="tx1"/>
            </w14:solidFill>
          </w14:textFill>
        </w:rPr>
        <w:t>1</w:t>
      </w:r>
      <w:r>
        <w:rPr>
          <w:rFonts w:hint="eastAsia" w:ascii="仿宋" w:hAnsi="仿宋" w:eastAsia="仿宋" w:cs="Times New Roman"/>
          <w:color w:val="000000" w:themeColor="text1"/>
          <w:sz w:val="32"/>
          <w:szCs w:val="32"/>
          <w14:textFill>
            <w14:solidFill>
              <w14:schemeClr w14:val="tx1"/>
            </w14:solidFill>
          </w14:textFill>
        </w:rPr>
        <w:t>年部门预算收支安排</w:t>
      </w:r>
      <w:r>
        <w:rPr>
          <w:rFonts w:hint="eastAsia" w:ascii="Times New Roman" w:hAnsi="Times New Roman" w:eastAsia="仿宋" w:cs="Times New Roman"/>
          <w:sz w:val="32"/>
          <w:szCs w:val="32"/>
        </w:rPr>
        <w:t>829</w:t>
      </w:r>
      <w:r>
        <w:rPr>
          <w:rFonts w:hint="eastAsia"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9</w:t>
      </w:r>
      <w:r>
        <w:rPr>
          <w:rFonts w:hint="eastAsia" w:ascii="仿宋" w:hAnsi="仿宋" w:eastAsia="仿宋" w:cs="Times New Roman"/>
          <w:color w:val="000000" w:themeColor="text1"/>
          <w:sz w:val="32"/>
          <w:szCs w:val="32"/>
          <w14:textFill>
            <w14:solidFill>
              <w14:schemeClr w14:val="tx1"/>
            </w14:solidFill>
          </w14:textFill>
        </w:rPr>
        <w:t>万元，较20</w:t>
      </w:r>
      <w:r>
        <w:rPr>
          <w:rFonts w:hint="eastAsia" w:ascii="仿宋" w:hAnsi="仿宋" w:eastAsia="仿宋" w:cs="Times New Roman"/>
          <w:color w:val="000000" w:themeColor="text1"/>
          <w:sz w:val="32"/>
          <w:szCs w:val="32"/>
          <w:lang w:val="en-US" w:eastAsia="zh-CN"/>
          <w14:textFill>
            <w14:solidFill>
              <w14:schemeClr w14:val="tx1"/>
            </w14:solidFill>
          </w14:textFill>
        </w:rPr>
        <w:t>20</w:t>
      </w:r>
      <w:r>
        <w:rPr>
          <w:rFonts w:hint="eastAsia" w:ascii="仿宋" w:hAnsi="仿宋" w:eastAsia="仿宋" w:cs="Times New Roman"/>
          <w:color w:val="000000" w:themeColor="text1"/>
          <w:sz w:val="32"/>
          <w:szCs w:val="32"/>
          <w14:textFill>
            <w14:solidFill>
              <w14:schemeClr w14:val="tx1"/>
            </w14:solidFill>
          </w14:textFill>
        </w:rPr>
        <w:t>年</w:t>
      </w:r>
      <w:r>
        <w:rPr>
          <w:rFonts w:hint="eastAsia" w:ascii="仿宋" w:hAnsi="仿宋" w:eastAsia="仿宋" w:cs="Times New Roman"/>
          <w:color w:val="000000" w:themeColor="text1"/>
          <w:sz w:val="32"/>
          <w:szCs w:val="32"/>
          <w:lang w:val="en-US" w:eastAsia="zh-CN"/>
          <w14:textFill>
            <w14:solidFill>
              <w14:schemeClr w14:val="tx1"/>
            </w14:solidFill>
          </w14:textFill>
        </w:rPr>
        <w:t>预算</w:t>
      </w:r>
      <w:r>
        <w:rPr>
          <w:rFonts w:hint="eastAsia" w:ascii="仿宋" w:hAnsi="仿宋" w:eastAsia="仿宋" w:cs="Times New Roman"/>
          <w:color w:val="000000" w:themeColor="text1"/>
          <w:sz w:val="32"/>
          <w:szCs w:val="32"/>
          <w14:textFill>
            <w14:solidFill>
              <w14:schemeClr w14:val="tx1"/>
            </w14:solidFill>
          </w14:textFill>
        </w:rPr>
        <w:t>减少</w:t>
      </w:r>
      <w:r>
        <w:rPr>
          <w:rFonts w:hint="eastAsia" w:ascii="仿宋" w:hAnsi="仿宋" w:eastAsia="仿宋" w:cs="Times New Roman"/>
          <w:color w:val="000000" w:themeColor="text1"/>
          <w:sz w:val="32"/>
          <w:szCs w:val="32"/>
          <w:lang w:val="en-US" w:eastAsia="zh-CN"/>
          <w14:textFill>
            <w14:solidFill>
              <w14:schemeClr w14:val="tx1"/>
            </w14:solidFill>
          </w14:textFill>
        </w:rPr>
        <w:t>893.81</w:t>
      </w:r>
      <w:r>
        <w:rPr>
          <w:rFonts w:hint="eastAsia" w:ascii="仿宋" w:hAnsi="仿宋" w:eastAsia="仿宋" w:cs="Times New Roman"/>
          <w:color w:val="000000" w:themeColor="text1"/>
          <w:sz w:val="32"/>
          <w:szCs w:val="32"/>
          <w14:textFill>
            <w14:solidFill>
              <w14:schemeClr w14:val="tx1"/>
            </w14:solidFill>
          </w14:textFill>
        </w:rPr>
        <w:t>万元，其中：基本支出减少</w:t>
      </w:r>
      <w:r>
        <w:rPr>
          <w:rFonts w:hint="eastAsia" w:ascii="仿宋" w:hAnsi="仿宋" w:eastAsia="仿宋" w:cs="Times New Roman"/>
          <w:color w:val="000000" w:themeColor="text1"/>
          <w:sz w:val="32"/>
          <w:szCs w:val="32"/>
          <w:lang w:val="en-US" w:eastAsia="zh-CN"/>
          <w14:textFill>
            <w14:solidFill>
              <w14:schemeClr w14:val="tx1"/>
            </w14:solidFill>
          </w14:textFill>
        </w:rPr>
        <w:t>16.99</w:t>
      </w:r>
      <w:r>
        <w:rPr>
          <w:rFonts w:hint="eastAsia" w:ascii="仿宋" w:hAnsi="仿宋" w:eastAsia="仿宋" w:cs="Times New Roman"/>
          <w:color w:val="000000" w:themeColor="text1"/>
          <w:sz w:val="32"/>
          <w:szCs w:val="32"/>
          <w14:textFill>
            <w14:solidFill>
              <w14:schemeClr w14:val="tx1"/>
            </w14:solidFill>
          </w14:textFill>
        </w:rPr>
        <w:t>万元，主要是人员减少，相应减少人员经费和日常公用经费；项目支出减少</w:t>
      </w:r>
      <w:r>
        <w:rPr>
          <w:rFonts w:hint="eastAsia" w:ascii="仿宋" w:hAnsi="仿宋" w:eastAsia="仿宋" w:cs="Times New Roman"/>
          <w:color w:val="000000" w:themeColor="text1"/>
          <w:sz w:val="32"/>
          <w:szCs w:val="32"/>
          <w:lang w:val="en-US" w:eastAsia="zh-CN"/>
          <w14:textFill>
            <w14:solidFill>
              <w14:schemeClr w14:val="tx1"/>
            </w14:solidFill>
          </w14:textFill>
        </w:rPr>
        <w:t>876.82</w:t>
      </w:r>
      <w:r>
        <w:rPr>
          <w:rFonts w:hint="eastAsia" w:ascii="仿宋" w:hAnsi="仿宋" w:eastAsia="仿宋" w:cs="Times New Roman"/>
          <w:color w:val="000000" w:themeColor="text1"/>
          <w:sz w:val="32"/>
          <w:szCs w:val="32"/>
          <w14:textFill>
            <w14:solidFill>
              <w14:schemeClr w14:val="tx1"/>
            </w14:solidFill>
          </w14:textFill>
        </w:rPr>
        <w:t>万元，主要是</w:t>
      </w:r>
      <w:r>
        <w:rPr>
          <w:rFonts w:hint="eastAsia" w:ascii="仿宋" w:hAnsi="仿宋" w:eastAsia="仿宋" w:cs="Times New Roman"/>
          <w:color w:val="000000" w:themeColor="text1"/>
          <w:sz w:val="32"/>
          <w:szCs w:val="32"/>
          <w:lang w:val="en-US" w:eastAsia="zh-CN"/>
          <w14:textFill>
            <w14:solidFill>
              <w14:schemeClr w14:val="tx1"/>
            </w14:solidFill>
          </w14:textFill>
        </w:rPr>
        <w:t>电代煤项目划转双代办，项目资金减少</w:t>
      </w:r>
      <w:r>
        <w:rPr>
          <w:rFonts w:hint="eastAsia" w:ascii="仿宋" w:hAnsi="仿宋" w:eastAsia="仿宋" w:cs="Times New Roman"/>
          <w:color w:val="000000" w:themeColor="text1"/>
          <w:sz w:val="32"/>
          <w:szCs w:val="32"/>
          <w14:textFill>
            <w14:solidFill>
              <w14:schemeClr w14:val="tx1"/>
            </w14:solidFill>
          </w14:textFill>
        </w:rPr>
        <w:t>。</w:t>
      </w:r>
    </w:p>
    <w:p>
      <w:pPr>
        <w:autoSpaceDE w:val="0"/>
        <w:autoSpaceDN w:val="0"/>
        <w:adjustRightInd w:val="0"/>
        <w:ind w:firstLine="960" w:firstLineChars="300"/>
        <w:jc w:val="lef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三、机关运行经费安排情况</w:t>
      </w:r>
    </w:p>
    <w:p>
      <w:pPr>
        <w:autoSpaceDE w:val="0"/>
        <w:autoSpaceDN w:val="0"/>
        <w:adjustRightInd w:val="0"/>
        <w:ind w:left="198" w:firstLine="640" w:firstLineChars="200"/>
        <w:jc w:val="left"/>
        <w:rPr>
          <w:rFonts w:ascii="Times New Roman" w:hAnsi="Times New Roman" w:eastAsia="仿宋" w:cs="Times New Roman"/>
          <w:color w:val="000000" w:themeColor="text1"/>
          <w:sz w:val="32"/>
          <w:szCs w:val="32"/>
          <w14:textFill>
            <w14:solidFill>
              <w14:schemeClr w14:val="tx1"/>
            </w14:solidFill>
          </w14:textFill>
        </w:rPr>
      </w:pPr>
      <w:r>
        <w:rPr>
          <w:rFonts w:hint="eastAsia" w:ascii="Times New Roman" w:hAnsi="Times New Roman" w:eastAsia="仿宋" w:cs="Times New Roman"/>
          <w:color w:val="000000" w:themeColor="text1"/>
          <w:sz w:val="32"/>
          <w:szCs w:val="32"/>
          <w14:textFill>
            <w14:solidFill>
              <w14:schemeClr w14:val="tx1"/>
            </w14:solidFill>
          </w14:textFill>
        </w:rPr>
        <w:t>202</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 w:cs="Times New Roman"/>
          <w:color w:val="000000" w:themeColor="text1"/>
          <w:sz w:val="32"/>
          <w:szCs w:val="32"/>
          <w14:textFill>
            <w14:solidFill>
              <w14:schemeClr w14:val="tx1"/>
            </w14:solidFill>
          </w14:textFill>
        </w:rPr>
        <w:t>年，我部门机关运行经费共计安排</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39.04</w:t>
      </w:r>
      <w:r>
        <w:rPr>
          <w:rFonts w:hint="eastAsia" w:ascii="Times New Roman" w:hAnsi="Times New Roman" w:eastAsia="仿宋" w:cs="Times New Roman"/>
          <w:color w:val="000000" w:themeColor="text1"/>
          <w:sz w:val="32"/>
          <w:szCs w:val="32"/>
          <w14:textFill>
            <w14:solidFill>
              <w14:schemeClr w14:val="tx1"/>
            </w14:solidFill>
          </w14:textFill>
        </w:rPr>
        <w:t>万元，主要用于办公用房水电费、办公用房取暖费、日常维修费、党组活动经费、福利费、工会经费、公务交通补贴等</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日常运行支出</w:t>
      </w:r>
      <w:r>
        <w:rPr>
          <w:rFonts w:hint="eastAsia" w:ascii="Times New Roman" w:hAnsi="Times New Roman" w:eastAsia="仿宋" w:cs="Times New Roman"/>
          <w:color w:val="000000" w:themeColor="text1"/>
          <w:sz w:val="32"/>
          <w:szCs w:val="32"/>
          <w14:textFill>
            <w14:solidFill>
              <w14:schemeClr w14:val="tx1"/>
            </w14:solidFill>
          </w14:textFill>
        </w:rPr>
        <w:t>。</w:t>
      </w:r>
    </w:p>
    <w:p>
      <w:pPr>
        <w:autoSpaceDE w:val="0"/>
        <w:autoSpaceDN w:val="0"/>
        <w:adjustRightInd w:val="0"/>
        <w:ind w:left="198" w:firstLine="640" w:firstLineChars="200"/>
        <w:jc w:val="lef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四、财政拨款</w:t>
      </w:r>
      <w:r>
        <w:rPr>
          <w:rFonts w:ascii="黑体" w:hAnsi="黑体" w:eastAsia="黑体" w:cs="Times New Roman"/>
          <w:color w:val="000000" w:themeColor="text1"/>
          <w:sz w:val="32"/>
          <w:szCs w:val="32"/>
          <w14:textFill>
            <w14:solidFill>
              <w14:schemeClr w14:val="tx1"/>
            </w14:solidFill>
          </w14:textFill>
        </w:rPr>
        <w:t>“</w:t>
      </w:r>
      <w:r>
        <w:rPr>
          <w:rFonts w:hint="eastAsia" w:ascii="黑体" w:hAnsi="黑体" w:eastAsia="黑体" w:cs="Times New Roman"/>
          <w:color w:val="000000" w:themeColor="text1"/>
          <w:sz w:val="32"/>
          <w:szCs w:val="32"/>
          <w14:textFill>
            <w14:solidFill>
              <w14:schemeClr w14:val="tx1"/>
            </w14:solidFill>
          </w14:textFill>
        </w:rPr>
        <w:t>三公</w:t>
      </w:r>
      <w:r>
        <w:rPr>
          <w:rFonts w:ascii="黑体" w:hAnsi="黑体" w:eastAsia="黑体" w:cs="Times New Roman"/>
          <w:color w:val="000000" w:themeColor="text1"/>
          <w:sz w:val="32"/>
          <w:szCs w:val="32"/>
          <w14:textFill>
            <w14:solidFill>
              <w14:schemeClr w14:val="tx1"/>
            </w14:solidFill>
          </w14:textFill>
        </w:rPr>
        <w:t>”</w:t>
      </w:r>
      <w:r>
        <w:rPr>
          <w:rFonts w:hint="eastAsia" w:ascii="黑体" w:hAnsi="黑体" w:eastAsia="黑体" w:cs="Times New Roman"/>
          <w:color w:val="000000" w:themeColor="text1"/>
          <w:sz w:val="32"/>
          <w:szCs w:val="32"/>
          <w14:textFill>
            <w14:solidFill>
              <w14:schemeClr w14:val="tx1"/>
            </w14:solidFill>
          </w14:textFill>
        </w:rPr>
        <w:t>经费预算情况及增减变化原因</w:t>
      </w:r>
    </w:p>
    <w:p>
      <w:pPr>
        <w:autoSpaceDE w:val="0"/>
        <w:autoSpaceDN w:val="0"/>
        <w:adjustRightInd w:val="0"/>
        <w:ind w:left="198" w:firstLine="640" w:firstLineChars="200"/>
        <w:jc w:val="left"/>
        <w:rPr>
          <w:rFonts w:ascii="Times New Roman" w:hAnsi="Times New Roman" w:eastAsia="仿宋" w:cs="Times New Roman"/>
          <w:color w:val="000000" w:themeColor="text1"/>
          <w:sz w:val="32"/>
          <w:szCs w:val="32"/>
          <w14:textFill>
            <w14:solidFill>
              <w14:schemeClr w14:val="tx1"/>
            </w14:solidFill>
          </w14:textFill>
        </w:rPr>
      </w:pPr>
      <w:r>
        <w:rPr>
          <w:rFonts w:hint="eastAsia" w:ascii="Times New Roman" w:hAnsi="Times New Roman" w:eastAsia="仿宋" w:cs="Times New Roman"/>
          <w:color w:val="000000" w:themeColor="text1"/>
          <w:sz w:val="32"/>
          <w:szCs w:val="32"/>
          <w14:textFill>
            <w14:solidFill>
              <w14:schemeClr w14:val="tx1"/>
            </w14:solidFill>
          </w14:textFill>
        </w:rPr>
        <w:t>202</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 w:cs="Times New Roman"/>
          <w:color w:val="000000" w:themeColor="text1"/>
          <w:sz w:val="32"/>
          <w:szCs w:val="32"/>
          <w14:textFill>
            <w14:solidFill>
              <w14:schemeClr w14:val="tx1"/>
            </w14:solidFill>
          </w14:textFill>
        </w:rPr>
        <w:t>年，我部门财政拨款“三公”经费预算安排</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 w:cs="Times New Roman"/>
          <w:color w:val="000000" w:themeColor="text1"/>
          <w:sz w:val="32"/>
          <w:szCs w:val="32"/>
          <w14:textFill>
            <w14:solidFill>
              <w14:schemeClr w14:val="tx1"/>
            </w14:solidFill>
          </w14:textFill>
        </w:rPr>
        <w:t>万元，其中</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因公出国（境）费0万元；公务用车购置及运维费0万元（其中：公务用车购置为0万元，公务用车运维费0万元）；</w:t>
      </w:r>
      <w:r>
        <w:rPr>
          <w:rFonts w:hint="eastAsia" w:ascii="Times New Roman" w:hAnsi="Times New Roman" w:eastAsia="仿宋" w:cs="Times New Roman"/>
          <w:color w:val="000000" w:themeColor="text1"/>
          <w:sz w:val="32"/>
          <w:szCs w:val="32"/>
          <w14:textFill>
            <w14:solidFill>
              <w14:schemeClr w14:val="tx1"/>
            </w14:solidFill>
          </w14:textFill>
        </w:rPr>
        <w:t>公务接待费</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与2021年相比减少1万元，减少的</w:t>
      </w:r>
      <w:r>
        <w:rPr>
          <w:rFonts w:hint="eastAsia" w:ascii="Times New Roman" w:hAnsi="Times New Roman" w:eastAsia="仿宋" w:cs="Times New Roman"/>
          <w:color w:val="000000" w:themeColor="text1"/>
          <w:sz w:val="32"/>
          <w:szCs w:val="32"/>
          <w14:textFill>
            <w14:solidFill>
              <w14:schemeClr w14:val="tx1"/>
            </w14:solidFill>
          </w14:textFill>
        </w:rPr>
        <w:t>主要原因是</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厉行节约，压减开支</w:t>
      </w:r>
      <w:r>
        <w:rPr>
          <w:rFonts w:hint="eastAsia" w:ascii="Times New Roman" w:hAnsi="Times New Roman" w:eastAsia="仿宋" w:cs="Times New Roman"/>
          <w:color w:val="000000" w:themeColor="text1"/>
          <w:sz w:val="32"/>
          <w:szCs w:val="32"/>
          <w14:textFill>
            <w14:solidFill>
              <w14:schemeClr w14:val="tx1"/>
            </w14:solidFill>
          </w14:textFill>
        </w:rPr>
        <w:t>。</w:t>
      </w:r>
    </w:p>
    <w:p>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五、预算绩效信息</w:t>
      </w:r>
    </w:p>
    <w:p>
      <w:pPr>
        <w:ind w:firstLine="640" w:firstLineChars="200"/>
        <w:jc w:val="left"/>
        <w:rPr>
          <w:rFonts w:ascii="Times New Roman" w:hAnsi="Times New Roman" w:eastAsia="仿宋" w:cs="Times New Roman"/>
          <w:sz w:val="32"/>
          <w:szCs w:val="32"/>
        </w:rPr>
      </w:pPr>
      <w:bookmarkStart w:id="0" w:name="_Toc471398463"/>
      <w:r>
        <w:rPr>
          <w:rFonts w:hint="eastAsia" w:ascii="Times New Roman" w:hAnsi="Times New Roman" w:eastAsia="方正仿宋_GBK" w:cs="Times New Roman"/>
          <w:b/>
          <w:sz w:val="32"/>
          <w:szCs w:val="32"/>
        </w:rPr>
        <w:t>第一部分  部门整体绩效目标</w:t>
      </w:r>
    </w:p>
    <w:p>
      <w:pPr>
        <w:ind w:firstLine="560" w:firstLineChars="200"/>
        <w:jc w:val="left"/>
        <w:outlineLvl w:val="1"/>
        <w:rPr>
          <w:rFonts w:ascii="方正黑体_GBK" w:hAnsi="方正黑体_GBK" w:eastAsia="方正黑体_GBK" w:cs="方正黑体_GBK"/>
          <w:b/>
          <w:sz w:val="28"/>
        </w:rPr>
      </w:pPr>
      <w:r>
        <w:rPr>
          <w:rFonts w:hint="eastAsia" w:ascii="方正黑体_GBK" w:hAnsi="方正黑体_GBK" w:eastAsia="方正黑体_GBK" w:cs="方正黑体_GBK"/>
          <w:b/>
          <w:sz w:val="28"/>
        </w:rPr>
        <w:t>（一）总体绩效目标</w:t>
      </w:r>
    </w:p>
    <w:p>
      <w:pPr>
        <w:ind w:firstLine="640" w:firstLineChars="200"/>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在县委、县政府的坚强领导下，我局上下以习近平</w:t>
      </w:r>
      <w:r>
        <w:rPr>
          <w:rFonts w:hint="eastAsia" w:ascii="仿宋" w:hAnsi="仿宋" w:eastAsia="仿宋" w:cs="Times New Roman"/>
          <w:color w:val="000000" w:themeColor="text1"/>
          <w:sz w:val="32"/>
          <w:szCs w:val="32"/>
          <w:lang w:val="en-US" w:eastAsia="zh-CN"/>
          <w14:textFill>
            <w14:solidFill>
              <w14:schemeClr w14:val="tx1"/>
            </w14:solidFill>
          </w14:textFill>
        </w:rPr>
        <w:t>总书记</w:t>
      </w:r>
      <w:r>
        <w:rPr>
          <w:rFonts w:hint="eastAsia" w:ascii="仿宋" w:hAnsi="仿宋" w:eastAsia="仿宋" w:cs="Times New Roman"/>
          <w:color w:val="000000" w:themeColor="text1"/>
          <w:sz w:val="32"/>
          <w:szCs w:val="32"/>
          <w14:textFill>
            <w14:solidFill>
              <w14:schemeClr w14:val="tx1"/>
            </w14:solidFill>
          </w14:textFill>
        </w:rPr>
        <w:t>重要讲话精神为统领，全面贯彻落实中央和省市委关于疫情防控和经济发展决策部署，统筹推进疫情防控和高质量赶超发展，有序实施企业复工复产，持续加大投资和项目建设力度，积极推进社会经济常态化发展。</w:t>
      </w:r>
    </w:p>
    <w:p>
      <w:pPr>
        <w:ind w:firstLine="560" w:firstLineChars="200"/>
        <w:jc w:val="left"/>
        <w:outlineLvl w:val="1"/>
        <w:rPr>
          <w:rFonts w:ascii="方正黑体_GBK" w:hAnsi="方正黑体_GBK" w:eastAsia="方正黑体_GBK" w:cs="方正黑体_GBK"/>
          <w:b/>
          <w:sz w:val="28"/>
        </w:rPr>
      </w:pPr>
      <w:r>
        <w:rPr>
          <w:rFonts w:hint="eastAsia" w:ascii="方正黑体_GBK" w:hAnsi="方正黑体_GBK" w:eastAsia="方正黑体_GBK" w:cs="方正黑体_GBK"/>
          <w:b/>
          <w:sz w:val="28"/>
        </w:rPr>
        <w:t>（二）分项绩效目标</w:t>
      </w:r>
      <w:bookmarkStart w:id="1" w:name="_Toc9517"/>
      <w:bookmarkStart w:id="2" w:name="_Toc28623"/>
      <w:r>
        <w:rPr>
          <w:rFonts w:hint="eastAsia" w:ascii="方正黑体_GBK" w:hAnsi="方正黑体_GBK" w:eastAsia="方正黑体_GBK" w:cs="方正黑体_GBK"/>
          <w:b/>
          <w:sz w:val="28"/>
        </w:rPr>
        <w:fldChar w:fldCharType="begin"/>
      </w:r>
      <w:r>
        <w:rPr>
          <w:rFonts w:hint="eastAsia" w:ascii="方正黑体_GBK" w:hAnsi="方正黑体_GBK" w:eastAsia="方正黑体_GBK" w:cs="方正黑体_GBK"/>
          <w:b/>
          <w:sz w:val="28"/>
        </w:rPr>
        <w:instrText xml:space="preserve"> TC 分项绩效目标 \f A \l 1 </w:instrText>
      </w:r>
      <w:r>
        <w:rPr>
          <w:rFonts w:hint="eastAsia" w:ascii="方正黑体_GBK" w:hAnsi="方正黑体_GBK" w:eastAsia="方正黑体_GBK" w:cs="方正黑体_GBK"/>
          <w:b/>
          <w:sz w:val="28"/>
        </w:rPr>
        <w:fldChar w:fldCharType="end"/>
      </w:r>
      <w:bookmarkEnd w:id="1"/>
      <w:bookmarkEnd w:id="2"/>
    </w:p>
    <w:p>
      <w:pPr>
        <w:ind w:firstLine="640" w:firstLineChars="200"/>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hint="eastAsia" w:ascii="仿宋" w:hAnsi="仿宋" w:eastAsia="仿宋" w:cs="Times New Roman"/>
          <w:color w:val="000000" w:themeColor="text1"/>
          <w:sz w:val="32"/>
          <w:szCs w:val="32"/>
          <w:lang w:eastAsia="zh-CN"/>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加强经济运行监测。坚持把保经济、保运行作为首要任务，按照“以旬保月、以月保季、以季保年”的要求，加强生产总值、固定资产投资等主要指标运行监测调度和分析指导，及时反映经济运行动态，及时发现问题，及时采取应对措施，力争2021年全县生产总值和固定资产投资均增长6%。</w:t>
      </w:r>
    </w:p>
    <w:p>
      <w:pPr>
        <w:ind w:firstLine="640" w:firstLineChars="200"/>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2</w:t>
      </w:r>
      <w:r>
        <w:rPr>
          <w:rFonts w:hint="eastAsia" w:ascii="仿宋" w:hAnsi="仿宋" w:eastAsia="仿宋" w:cs="Times New Roman"/>
          <w:color w:val="000000" w:themeColor="text1"/>
          <w:sz w:val="32"/>
          <w:szCs w:val="32"/>
          <w:lang w:eastAsia="zh-CN"/>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加快重点项目谋划推进。始终坚持“项目为王、效率至上”理念，按照省市重点项目的标准和条件，结合经济开发区、东方食品城，筛选一批投资大、质量高的项目，建立谋划储备、开工建设、竣工投产三个台账；进一步完善县级领导包联重点项目机制，及时协调解决从签约落地至投产达效全过程遇到的困难和问题，确保签约项目快落地、落地项目快开工、开工项目快投产、投产项目快达效。2021年，争列省重点项目3个、市重点项目10个，实施投资超1000万元重点项目100个，其中亿元以上工业项目30个以上，全年完成投资70亿元，投产项目50个以上。</w:t>
      </w:r>
    </w:p>
    <w:p>
      <w:pPr>
        <w:ind w:firstLine="640" w:firstLineChars="200"/>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3</w:t>
      </w:r>
      <w:r>
        <w:rPr>
          <w:rFonts w:hint="eastAsia" w:ascii="仿宋" w:hAnsi="仿宋" w:eastAsia="仿宋" w:cs="Times New Roman"/>
          <w:color w:val="000000" w:themeColor="text1"/>
          <w:sz w:val="32"/>
          <w:szCs w:val="32"/>
          <w:lang w:eastAsia="zh-CN"/>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加强环境保护和能源保障。做好双代电力、燃气保供工作，做好元旦、春节、两会等重要时间节点的电力供应，确保全县电力安全；完成市下达的煤炭消费控制量、节能目标任务，对烧结类墙材企业开展常态化巡查检查，确保不发生违规生产行为。</w:t>
      </w:r>
    </w:p>
    <w:p>
      <w:pPr>
        <w:ind w:firstLine="640" w:firstLineChars="200"/>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4</w:t>
      </w:r>
      <w:r>
        <w:rPr>
          <w:rFonts w:hint="eastAsia" w:ascii="仿宋" w:hAnsi="仿宋" w:eastAsia="仿宋" w:cs="Times New Roman"/>
          <w:color w:val="000000" w:themeColor="text1"/>
          <w:sz w:val="32"/>
          <w:szCs w:val="32"/>
          <w:lang w:eastAsia="zh-CN"/>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抓好粮食安全和救灾物资储备。在原山口粮站旧址新建2座救灾物资储备库，投资538万元，建筑面积2540平方米，以及配套设施等。抓好隆尧县京隆粮油购销有限责任公司粮食仓储扩建项目建设，督导企业加快建设进度，争取2021年11月底前按时按质完成项目建设，并投入使用。做好粮食行政执法工作，确保粮食市场供应平稳，价格稳定，粮食购销规范有序，严厉打击违法违规、坑农害农涉粮案件。</w:t>
      </w:r>
    </w:p>
    <w:p>
      <w:pPr>
        <w:ind w:firstLine="640" w:firstLineChars="200"/>
        <w:jc w:val="left"/>
        <w:rPr>
          <w:rFonts w:ascii="仿宋" w:hAnsi="仿宋" w:eastAsia="仿宋" w:cs="方正仿宋_GBK"/>
          <w:sz w:val="30"/>
          <w:szCs w:val="30"/>
        </w:rPr>
      </w:pPr>
      <w:r>
        <w:rPr>
          <w:rFonts w:hint="eastAsia" w:ascii="仿宋" w:hAnsi="仿宋" w:eastAsia="仿宋" w:cs="Times New Roman"/>
          <w:color w:val="000000" w:themeColor="text1"/>
          <w:sz w:val="32"/>
          <w:szCs w:val="32"/>
          <w14:textFill>
            <w14:solidFill>
              <w14:schemeClr w14:val="tx1"/>
            </w14:solidFill>
          </w14:textFill>
        </w:rPr>
        <w:t>5</w:t>
      </w:r>
      <w:r>
        <w:rPr>
          <w:rFonts w:hint="eastAsia" w:ascii="仿宋" w:hAnsi="仿宋" w:eastAsia="仿宋" w:cs="Times New Roman"/>
          <w:color w:val="000000" w:themeColor="text1"/>
          <w:sz w:val="32"/>
          <w:szCs w:val="32"/>
          <w:lang w:eastAsia="zh-CN"/>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做好其他方面重点工作。加强对中央及地方政府投资项目监管力度，充分发挥政府资金效益。做好成本监审、定价、物价定损评估、收费听证等工作。</w:t>
      </w:r>
    </w:p>
    <w:p>
      <w:pPr>
        <w:ind w:firstLine="600" w:firstLineChars="200"/>
        <w:jc w:val="left"/>
        <w:outlineLvl w:val="1"/>
        <w:rPr>
          <w:rFonts w:ascii="黑体" w:hAnsi="黑体" w:eastAsia="黑体" w:cs="宋体"/>
          <w:sz w:val="30"/>
          <w:szCs w:val="30"/>
        </w:rPr>
      </w:pPr>
      <w:r>
        <w:rPr>
          <w:rFonts w:hint="eastAsia" w:ascii="黑体" w:hAnsi="黑体" w:eastAsia="黑体" w:cs="方正黑体_GBK"/>
          <w:sz w:val="30"/>
          <w:szCs w:val="30"/>
        </w:rPr>
        <w:t>（三）工作保障措施</w:t>
      </w:r>
      <w:bookmarkStart w:id="3" w:name="_Toc6200"/>
      <w:bookmarkStart w:id="4" w:name="_Toc12949"/>
      <w:r>
        <w:rPr>
          <w:rFonts w:hint="eastAsia" w:ascii="黑体" w:hAnsi="黑体" w:eastAsia="黑体"/>
          <w:sz w:val="30"/>
          <w:szCs w:val="30"/>
        </w:rPr>
        <w:fldChar w:fldCharType="begin"/>
      </w:r>
      <w:r>
        <w:rPr>
          <w:rFonts w:hint="eastAsia" w:ascii="黑体" w:hAnsi="黑体" w:eastAsia="黑体" w:cs="方正黑体_GBK"/>
          <w:sz w:val="30"/>
          <w:szCs w:val="30"/>
        </w:rPr>
        <w:instrText xml:space="preserve"> TC 工作保障措施 \f A \l 1 </w:instrText>
      </w:r>
      <w:r>
        <w:rPr>
          <w:rFonts w:hint="eastAsia" w:ascii="黑体" w:hAnsi="黑体" w:eastAsia="黑体" w:cs="方正黑体_GBK"/>
          <w:sz w:val="30"/>
          <w:szCs w:val="30"/>
        </w:rPr>
        <w:fldChar w:fldCharType="end"/>
      </w:r>
      <w:bookmarkEnd w:id="3"/>
      <w:bookmarkEnd w:id="4"/>
    </w:p>
    <w:p>
      <w:pPr>
        <w:tabs>
          <w:tab w:val="left" w:pos="1"/>
        </w:tabs>
        <w:spacing w:line="600" w:lineRule="exact"/>
        <w:ind w:left="1" w:firstLine="645"/>
        <w:jc w:val="both"/>
        <w:rPr>
          <w:rFonts w:ascii="仿宋" w:hAnsi="仿宋" w:eastAsia="仿宋"/>
          <w:sz w:val="32"/>
        </w:rPr>
      </w:pPr>
      <w:r>
        <w:rPr>
          <w:rFonts w:ascii="仿宋" w:hAnsi="仿宋" w:eastAsia="仿宋"/>
          <w:sz w:val="32"/>
        </w:rPr>
        <w:t>1、加强国民经济和社会发展的宏观指导。加强政策解读和调研工作，充分发挥参谋助手作用。我局将密切关注国内政策动向，深入乡镇和企业做好县域经济发展等重大问题的调研，认真分析明年经济发展环境，精心谋划2021年经济盘子，为县委、县政府决策当好参谋助手。</w:t>
      </w:r>
    </w:p>
    <w:p>
      <w:pPr>
        <w:tabs>
          <w:tab w:val="left" w:pos="1"/>
        </w:tabs>
        <w:spacing w:line="600" w:lineRule="exact"/>
        <w:ind w:left="1" w:firstLine="645"/>
        <w:jc w:val="both"/>
        <w:rPr>
          <w:rFonts w:ascii="仿宋" w:hAnsi="仿宋" w:eastAsia="仿宋"/>
          <w:sz w:val="32"/>
        </w:rPr>
      </w:pPr>
      <w:r>
        <w:rPr>
          <w:rFonts w:ascii="仿宋" w:hAnsi="仿宋" w:eastAsia="仿宋"/>
          <w:sz w:val="32"/>
        </w:rPr>
        <w:t>2、加强项目服务管理，加大上级资金争跑力度。一是贯彻落实《隆尧县重点项目管理办法》，加大项目调度推进，实行项目定期调度，及时了解项目进展情况和存在的问题，及早拿出解决办法，为项目实施创造有利条件，确保项目按时间进度推进。二是积极申报2021年省市重点项目。认真筛选确定一批符合国家产业政策的大项目、好项目，加快推进力度，完善各项前期手续，促其尽快达到省市重点项目的标准和条件。三是加大上级资金争跑力度。指导各项目单位做好项目入库，做好政府投资项目三年滚动投资计划工作；及时解读国家投资政策，指导相关部门和企业认真筛选和包装项目，围绕社会事业、资源和环境、产业振兴和技术改造等几个主要方向，认真谋划2021年项目，积极争取中央和省级资金，为我县企业的升级改造和重大基础设施建设争取更大的支持。</w:t>
      </w:r>
    </w:p>
    <w:p>
      <w:pPr>
        <w:spacing w:line="600" w:lineRule="exact"/>
        <w:ind w:firstLine="640" w:firstLineChars="200"/>
        <w:jc w:val="both"/>
        <w:rPr>
          <w:rFonts w:ascii="仿宋" w:hAnsi="仿宋" w:eastAsia="仿宋"/>
          <w:sz w:val="32"/>
        </w:rPr>
      </w:pPr>
      <w:r>
        <w:rPr>
          <w:rFonts w:ascii="仿宋" w:hAnsi="仿宋" w:eastAsia="仿宋"/>
          <w:sz w:val="32"/>
        </w:rPr>
        <w:t>3、深入推进节能工作。一是建立能耗指标控制体系。及时掌握能耗动态，严密关注全社会购电量情况，严格控制新上高耗电企业；加大重点用能企业节能监察力度，加大重点用能企业节能管理工作，提高重点企业产品附加值，提高企业产品利润率。</w:t>
      </w:r>
    </w:p>
    <w:p>
      <w:pPr>
        <w:spacing w:line="600" w:lineRule="exact"/>
        <w:ind w:firstLine="640"/>
        <w:jc w:val="both"/>
        <w:rPr>
          <w:rFonts w:ascii="仿宋" w:hAnsi="仿宋" w:eastAsia="仿宋"/>
          <w:sz w:val="32"/>
        </w:rPr>
      </w:pPr>
      <w:r>
        <w:rPr>
          <w:rFonts w:ascii="仿宋" w:hAnsi="仿宋" w:eastAsia="仿宋"/>
          <w:sz w:val="32"/>
        </w:rPr>
        <w:t>4、进一步加强电力管理工作。坚持开展电力设施保护工作；抓好农村面貌改造提升活动重点村的亮化实施及验收工作；长期执行好负面清单制度，在审查新上变压器企业时，对不符合产业政策的企业拒绝供电，引导企业向节能、环保方向发展。</w:t>
      </w:r>
    </w:p>
    <w:p>
      <w:pPr>
        <w:spacing w:line="600" w:lineRule="exact"/>
        <w:ind w:firstLine="640"/>
        <w:jc w:val="both"/>
        <w:rPr>
          <w:rFonts w:ascii="仿宋" w:hAnsi="仿宋" w:eastAsia="仿宋"/>
          <w:sz w:val="32"/>
        </w:rPr>
      </w:pPr>
      <w:r>
        <w:rPr>
          <w:rFonts w:ascii="仿宋" w:hAnsi="仿宋" w:eastAsia="仿宋"/>
          <w:sz w:val="32"/>
        </w:rPr>
        <w:t>5、加强体改工作力度。按照轻重缓急、依法有序的原则，加快国企改革进度。按照《破产法》规定的程序，分别有序进行资产变现与人员安置工作。</w:t>
      </w:r>
    </w:p>
    <w:p>
      <w:pPr>
        <w:spacing w:line="600" w:lineRule="exact"/>
        <w:ind w:firstLine="640"/>
        <w:jc w:val="both"/>
        <w:rPr>
          <w:rFonts w:ascii="仿宋" w:hAnsi="仿宋" w:eastAsia="仿宋"/>
          <w:sz w:val="32"/>
        </w:rPr>
      </w:pPr>
      <w:r>
        <w:rPr>
          <w:rFonts w:ascii="仿宋" w:hAnsi="仿宋" w:eastAsia="仿宋"/>
          <w:sz w:val="32"/>
        </w:rPr>
        <w:t>6、将年度工作目标层层落实到人，主管领导</w:t>
      </w:r>
      <w:r>
        <w:rPr>
          <w:rFonts w:hint="eastAsia" w:ascii="仿宋" w:hAnsi="仿宋" w:eastAsia="仿宋"/>
          <w:sz w:val="32"/>
          <w:lang w:eastAsia="zh-CN"/>
        </w:rPr>
        <w:t>做好部署</w:t>
      </w:r>
      <w:r>
        <w:rPr>
          <w:rFonts w:ascii="仿宋" w:hAnsi="仿宋" w:eastAsia="仿宋"/>
          <w:sz w:val="32"/>
        </w:rPr>
        <w:t>，股室之间加强沟通协调，确保完成发展目标。</w:t>
      </w:r>
    </w:p>
    <w:p>
      <w:pPr>
        <w:spacing w:line="600" w:lineRule="exact"/>
        <w:ind w:firstLine="678"/>
        <w:jc w:val="both"/>
        <w:rPr>
          <w:rFonts w:ascii="仿宋" w:hAnsi="仿宋" w:eastAsia="仿宋"/>
          <w:sz w:val="32"/>
        </w:rPr>
      </w:pPr>
      <w:r>
        <w:rPr>
          <w:rFonts w:ascii="仿宋" w:hAnsi="仿宋" w:eastAsia="仿宋"/>
          <w:sz w:val="32"/>
        </w:rPr>
        <w:t>7、加强机关干部职工的政治理论和业务知识学习。进一步提高认识，统一思想，改进工作方法，提升工作效率，力促全局工作保质保量高效完成。</w:t>
      </w:r>
    </w:p>
    <w:p>
      <w:pPr>
        <w:spacing w:line="600" w:lineRule="exact"/>
        <w:ind w:firstLine="640"/>
        <w:jc w:val="both"/>
        <w:rPr>
          <w:rFonts w:ascii="仿宋" w:hAnsi="仿宋" w:eastAsia="仿宋"/>
          <w:sz w:val="32"/>
        </w:rPr>
      </w:pPr>
      <w:r>
        <w:rPr>
          <w:rFonts w:ascii="仿宋" w:hAnsi="仿宋" w:eastAsia="仿宋"/>
          <w:sz w:val="32"/>
        </w:rPr>
        <w:t>8、加强调度和监督运行。加大经济运行监测，按照“以旬保月、以月保季、以季保年”的工作要求，加强对主要经济指标运行监测调度，并将主要经济指标分解下达到各乡镇（园区），确保如期完成全年各项目标任务。</w:t>
      </w:r>
    </w:p>
    <w:p>
      <w:pPr>
        <w:spacing w:line="600" w:lineRule="exact"/>
        <w:ind w:firstLine="640"/>
        <w:jc w:val="both"/>
        <w:rPr>
          <w:sz w:val="32"/>
        </w:rPr>
      </w:pPr>
      <w:r>
        <w:rPr>
          <w:rFonts w:ascii="仿宋" w:hAnsi="仿宋" w:eastAsia="仿宋"/>
          <w:sz w:val="32"/>
        </w:rPr>
        <w:t>9、开展粮食系统安全责任制考核和粮食流通执法监督检查，确保粮食质量安全，加强粮食仓储能力建设，新增粮食仓容2</w:t>
      </w:r>
      <w:r>
        <w:rPr>
          <w:rFonts w:hint="eastAsia" w:ascii="仿宋" w:hAnsi="仿宋" w:eastAsia="仿宋"/>
          <w:sz w:val="32"/>
          <w:lang w:val="en-US" w:eastAsia="zh-CN"/>
        </w:rPr>
        <w:t>万</w:t>
      </w:r>
      <w:r>
        <w:rPr>
          <w:rFonts w:ascii="仿宋" w:hAnsi="仿宋" w:eastAsia="仿宋"/>
          <w:sz w:val="32"/>
        </w:rPr>
        <w:t>吨，做好粮食收储购销工作，加强食盐储备管理工作，保持食盐市场稳定，加强救灾物资储备管理，确保救灾物资的安全和供应，继续做好维稳工作，对重点慰问对象做好思想工作，确保不出现严重上访事件。</w:t>
      </w:r>
    </w:p>
    <w:p>
      <w:pPr>
        <w:ind w:firstLine="640" w:firstLineChars="200"/>
        <w:jc w:val="left"/>
        <w:rPr>
          <w:rFonts w:ascii="仿宋" w:hAnsi="仿宋" w:eastAsia="仿宋" w:cs="方正仿宋_GBK"/>
          <w:sz w:val="32"/>
          <w:szCs w:val="32"/>
        </w:rPr>
      </w:pPr>
    </w:p>
    <w:p>
      <w:pPr>
        <w:ind w:firstLine="420" w:firstLineChars="200"/>
        <w:jc w:val="center"/>
        <w:rPr>
          <w:rFonts w:ascii="Times New Roman" w:hAnsi="宋体" w:cs="宋体"/>
        </w:rPr>
      </w:pPr>
      <w:r>
        <w:rPr>
          <w:rFonts w:hint="eastAsia" w:ascii="方正书宋_GBK" w:hAnsi="方正书宋_GBK" w:eastAsia="方正书宋_GBK" w:cs="方正书宋_GBK"/>
        </w:rPr>
        <w:t xml:space="preserve"> </w:t>
      </w:r>
    </w:p>
    <w:p>
      <w:pPr>
        <w:ind w:firstLine="420" w:firstLineChars="200"/>
        <w:rPr>
          <w:rFonts w:ascii="方正书宋_GBK" w:hAnsi="方正书宋_GBK" w:eastAsia="方正书宋_GBK" w:cs="方正书宋_GBK"/>
        </w:rPr>
        <w:sectPr>
          <w:footerReference r:id="rId3" w:type="default"/>
          <w:pgSz w:w="11906" w:h="16838"/>
          <w:pgMar w:top="1984" w:right="1304" w:bottom="1134" w:left="1304" w:header="851" w:footer="992" w:gutter="0"/>
          <w:pgNumType w:start="1"/>
          <w:cols w:space="720" w:num="1"/>
          <w:docGrid w:type="lines" w:linePitch="312" w:charSpace="0"/>
        </w:sectPr>
      </w:pPr>
    </w:p>
    <w:p>
      <w:pPr>
        <w:rPr>
          <w:rFonts w:ascii="Times New Roman" w:hAnsi="宋体" w:cs="宋体"/>
          <w:sz w:val="52"/>
        </w:rPr>
      </w:pPr>
    </w:p>
    <w:p>
      <w:pPr>
        <w:rPr>
          <w:rFonts w:ascii="Times New Roman" w:hAnsi="宋体" w:cs="宋体"/>
          <w:sz w:val="52"/>
        </w:rPr>
      </w:pPr>
      <w:r>
        <w:rPr>
          <w:rFonts w:hint="eastAsia" w:ascii="方正小标宋_GBK" w:hAnsi="方正小标宋_GBK" w:eastAsia="方正小标宋_GBK" w:cs="方正小标宋_GBK"/>
          <w:sz w:val="52"/>
        </w:rPr>
        <w:t xml:space="preserve"> </w:t>
      </w:r>
    </w:p>
    <w:p>
      <w:pPr>
        <w:rPr>
          <w:rFonts w:ascii="Times New Roman" w:hAnsi="宋体" w:cs="宋体"/>
          <w:sz w:val="52"/>
        </w:rPr>
      </w:pPr>
      <w:r>
        <w:rPr>
          <w:rFonts w:hint="eastAsia" w:ascii="方正小标宋_GBK" w:hAnsi="方正小标宋_GBK" w:eastAsia="方正小标宋_GBK" w:cs="方正小标宋_GBK"/>
          <w:sz w:val="52"/>
        </w:rPr>
        <w:t xml:space="preserve"> </w:t>
      </w:r>
    </w:p>
    <w:p>
      <w:pPr>
        <w:jc w:val="center"/>
        <w:rPr>
          <w:rFonts w:ascii="Times New Roman" w:hAnsi="宋体" w:cs="宋体"/>
          <w:sz w:val="44"/>
        </w:rPr>
      </w:pPr>
      <w:r>
        <w:rPr>
          <w:rFonts w:hint="eastAsia" w:ascii="方正小标宋_GBK" w:hAnsi="方正小标宋_GBK" w:eastAsia="方正小标宋_GBK" w:cs="方正小标宋_GBK"/>
          <w:sz w:val="44"/>
        </w:rPr>
        <w:t>第二部分</w:t>
      </w:r>
    </w:p>
    <w:p>
      <w:pPr>
        <w:jc w:val="center"/>
        <w:rPr>
          <w:rFonts w:ascii="Times New Roman" w:hAnsi="宋体" w:cs="宋体"/>
          <w:sz w:val="44"/>
        </w:rPr>
      </w:pPr>
      <w:r>
        <w:rPr>
          <w:rFonts w:hint="eastAsia" w:ascii="方正小标宋_GBK" w:hAnsi="方正小标宋_GBK" w:eastAsia="方正小标宋_GBK" w:cs="方正小标宋_GBK"/>
          <w:sz w:val="44"/>
        </w:rPr>
        <w:t xml:space="preserve"> </w:t>
      </w:r>
    </w:p>
    <w:p>
      <w:pPr>
        <w:jc w:val="center"/>
        <w:outlineLvl w:val="0"/>
        <w:rPr>
          <w:rFonts w:ascii="Times New Roman" w:hAnsi="宋体" w:cs="宋体"/>
          <w:sz w:val="44"/>
        </w:rPr>
      </w:pPr>
      <w:r>
        <w:rPr>
          <w:rFonts w:hint="eastAsia" w:ascii="方正小标宋_GBK" w:hAnsi="方正小标宋_GBK" w:eastAsia="方正小标宋_GBK" w:cs="方正小标宋_GBK"/>
          <w:sz w:val="44"/>
        </w:rPr>
        <w:t>预算项目绩效目标</w:t>
      </w:r>
    </w:p>
    <w:p>
      <w:pPr>
        <w:jc w:val="center"/>
        <w:rPr>
          <w:rFonts w:ascii="方正书宋_GBK" w:hAnsi="方正书宋_GBK" w:eastAsia="方正书宋_GBK" w:cs="方正书宋_GBK"/>
        </w:rPr>
        <w:sectPr>
          <w:pgSz w:w="11906" w:h="16838"/>
          <w:pgMar w:top="1984" w:right="1304" w:bottom="1134" w:left="1304" w:header="851" w:footer="992" w:gutter="0"/>
          <w:cols w:space="720" w:num="1"/>
          <w:docGrid w:type="lines" w:linePitch="312" w:charSpace="0"/>
        </w:sectPr>
      </w:pPr>
      <w:r>
        <w:rPr>
          <w:rFonts w:hint="eastAsia" w:ascii="方正书宋_GBK" w:hAnsi="方正书宋_GBK" w:eastAsia="方正书宋_GBK" w:cs="方正书宋_GBK"/>
        </w:rPr>
        <w:t xml:space="preserve"> </w:t>
      </w:r>
    </w:p>
    <w:p>
      <w:pPr>
        <w:jc w:val="both"/>
        <w:rPr>
          <w:rFonts w:ascii="方正书宋_GBK" w:hAnsi="方正书宋_GBK" w:eastAsia="方正书宋_GBK" w:cs="方正书宋_GBK"/>
        </w:rPr>
      </w:pPr>
    </w:p>
    <w:p>
      <w:pPr>
        <w:ind w:firstLine="560" w:firstLineChars="200"/>
        <w:jc w:val="left"/>
        <w:outlineLvl w:val="1"/>
        <w:rPr>
          <w:rFonts w:ascii="Times New Roman" w:hAnsi="宋体" w:cs="宋体"/>
          <w:b/>
          <w:sz w:val="28"/>
        </w:rPr>
      </w:pPr>
      <w:r>
        <w:rPr>
          <w:rFonts w:hint="eastAsia" w:ascii="方正仿宋_GBK" w:hAnsi="方正仿宋_GBK" w:eastAsia="方正仿宋_GBK" w:cs="方正仿宋_GBK"/>
          <w:b/>
          <w:sz w:val="28"/>
        </w:rPr>
        <w:t>1、</w:t>
      </w:r>
      <w:r>
        <w:rPr>
          <w:rFonts w:hint="eastAsia" w:ascii="方正仿宋_GBK" w:hAnsi="方正仿宋_GBK" w:eastAsia="方正仿宋_GBK" w:cs="方正仿宋_GBK"/>
          <w:b/>
          <w:sz w:val="28"/>
          <w:lang w:val="en-US" w:eastAsia="zh-CN"/>
        </w:rPr>
        <w:t>隆尧县“十四五”规划编制经费</w:t>
      </w:r>
      <w:r>
        <w:rPr>
          <w:rFonts w:hint="eastAsia" w:ascii="方正仿宋_GBK" w:hAnsi="方正仿宋_GBK" w:eastAsia="方正仿宋_GBK" w:cs="方正仿宋_GBK"/>
          <w:b/>
          <w:sz w:val="28"/>
        </w:rPr>
        <w:t>绩效目标表</w:t>
      </w:r>
      <w:bookmarkStart w:id="5" w:name="_Toc23440"/>
      <w:r>
        <w:rPr>
          <w:rFonts w:hint="eastAsia"/>
        </w:rPr>
        <w:fldChar w:fldCharType="begin"/>
      </w:r>
      <w:r>
        <w:rPr>
          <w:rFonts w:hint="eastAsia" w:ascii="方正仿宋_GBK" w:hAnsi="方正仿宋_GBK" w:eastAsia="方正仿宋_GBK" w:cs="方正仿宋_GBK"/>
          <w:b/>
          <w:sz w:val="28"/>
        </w:rPr>
        <w:instrText xml:space="preserve"> TC 1、办案补助/自收自支人员经费绩效目标表 \f C \l 1 </w:instrText>
      </w:r>
      <w:r>
        <w:rPr>
          <w:rFonts w:hint="eastAsia" w:ascii="方正仿宋_GBK" w:hAnsi="方正仿宋_GBK" w:eastAsia="方正仿宋_GBK" w:cs="方正仿宋_GBK"/>
          <w:b/>
          <w:sz w:val="28"/>
        </w:rPr>
        <w:fldChar w:fldCharType="end"/>
      </w:r>
      <w:bookmarkEnd w:id="5"/>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13052521Y9LYMLGY2CQ8F</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隆尧县</w:t>
            </w:r>
            <w:r>
              <w:rPr>
                <w:rFonts w:hint="cs" w:ascii="方正书宋_GBK" w:eastAsia="方正书宋_GBK"/>
              </w:rPr>
              <w:t>“</w:t>
            </w:r>
            <w:r>
              <w:rPr>
                <w:rFonts w:hint="eastAsia" w:ascii="方正书宋_GBK" w:eastAsia="方正书宋_GBK"/>
              </w:rPr>
              <w:t>十四五</w:t>
            </w:r>
            <w:r>
              <w:rPr>
                <w:rFonts w:hint="cs" w:ascii="方正书宋_GBK" w:eastAsia="方正书宋_GBK"/>
              </w:rPr>
              <w:t>”</w:t>
            </w:r>
            <w:r>
              <w:rPr>
                <w:rFonts w:hint="eastAsia" w:ascii="方正书宋_GBK" w:eastAsia="方正书宋_GBK"/>
              </w:rPr>
              <w:t>规划编制经费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第三方</w:t>
            </w:r>
            <w:r>
              <w:rPr>
                <w:rFonts w:hint="eastAsia" w:ascii="方正书宋_GBK" w:eastAsia="方正书宋_GBK"/>
                <w:lang w:eastAsia="zh-CN"/>
              </w:rPr>
              <w:t>“十四五”规划</w:t>
            </w:r>
            <w:r>
              <w:rPr>
                <w:rFonts w:hint="eastAsia" w:ascii="方正书宋_GBK" w:eastAsia="方正书宋_GBK"/>
              </w:rPr>
              <w:t>编制费用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w:t>
            </w:r>
            <w:r>
              <w:rPr>
                <w:rFonts w:hint="eastAsia" w:ascii="方正书宋_GBK" w:eastAsia="方正书宋_GBK"/>
                <w:lang w:eastAsia="zh-CN"/>
              </w:rPr>
              <w:t>“十四五”规划</w:t>
            </w:r>
            <w:r>
              <w:rPr>
                <w:rFonts w:hint="eastAsia" w:ascii="方正书宋_GBK" w:eastAsia="方正书宋_GBK"/>
              </w:rPr>
              <w:t>编制工作</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发挥规划对隆尧经济社会发展的引领作用</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获得人大审议通过</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调研报告数量</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提交调研报告数量</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次</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合同约定次数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cs" w:ascii="方正书宋_GBK" w:eastAsia="方正书宋_GBK"/>
              </w:rPr>
              <w:t>“</w:t>
            </w:r>
            <w:r>
              <w:rPr>
                <w:rFonts w:hint="eastAsia" w:ascii="方正书宋_GBK" w:eastAsia="方正书宋_GBK"/>
              </w:rPr>
              <w:t>十四五</w:t>
            </w:r>
            <w:r>
              <w:rPr>
                <w:rFonts w:hint="cs" w:ascii="方正书宋_GBK" w:eastAsia="方正书宋_GBK"/>
              </w:rPr>
              <w:t>”</w:t>
            </w:r>
            <w:r>
              <w:rPr>
                <w:rFonts w:hint="eastAsia" w:ascii="方正书宋_GBK" w:eastAsia="方正书宋_GBK"/>
              </w:rPr>
              <w:t>规划如期完成情况</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lang w:eastAsia="zh-CN"/>
              </w:rPr>
              <w:t>“十四五”规划</w:t>
            </w:r>
            <w:r>
              <w:rPr>
                <w:rFonts w:hint="eastAsia" w:ascii="方正书宋_GBK" w:eastAsia="方正书宋_GBK"/>
              </w:rPr>
              <w:t>按期完成率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98%</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人大会审议时间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cs" w:ascii="方正书宋_GBK" w:eastAsia="方正书宋_GBK"/>
              </w:rPr>
            </w:pPr>
            <w:r>
              <w:rPr>
                <w:rFonts w:hint="eastAsia" w:ascii="方正书宋_GBK" w:eastAsia="方正书宋_GBK"/>
              </w:rPr>
              <w:t>完成及时率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lang w:eastAsia="zh-CN"/>
              </w:rPr>
              <w:t>“十四五”规划</w:t>
            </w:r>
            <w:r>
              <w:rPr>
                <w:rFonts w:hint="eastAsia" w:ascii="方正书宋_GBK" w:eastAsia="方正书宋_GBK"/>
              </w:rPr>
              <w:t>完成及时率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人大会审议时间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按预算资金完成率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按预算资金完成率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16</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项目预算资金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lang w:eastAsia="zh-CN"/>
              </w:rPr>
              <w:t>“十四五”规划</w:t>
            </w:r>
            <w:r>
              <w:rPr>
                <w:rFonts w:hint="eastAsia" w:ascii="方正书宋_GBK" w:eastAsia="方正书宋_GBK"/>
              </w:rPr>
              <w:t>对经济社会发展的贡献</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lang w:eastAsia="zh-CN"/>
              </w:rPr>
              <w:t>“十四五”规划</w:t>
            </w:r>
            <w:r>
              <w:rPr>
                <w:rFonts w:hint="eastAsia" w:ascii="方正书宋_GBK" w:eastAsia="方正书宋_GBK"/>
              </w:rPr>
              <w:t>对经济社会发展的指导作用</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规划对县域经济的作用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群众对</w:t>
            </w:r>
            <w:r>
              <w:rPr>
                <w:rFonts w:hint="eastAsia" w:ascii="方正书宋_GBK" w:eastAsia="方正书宋_GBK"/>
                <w:lang w:eastAsia="zh-CN"/>
              </w:rPr>
              <w:t>“十四五”规划</w:t>
            </w:r>
            <w:r>
              <w:rPr>
                <w:rFonts w:hint="eastAsia" w:ascii="方正书宋_GBK" w:eastAsia="方正书宋_GBK"/>
              </w:rPr>
              <w:t>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r>
    </w:tbl>
    <w:p>
      <w:pPr>
        <w:spacing w:line="300" w:lineRule="exact"/>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jc w:val="left"/>
        <w:rPr>
          <w:rFonts w:ascii="方正书宋_GBK" w:hAnsi="方正书宋_GBK" w:eastAsia="方正书宋_GBK" w:cs="方正书宋_GBK"/>
          <w:b/>
        </w:rPr>
      </w:pPr>
    </w:p>
    <w:p>
      <w:pPr>
        <w:ind w:firstLine="560" w:firstLineChars="200"/>
        <w:jc w:val="left"/>
        <w:outlineLvl w:val="1"/>
        <w:rPr>
          <w:rFonts w:hint="eastAsia" w:ascii="方正仿宋_GBK" w:hAnsi="方正仿宋_GBK" w:eastAsia="方正仿宋_GBK" w:cs="方正仿宋_GBK"/>
          <w:b/>
          <w:sz w:val="28"/>
        </w:rPr>
      </w:pPr>
    </w:p>
    <w:p>
      <w:pPr>
        <w:ind w:firstLine="560" w:firstLineChars="200"/>
        <w:jc w:val="left"/>
        <w:outlineLvl w:val="1"/>
        <w:rPr>
          <w:rFonts w:hint="eastAsia" w:ascii="方正仿宋_GBK" w:hAnsi="方正仿宋_GBK" w:eastAsia="方正仿宋_GBK" w:cs="方正仿宋_GBK"/>
          <w:b/>
          <w:sz w:val="28"/>
        </w:rPr>
      </w:pPr>
    </w:p>
    <w:p>
      <w:pPr>
        <w:ind w:firstLine="560" w:firstLineChars="200"/>
        <w:jc w:val="left"/>
        <w:outlineLvl w:val="1"/>
        <w:rPr>
          <w:rFonts w:hint="eastAsia" w:ascii="方正仿宋_GBK" w:hAnsi="方正仿宋_GBK" w:eastAsia="方正仿宋_GBK" w:cs="方正仿宋_GBK"/>
          <w:b/>
          <w:sz w:val="28"/>
        </w:rPr>
      </w:pPr>
    </w:p>
    <w:p>
      <w:pPr>
        <w:ind w:firstLine="560" w:firstLineChars="200"/>
        <w:jc w:val="left"/>
        <w:outlineLvl w:val="1"/>
        <w:rPr>
          <w:rFonts w:ascii="方正书宋_GBK" w:hAnsi="方正书宋_GBK" w:eastAsia="方正书宋_GBK" w:cs="方正书宋_GBK"/>
          <w:b/>
        </w:rPr>
      </w:pPr>
      <w:r>
        <w:rPr>
          <w:rFonts w:hint="eastAsia" w:ascii="方正仿宋_GBK" w:hAnsi="方正仿宋_GBK" w:eastAsia="方正仿宋_GBK" w:cs="方正仿宋_GBK"/>
          <w:b/>
          <w:sz w:val="28"/>
        </w:rPr>
        <w:t>2、</w:t>
      </w:r>
      <w:r>
        <w:rPr>
          <w:rFonts w:hint="eastAsia" w:ascii="方正仿宋_GBK" w:hAnsi="方正仿宋_GBK" w:eastAsia="方正仿宋_GBK" w:cs="方正仿宋_GBK"/>
          <w:b/>
          <w:sz w:val="28"/>
          <w:lang w:val="en-US" w:eastAsia="zh-CN"/>
        </w:rPr>
        <w:t>全县重点项目建设经费</w:t>
      </w:r>
      <w:r>
        <w:rPr>
          <w:rFonts w:hint="eastAsia" w:ascii="方正仿宋_GBK" w:hAnsi="方正仿宋_GBK" w:eastAsia="方正仿宋_GBK" w:cs="方正仿宋_GBK"/>
          <w:b/>
          <w:sz w:val="28"/>
        </w:rPr>
        <w:t>绩效目标表</w:t>
      </w:r>
      <w:bookmarkStart w:id="6" w:name="_Toc21887"/>
      <w:r>
        <w:rPr>
          <w:rFonts w:hint="eastAsia"/>
        </w:rPr>
        <w:fldChar w:fldCharType="begin"/>
      </w:r>
      <w:r>
        <w:rPr>
          <w:rFonts w:hint="eastAsia" w:ascii="方正仿宋_GBK" w:hAnsi="方正仿宋_GBK" w:eastAsia="方正仿宋_GBK" w:cs="方正仿宋_GBK"/>
          <w:b/>
          <w:sz w:val="28"/>
        </w:rPr>
        <w:instrText xml:space="preserve"> TC 2、第三方成本核算（联村供水出租车运行农村客运班车成本）绩效目标表 \f C \l 1 </w:instrText>
      </w:r>
      <w:r>
        <w:rPr>
          <w:rFonts w:hint="eastAsia" w:ascii="方正仿宋_GBK" w:hAnsi="方正仿宋_GBK" w:eastAsia="方正仿宋_GBK" w:cs="方正仿宋_GBK"/>
          <w:b/>
          <w:sz w:val="28"/>
        </w:rPr>
        <w:fldChar w:fldCharType="end"/>
      </w:r>
      <w:bookmarkEnd w:id="6"/>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13052521E5HDU4SO6YA87</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全县重点项目建设经费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举办两次项目集中开工仪式开展项目观摩，加大招商引资力度，促进经济发展，加快项目签约落地</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举办两次项目集中开工仪式</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加大招商引资力度，促进经济发展</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开展项目观摩</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招商引资项目个数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全年落地项目个数</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项目落地</w:t>
            </w:r>
            <w:r>
              <w:rPr>
                <w:rFonts w:ascii="方正书宋_GBK" w:eastAsia="方正书宋_GBK"/>
              </w:rPr>
              <w:t>5</w:t>
            </w:r>
            <w:r>
              <w:rPr>
                <w:rFonts w:hint="eastAsia" w:ascii="方正书宋_GBK" w:eastAsia="方正书宋_GBK"/>
              </w:rPr>
              <w:t>个以上</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县委、</w:t>
            </w:r>
            <w:r>
              <w:rPr>
                <w:rFonts w:hint="eastAsia" w:ascii="方正书宋_GBK" w:eastAsia="方正书宋_GBK"/>
                <w:lang w:val="en-US" w:eastAsia="zh-CN"/>
              </w:rPr>
              <w:t>县</w:t>
            </w:r>
            <w:r>
              <w:rPr>
                <w:rFonts w:hint="eastAsia" w:ascii="方正书宋_GBK" w:eastAsia="方正书宋_GBK"/>
              </w:rPr>
              <w:t>政府认定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全年项目开工率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全年项目开工率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项目开工情况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项目建设按期完成率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项目建设按期完成率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项目完工情况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抓实项目落地，扩大展会影响力</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抓实项目落地，扩大展会影响力</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重点项目实施对经济影响</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重点项目实施情况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对全县经济发展贡献率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拉动经济增长百分比</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拉动经济增长三个百分点</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根据实际情况认定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群众对项目建设的整体满意度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满意度超过</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根据实际情况认定</w:t>
            </w:r>
          </w:p>
        </w:tc>
      </w:tr>
    </w:tbl>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ascii="Times New Roman" w:hAnsi="宋体" w:cs="宋体"/>
          <w:b/>
          <w:sz w:val="28"/>
        </w:rPr>
      </w:pPr>
      <w:r>
        <w:rPr>
          <w:rFonts w:hint="eastAsia" w:ascii="方正仿宋_GBK" w:hAnsi="方正仿宋_GBK" w:eastAsia="方正仿宋_GBK" w:cs="方正仿宋_GBK"/>
          <w:b/>
          <w:sz w:val="28"/>
        </w:rPr>
        <w:t>3、</w:t>
      </w:r>
      <w:r>
        <w:rPr>
          <w:rFonts w:hint="eastAsia" w:ascii="方正仿宋_GBK" w:hAnsi="方正仿宋_GBK" w:eastAsia="方正仿宋_GBK" w:cs="方正仿宋_GBK"/>
          <w:b/>
          <w:sz w:val="28"/>
          <w:lang w:val="en-US" w:eastAsia="zh-CN"/>
        </w:rPr>
        <w:t>重点项目固定资产投资核查、核心投资考核、成本监审（第三方购买服务）</w:t>
      </w:r>
      <w:r>
        <w:rPr>
          <w:rFonts w:hint="eastAsia" w:ascii="方正仿宋_GBK" w:hAnsi="方正仿宋_GBK" w:eastAsia="方正仿宋_GBK" w:cs="方正仿宋_GBK"/>
          <w:b/>
          <w:sz w:val="28"/>
        </w:rPr>
        <w:t>绩效目标表</w:t>
      </w:r>
      <w:bookmarkStart w:id="7" w:name="_Toc28346"/>
      <w:r>
        <w:rPr>
          <w:rFonts w:hint="eastAsia"/>
        </w:rPr>
        <w:fldChar w:fldCharType="begin"/>
      </w:r>
      <w:r>
        <w:rPr>
          <w:rFonts w:hint="eastAsia" w:ascii="方正仿宋_GBK" w:hAnsi="方正仿宋_GBK" w:eastAsia="方正仿宋_GBK" w:cs="方正仿宋_GBK"/>
          <w:b/>
          <w:sz w:val="28"/>
        </w:rPr>
        <w:instrText xml:space="preserve"> TC 3、电代煤设备安装监理费用绩效目标表 \f C \l 1 </w:instrText>
      </w:r>
      <w:r>
        <w:rPr>
          <w:rFonts w:hint="eastAsia" w:ascii="方正仿宋_GBK" w:hAnsi="方正仿宋_GBK" w:eastAsia="方正仿宋_GBK" w:cs="方正仿宋_GBK"/>
          <w:b/>
          <w:sz w:val="28"/>
        </w:rPr>
        <w:fldChar w:fldCharType="end"/>
      </w:r>
      <w:bookmarkEnd w:id="7"/>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13052521CPRFK22VPESE9</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重点项目固定资产投资核查、核心投资考核、成本监审（第三方购买服务）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聘请第三方对全县重点项目投资建设进行固定资产投资核查，并根据核查情况享受政策支持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w:t>
            </w:r>
            <w:r>
              <w:rPr>
                <w:rFonts w:ascii="方正书宋_GBK" w:eastAsia="方正书宋_GBK"/>
              </w:rPr>
              <w:t>3</w:t>
            </w:r>
            <w:r>
              <w:rPr>
                <w:rFonts w:hint="eastAsia" w:ascii="方正书宋_GBK" w:eastAsia="方正书宋_GBK"/>
              </w:rPr>
              <w:t>个项目投资核查工作，</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根据有关规定，落实好各项资金支持</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取保核查公平公正</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开展固投核查项目个数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年内开展固投核查个数</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个</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根据实际情况确定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核查项目完成率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核查项目完成率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根据实际情况确定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核查项目及时率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核查项目完成及时率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根据实际情况确定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核查项目成本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核查项目成本</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根据合同确定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落实优惠政策助力企业发展</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根据固投核查政策落实项目园区奖励政策</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个</w:t>
            </w:r>
          </w:p>
        </w:tc>
        <w:tc>
          <w:tcPr>
            <w:tcW w:w="1701"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3</w:t>
            </w:r>
            <w:r>
              <w:rPr>
                <w:rFonts w:hint="eastAsia" w:ascii="方正书宋_GBK" w:eastAsia="方正书宋_GBK"/>
              </w:rPr>
              <w:t>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企业对所提供服务的满意程度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根据实际情况确定</w:t>
            </w:r>
          </w:p>
        </w:tc>
      </w:tr>
    </w:tbl>
    <w:p>
      <w:pPr>
        <w:spacing w:line="300" w:lineRule="exact"/>
        <w:ind w:firstLine="420" w:firstLineChars="200"/>
        <w:jc w:val="left"/>
        <w:rPr>
          <w:rFonts w:ascii="方正书宋_GBK" w:hAnsi="方正书宋_GBK" w:eastAsia="方正书宋_GBK" w:cs="方正书宋_GBK"/>
          <w:b/>
        </w:rPr>
      </w:pPr>
    </w:p>
    <w:p>
      <w:pPr>
        <w:bidi w:val="0"/>
        <w:rPr>
          <w:rFonts w:ascii="Calibri" w:hAnsi="Calibri" w:eastAsia="宋体" w:cs="黑体"/>
          <w:kern w:val="2"/>
          <w:sz w:val="21"/>
          <w:szCs w:val="22"/>
          <w:lang w:val="en-US" w:eastAsia="zh-CN" w:bidi="ar-SA"/>
        </w:rPr>
      </w:pPr>
    </w:p>
    <w:p>
      <w:pPr>
        <w:bidi w:val="0"/>
        <w:jc w:val="left"/>
        <w:rPr>
          <w:lang w:val="en-US" w:eastAsia="zh-CN"/>
        </w:rPr>
        <w:sectPr>
          <w:pgSz w:w="11906" w:h="16838"/>
          <w:pgMar w:top="1984" w:right="1304" w:bottom="1134" w:left="1304" w:header="851" w:footer="992" w:gutter="0"/>
          <w:cols w:space="720" w:num="1"/>
          <w:docGrid w:type="lines" w:linePitch="312" w:charSpace="0"/>
        </w:sectPr>
      </w:pPr>
    </w:p>
    <w:p>
      <w:pPr>
        <w:numPr>
          <w:ilvl w:val="0"/>
          <w:numId w:val="0"/>
        </w:numPr>
        <w:ind w:left="420" w:leftChars="0"/>
        <w:jc w:val="left"/>
        <w:outlineLvl w:val="1"/>
        <w:rPr>
          <w:rFonts w:hint="eastAsia" w:ascii="方正仿宋_GBK" w:hAnsi="方正仿宋_GBK" w:eastAsia="方正仿宋_GBK" w:cs="方正仿宋_GBK"/>
          <w:b/>
          <w:sz w:val="28"/>
        </w:rPr>
      </w:pPr>
    </w:p>
    <w:p>
      <w:pPr>
        <w:numPr>
          <w:ilvl w:val="0"/>
          <w:numId w:val="1"/>
        </w:numPr>
        <w:ind w:left="-140" w:leftChars="0" w:firstLine="560" w:firstLineChars="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发改局还财政局暂付款经费</w:t>
      </w:r>
      <w:r>
        <w:rPr>
          <w:rFonts w:hint="eastAsia" w:ascii="方正仿宋_GBK" w:hAnsi="方正仿宋_GBK" w:eastAsia="方正仿宋_GBK" w:cs="方正仿宋_GBK"/>
          <w:b/>
          <w:sz w:val="28"/>
        </w:rPr>
        <w:t>绩效目标表</w:t>
      </w:r>
      <w:bookmarkStart w:id="8" w:name="_Toc21794"/>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130525218KY53FW4USADD</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发改局还财政局暂付款经费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清还原粮局用于人员、公用借款。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归还原粮局人员经费借款</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归还原粮局公用经费借款</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全部借款归还完毕</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财政借款金额</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财政借款总金额</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财政借款金额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借款归还比例</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借款归还比例</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年初目标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当年完成情况</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财政借款金额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项目预算控制数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项目预算控制数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财政借款金额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归还率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归还比率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财政借款归还比例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满意率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满意率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年初目标</w:t>
            </w:r>
          </w:p>
        </w:tc>
      </w:tr>
    </w:tbl>
    <w:p>
      <w:pPr>
        <w:numPr>
          <w:ilvl w:val="0"/>
          <w:numId w:val="0"/>
        </w:numPr>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4、电代煤设备购置及运行补贴项目绩效目标表 \f C \l 1 </w:instrText>
      </w:r>
      <w:r>
        <w:rPr>
          <w:rFonts w:hint="eastAsia" w:ascii="方正仿宋_GBK" w:hAnsi="方正仿宋_GBK" w:eastAsia="方正仿宋_GBK" w:cs="方正仿宋_GBK"/>
          <w:b/>
          <w:sz w:val="28"/>
        </w:rPr>
        <w:fldChar w:fldCharType="end"/>
      </w:r>
      <w:bookmarkEnd w:id="8"/>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ascii="Times New Roman" w:hAnsi="宋体" w:cs="宋体"/>
          <w:b/>
          <w:sz w:val="28"/>
        </w:rPr>
      </w:pPr>
      <w:r>
        <w:rPr>
          <w:rFonts w:hint="eastAsia" w:ascii="方正仿宋_GBK" w:hAnsi="方正仿宋_GBK" w:eastAsia="方正仿宋_GBK" w:cs="方正仿宋_GBK"/>
          <w:b/>
          <w:sz w:val="28"/>
        </w:rPr>
        <w:t>5、</w:t>
      </w:r>
      <w:r>
        <w:rPr>
          <w:rFonts w:hint="eastAsia" w:ascii="方正仿宋_GBK" w:hAnsi="方正仿宋_GBK" w:eastAsia="方正仿宋_GBK" w:cs="方正仿宋_GBK"/>
          <w:b/>
          <w:sz w:val="28"/>
          <w:lang w:val="en-US" w:eastAsia="zh-CN"/>
        </w:rPr>
        <w:t>办案补助/自收自支人员经费</w:t>
      </w:r>
      <w:r>
        <w:rPr>
          <w:rFonts w:hint="eastAsia" w:ascii="方正仿宋_GBK" w:hAnsi="方正仿宋_GBK" w:eastAsia="方正仿宋_GBK" w:cs="方正仿宋_GBK"/>
          <w:b/>
          <w:sz w:val="28"/>
        </w:rPr>
        <w:t>绩效目标表</w:t>
      </w:r>
      <w:bookmarkStart w:id="9" w:name="_Toc30226"/>
      <w:r>
        <w:rPr>
          <w:rFonts w:hint="eastAsia"/>
        </w:rPr>
        <w:fldChar w:fldCharType="begin"/>
      </w:r>
      <w:r>
        <w:rPr>
          <w:rFonts w:hint="eastAsia" w:ascii="方正仿宋_GBK" w:hAnsi="方正仿宋_GBK" w:eastAsia="方正仿宋_GBK" w:cs="方正仿宋_GBK"/>
          <w:b/>
          <w:sz w:val="28"/>
        </w:rPr>
        <w:instrText xml:space="preserve"> TC 5、电代煤项目工作经费绩效目标表 \f C \l 1 </w:instrText>
      </w:r>
      <w:r>
        <w:rPr>
          <w:rFonts w:hint="eastAsia" w:ascii="方正仿宋_GBK" w:hAnsi="方正仿宋_GBK" w:eastAsia="方正仿宋_GBK" w:cs="方正仿宋_GBK"/>
          <w:b/>
          <w:sz w:val="28"/>
        </w:rPr>
        <w:fldChar w:fldCharType="end"/>
      </w:r>
      <w:bookmarkEnd w:id="9"/>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13052521LS68OF1M7GKWR</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办案补助</w:t>
            </w:r>
            <w:r>
              <w:rPr>
                <w:rFonts w:ascii="方正书宋_GBK" w:eastAsia="方正书宋_GBK"/>
              </w:rPr>
              <w:t>/</w:t>
            </w:r>
            <w:r>
              <w:rPr>
                <w:rFonts w:hint="eastAsia" w:ascii="方正书宋_GBK" w:eastAsia="方正书宋_GBK"/>
              </w:rPr>
              <w:t>自收自支人员经费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81</w:t>
            </w:r>
            <w:r>
              <w:rPr>
                <w:rFonts w:hint="eastAsia" w:ascii="方正书宋_GBK" w:eastAsia="方正书宋_GBK"/>
                <w:lang w:val="en-US" w:eastAsia="zh-CN"/>
              </w:rPr>
              <w:t>.</w:t>
            </w:r>
            <w:r>
              <w:rPr>
                <w:rFonts w:ascii="方正书宋_GBK" w:eastAsia="方正书宋_GBK"/>
              </w:rPr>
              <w:t>52</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81</w:t>
            </w:r>
            <w:r>
              <w:rPr>
                <w:rFonts w:hint="eastAsia" w:ascii="方正书宋_GBK" w:eastAsia="方正书宋_GBK"/>
                <w:lang w:val="en-US" w:eastAsia="zh-CN"/>
              </w:rPr>
              <w:t>.</w:t>
            </w:r>
            <w:r>
              <w:rPr>
                <w:rFonts w:ascii="方正书宋_GBK" w:eastAsia="方正书宋_GBK"/>
              </w:rPr>
              <w:t>52</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自支人员工资保险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保障自支人员工资发放</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保障自支人员养老保险缴费</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保障自支人员医疗、工伤保险缴纳</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解决自支人员工资人数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单位实有自支人员数量</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实际解决自支工资人数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年初安排预算，保证人员支出</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必须每月落实到人</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工资发放及时率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按月及时发放率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人均发放水平</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人均发放水平</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职工收入</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自支人员收入</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落实资金情况</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是否及时发放到位</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职工满意度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职工满意数量占总数的比例。</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根据职工满意度测算</w:t>
            </w:r>
          </w:p>
        </w:tc>
      </w:tr>
    </w:tbl>
    <w:p>
      <w:pPr>
        <w:spacing w:line="300" w:lineRule="exact"/>
        <w:ind w:firstLine="420" w:firstLineChars="200"/>
        <w:jc w:val="left"/>
        <w:rPr>
          <w:rFonts w:ascii="方正书宋_GBK" w:hAnsi="方正书宋_GBK" w:eastAsia="方正书宋_GBK" w:cs="方正书宋_GBK"/>
          <w:b/>
        </w:rPr>
      </w:pPr>
    </w:p>
    <w:p>
      <w:pPr>
        <w:bidi w:val="0"/>
        <w:jc w:val="left"/>
        <w:rPr>
          <w:rFonts w:ascii="Calibri" w:hAnsi="Calibri" w:eastAsia="宋体" w:cs="黑体"/>
          <w:kern w:val="2"/>
          <w:sz w:val="21"/>
          <w:szCs w:val="22"/>
          <w:lang w:val="en-US" w:eastAsia="zh-CN" w:bidi="ar-SA"/>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numPr>
          <w:ilvl w:val="0"/>
          <w:numId w:val="0"/>
        </w:numPr>
        <w:ind w:left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6、双创双服活动</w:t>
      </w:r>
      <w:r>
        <w:rPr>
          <w:rFonts w:hint="eastAsia" w:ascii="方正仿宋_GBK" w:hAnsi="方正仿宋_GBK" w:eastAsia="方正仿宋_GBK" w:cs="方正仿宋_GBK"/>
          <w:b/>
          <w:sz w:val="28"/>
        </w:rPr>
        <w:t>绩效目标表</w:t>
      </w:r>
      <w:bookmarkStart w:id="10" w:name="_Toc6009"/>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13052521LAEKLY0OGB1U3</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双创双服活动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ascii="方正书宋_GBK" w:eastAsia="方正书宋_GBK"/>
              </w:rPr>
              <w:t>2021</w:t>
            </w:r>
            <w:r>
              <w:rPr>
                <w:rFonts w:hint="eastAsia" w:ascii="方正书宋_GBK" w:eastAsia="方正书宋_GBK"/>
              </w:rPr>
              <w:t>年双创双服活动及平台建设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w:t>
            </w:r>
            <w:r>
              <w:rPr>
                <w:rFonts w:ascii="方正书宋_GBK" w:eastAsia="方正书宋_GBK"/>
              </w:rPr>
              <w:t>2021</w:t>
            </w:r>
            <w:r>
              <w:rPr>
                <w:rFonts w:hint="eastAsia" w:ascii="方正书宋_GBK" w:eastAsia="方正书宋_GBK"/>
              </w:rPr>
              <w:t>年</w:t>
            </w:r>
            <w:r>
              <w:rPr>
                <w:rFonts w:ascii="方正书宋_GBK" w:eastAsia="方正书宋_GBK"/>
              </w:rPr>
              <w:t>20</w:t>
            </w:r>
            <w:r>
              <w:rPr>
                <w:rFonts w:hint="eastAsia" w:ascii="方正书宋_GBK" w:eastAsia="方正书宋_GBK"/>
              </w:rPr>
              <w:t>项民心工程</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建立</w:t>
            </w:r>
            <w:r>
              <w:rPr>
                <w:rFonts w:ascii="方正书宋_GBK" w:eastAsia="方正书宋_GBK"/>
              </w:rPr>
              <w:t>2021</w:t>
            </w:r>
            <w:r>
              <w:rPr>
                <w:rFonts w:hint="eastAsia" w:ascii="方正书宋_GBK" w:eastAsia="方正书宋_GBK"/>
              </w:rPr>
              <w:t>年网络平台建设</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协调解决群众反映问题</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民心工程数量</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全年实施民心工程数量</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w:t>
            </w:r>
            <w:r>
              <w:rPr>
                <w:rFonts w:hint="eastAsia" w:ascii="方正书宋_GBK" w:eastAsia="方正书宋_GBK"/>
              </w:rPr>
              <w:t>个</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上级文件要求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民心工程质量</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全年完成民心工程质量</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全年完成民心工程总体质量</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上级文件要求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按期完成率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全年按期完成率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上级文件要求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完成各项业务所需费用</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按照计划完成各项业务所需费用率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总预算控制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重点工作完成率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重点工作完成率</w:t>
            </w:r>
            <w:r>
              <w:rPr>
                <w:rFonts w:ascii="方正书宋_GBK" w:eastAsia="方正书宋_GBK"/>
              </w:rPr>
              <w:t>/</w:t>
            </w:r>
            <w:r>
              <w:rPr>
                <w:rFonts w:hint="eastAsia" w:ascii="方正书宋_GBK" w:eastAsia="方正书宋_GBK"/>
              </w:rPr>
              <w:t>年工作完成率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w:t>
            </w:r>
            <w:r>
              <w:rPr>
                <w:rFonts w:ascii="方正书宋_GBK" w:eastAsia="方正书宋_GBK"/>
              </w:rPr>
              <w:t>%</w:t>
            </w:r>
            <w:r>
              <w:rPr>
                <w:rFonts w:hint="eastAsia" w:ascii="方正书宋_GBK" w:eastAsia="方正书宋_GBK"/>
              </w:rPr>
              <w:t>）</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项目服务对象满意度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项目年初目标</w:t>
            </w:r>
          </w:p>
        </w:tc>
      </w:tr>
    </w:tbl>
    <w:p>
      <w:pPr>
        <w:numPr>
          <w:ilvl w:val="0"/>
          <w:numId w:val="0"/>
        </w:numPr>
        <w:ind w:leftChars="200"/>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6、发改局还财政暂付款经费绩效目标表 \f C \l 1 </w:instrText>
      </w:r>
      <w:r>
        <w:rPr>
          <w:rFonts w:hint="eastAsia" w:ascii="方正仿宋_GBK" w:hAnsi="方正仿宋_GBK" w:eastAsia="方正仿宋_GBK" w:cs="方正仿宋_GBK"/>
          <w:b/>
          <w:sz w:val="28"/>
        </w:rPr>
        <w:fldChar w:fldCharType="end"/>
      </w:r>
      <w:bookmarkEnd w:id="10"/>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numPr>
          <w:ilvl w:val="0"/>
          <w:numId w:val="2"/>
        </w:numPr>
        <w:ind w:firstLine="560" w:firstLine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退役军人专岗</w:t>
      </w:r>
      <w:r>
        <w:rPr>
          <w:rFonts w:hint="eastAsia" w:ascii="方正仿宋_GBK" w:hAnsi="方正仿宋_GBK" w:eastAsia="方正仿宋_GBK" w:cs="方正仿宋_GBK"/>
          <w:b/>
          <w:sz w:val="28"/>
        </w:rPr>
        <w:t>绩效目标表</w:t>
      </w:r>
      <w:bookmarkStart w:id="11" w:name="_Toc25743"/>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13052521FKCGWMDDII901</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退役军人专岗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lang w:val="en-US" w:eastAsia="zh-CN"/>
              </w:rPr>
              <w:t>.</w:t>
            </w:r>
            <w:r>
              <w:rPr>
                <w:rFonts w:ascii="方正书宋_GBK" w:eastAsia="方正书宋_GBK"/>
              </w:rPr>
              <w:t>27</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lang w:val="en-US" w:eastAsia="zh-CN"/>
              </w:rPr>
              <w:t>.</w:t>
            </w:r>
            <w:r>
              <w:rPr>
                <w:rFonts w:ascii="方正书宋_GBK" w:eastAsia="方正书宋_GBK"/>
              </w:rPr>
              <w:t>27</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退役军人专岗工资及保险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保障退役军人公益岗待遇，保障生活补贴及保险缴纳</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做好退役军人维稳工作，促进社会稳定</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保障退役军人公岗待遇</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支出完成率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按时有序支付</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及时缴纳保险、支付生活费</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财政拨款保障率</w:t>
            </w:r>
          </w:p>
          <w:p>
            <w:pPr>
              <w:spacing w:line="300" w:lineRule="exact"/>
              <w:jc w:val="left"/>
              <w:rPr>
                <w:rFonts w:hint="eastAsia" w:ascii="方正书宋_GBK" w:eastAsia="方正书宋_GBK"/>
              </w:rPr>
            </w:pP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财政拨款保障率</w:t>
            </w:r>
          </w:p>
          <w:p>
            <w:pPr>
              <w:spacing w:line="300" w:lineRule="exact"/>
              <w:jc w:val="left"/>
              <w:rPr>
                <w:rFonts w:ascii="方正书宋_GBK" w:eastAsia="方正书宋_GBK"/>
              </w:rPr>
            </w:pP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财政拨款及时情况</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服务的完成度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服务的完成度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及时服务</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实际发生成本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实际发生成本</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实际支出成本</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促进就业</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促进社会稳定、就业</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促进就业，落实退役军人支持</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群众满意度</w:t>
            </w:r>
            <w:r>
              <w:rPr>
                <w:rFonts w:ascii="方正书宋_GBK" w:eastAsia="方正书宋_GBK"/>
              </w:rPr>
              <w:t>%</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群众满意程度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numPr>
          <w:ilvl w:val="0"/>
          <w:numId w:val="0"/>
        </w:numPr>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7、冀财建[2019]341号/电代煤补贴绩效目标表 \f C \l 1 </w:instrText>
      </w:r>
      <w:r>
        <w:rPr>
          <w:rFonts w:hint="eastAsia" w:ascii="方正仿宋_GBK" w:hAnsi="方正仿宋_GBK" w:eastAsia="方正仿宋_GBK" w:cs="方正仿宋_GBK"/>
          <w:b/>
          <w:sz w:val="28"/>
        </w:rPr>
        <w:fldChar w:fldCharType="end"/>
      </w:r>
      <w:bookmarkEnd w:id="11"/>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ascii="Times New Roman" w:hAnsi="宋体" w:cs="宋体"/>
          <w:b/>
          <w:sz w:val="28"/>
        </w:rPr>
      </w:pPr>
      <w:r>
        <w:rPr>
          <w:rFonts w:hint="eastAsia" w:ascii="方正仿宋_GBK" w:hAnsi="方正仿宋_GBK" w:eastAsia="方正仿宋_GBK" w:cs="方正仿宋_GBK"/>
          <w:b/>
          <w:sz w:val="28"/>
        </w:rPr>
        <w:t>8、</w:t>
      </w:r>
      <w:r>
        <w:rPr>
          <w:rFonts w:hint="eastAsia" w:ascii="方正仿宋_GBK" w:hAnsi="方正仿宋_GBK" w:eastAsia="方正仿宋_GBK" w:cs="方正仿宋_GBK"/>
          <w:b/>
          <w:sz w:val="28"/>
          <w:lang w:val="en-US" w:eastAsia="zh-CN"/>
        </w:rPr>
        <w:t>听证会经费（城乡公交车出租车票价）</w:t>
      </w:r>
      <w:r>
        <w:rPr>
          <w:rFonts w:hint="eastAsia" w:ascii="方正仿宋_GBK" w:hAnsi="方正仿宋_GBK" w:eastAsia="方正仿宋_GBK" w:cs="方正仿宋_GBK"/>
          <w:b/>
          <w:sz w:val="28"/>
        </w:rPr>
        <w:t>绩效目标表</w:t>
      </w:r>
      <w:bookmarkStart w:id="12" w:name="_Toc28571"/>
      <w:r>
        <w:rPr>
          <w:rFonts w:hint="eastAsia"/>
        </w:rPr>
        <w:fldChar w:fldCharType="begin"/>
      </w:r>
      <w:r>
        <w:rPr>
          <w:rFonts w:hint="eastAsia" w:ascii="方正仿宋_GBK" w:hAnsi="方正仿宋_GBK" w:eastAsia="方正仿宋_GBK" w:cs="方正仿宋_GBK"/>
          <w:b/>
          <w:sz w:val="28"/>
        </w:rPr>
        <w:instrText xml:space="preserve"> TC 8、价格认定经费绩效目标表 \f C \l 1 </w:instrText>
      </w:r>
      <w:r>
        <w:rPr>
          <w:rFonts w:hint="eastAsia" w:ascii="方正仿宋_GBK" w:hAnsi="方正仿宋_GBK" w:eastAsia="方正仿宋_GBK" w:cs="方正仿宋_GBK"/>
          <w:b/>
          <w:sz w:val="28"/>
        </w:rPr>
        <w:fldChar w:fldCharType="end"/>
      </w:r>
      <w:bookmarkEnd w:id="12"/>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130525216GO1D5X356460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听证会经费（城乡公交车出租车票价）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用于召开城乡公交车、出租车票价价格听证会。</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制定城乡公交车票价</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制定出租车票价</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维持物价总水平稳定</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召开听证会次数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全年召开听证会次数</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召开听证会总次数</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根据近年来次数确定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会议议程实现率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会议议程实现率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近年来平均值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召开的及时性</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召开的及时性</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根据调查结果测定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实际成本</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预算控制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社会影响力</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在全县重要影响，得到广大受众的充分认可</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96</w:t>
            </w:r>
            <w:r>
              <w:rPr>
                <w:rFonts w:hint="eastAsia" w:ascii="方正书宋_GBK" w:eastAsia="方正书宋_GBK"/>
              </w:rPr>
              <w:t>社会影响力大于</w:t>
            </w:r>
            <w:r>
              <w:rPr>
                <w:rFonts w:ascii="方正书宋_GBK" w:eastAsia="方正书宋_GBK"/>
              </w:rPr>
              <w:t>96%</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根据调查结果测定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群众对当年农村公益电影放映的整体满意度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99</w:t>
            </w:r>
            <w:r>
              <w:rPr>
                <w:rFonts w:hint="eastAsia" w:ascii="方正书宋_GBK" w:eastAsia="方正书宋_GBK"/>
              </w:rPr>
              <w:t>群众满意度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根据调查结果测定</w:t>
            </w:r>
          </w:p>
        </w:tc>
      </w:tr>
    </w:tbl>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numPr>
          <w:ilvl w:val="0"/>
          <w:numId w:val="0"/>
        </w:numPr>
        <w:ind w:left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9、价格认定经费</w:t>
      </w:r>
      <w:r>
        <w:rPr>
          <w:rFonts w:hint="eastAsia" w:ascii="方正仿宋_GBK" w:hAnsi="方正仿宋_GBK" w:eastAsia="方正仿宋_GBK" w:cs="方正仿宋_GBK"/>
          <w:b/>
          <w:sz w:val="28"/>
        </w:rPr>
        <w:t>绩效目标表</w:t>
      </w:r>
      <w:bookmarkStart w:id="13" w:name="_Toc9473"/>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1305252134S9GN6QUMH0V</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价格认定经费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6.00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6.00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完成应税物价格认定和刑案鉴证经费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完成应税物价格认定</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完成刑事案件价格鉴证</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完成其他价格认定相关认定工作</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进行价格认定的次数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全年进行价格认定的次数</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次</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根据往年平均值测算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刑案鉴定率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刑案鉴定率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根据往年平均值测算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监督抽检信息公布</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监督抽检信息公布</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监督抽检信息公布及时性</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根据相关要求测算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成本报价的准确性</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成本报价的准确性</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根据实际情况测算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社会影响力</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在全县的重要影响，得到广大受众的充分认可。</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得到全县广大人民群众的充分认可</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群众的整体满意度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99</w:t>
            </w:r>
            <w:r>
              <w:rPr>
                <w:rFonts w:hint="eastAsia" w:ascii="方正书宋_GBK" w:eastAsia="方正书宋_GBK"/>
              </w:rPr>
              <w:t>群众对价格鉴定的满意程度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根据调查结果测算</w:t>
            </w:r>
          </w:p>
        </w:tc>
      </w:tr>
    </w:tbl>
    <w:p>
      <w:pPr>
        <w:numPr>
          <w:ilvl w:val="0"/>
          <w:numId w:val="0"/>
        </w:numPr>
        <w:ind w:leftChars="200"/>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9、粮食安全责任制考核及粮食质量安全监测和流通执法监督检查绩效目标表 \f C \l 1 </w:instrText>
      </w:r>
      <w:r>
        <w:rPr>
          <w:rFonts w:hint="eastAsia" w:ascii="方正仿宋_GBK" w:hAnsi="方正仿宋_GBK" w:eastAsia="方正仿宋_GBK" w:cs="方正仿宋_GBK"/>
          <w:b/>
          <w:sz w:val="28"/>
        </w:rPr>
        <w:fldChar w:fldCharType="end"/>
      </w:r>
      <w:bookmarkEnd w:id="13"/>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jc w:val="left"/>
        <w:outlineLvl w:val="1"/>
        <w:rPr>
          <w:rFonts w:ascii="Times New Roman" w:hAnsi="宋体" w:cs="宋体"/>
          <w:b/>
          <w:sz w:val="28"/>
        </w:rPr>
      </w:pPr>
      <w:r>
        <w:rPr>
          <w:rFonts w:hint="eastAsia" w:ascii="方正仿宋_GBK" w:hAnsi="方正仿宋_GBK" w:eastAsia="方正仿宋_GBK" w:cs="方正仿宋_GBK"/>
          <w:b/>
          <w:sz w:val="28"/>
        </w:rPr>
        <w:t>10、</w:t>
      </w:r>
      <w:r>
        <w:rPr>
          <w:rFonts w:hint="eastAsia" w:ascii="方正仿宋_GBK" w:hAnsi="方正仿宋_GBK" w:eastAsia="方正仿宋_GBK" w:cs="方正仿宋_GBK"/>
          <w:b/>
          <w:sz w:val="28"/>
          <w:lang w:val="en-US" w:eastAsia="zh-CN"/>
        </w:rPr>
        <w:t>第三方成本核算（联村供水出租车运行农村客运班车成本）</w:t>
      </w:r>
      <w:r>
        <w:rPr>
          <w:rFonts w:hint="eastAsia" w:ascii="方正仿宋_GBK" w:hAnsi="方正仿宋_GBK" w:eastAsia="方正仿宋_GBK" w:cs="方正仿宋_GBK"/>
          <w:b/>
          <w:sz w:val="28"/>
        </w:rPr>
        <w:t>绩效目标表</w:t>
      </w:r>
      <w:bookmarkStart w:id="14" w:name="_Toc14559"/>
      <w:r>
        <w:rPr>
          <w:rFonts w:hint="eastAsia"/>
        </w:rPr>
        <w:fldChar w:fldCharType="begin"/>
      </w:r>
      <w:r>
        <w:rPr>
          <w:rFonts w:hint="eastAsia" w:ascii="方正仿宋_GBK" w:hAnsi="方正仿宋_GBK" w:eastAsia="方正仿宋_GBK" w:cs="方正仿宋_GBK"/>
          <w:b/>
          <w:sz w:val="28"/>
        </w:rPr>
        <w:instrText xml:space="preserve"> TC 10、隆尧县\“十四五\”规划编制经费绩效目标表 \f C \l 1 </w:instrText>
      </w:r>
      <w:r>
        <w:rPr>
          <w:rFonts w:hint="eastAsia" w:ascii="方正仿宋_GBK" w:hAnsi="方正仿宋_GBK" w:eastAsia="方正仿宋_GBK" w:cs="方正仿宋_GBK"/>
          <w:b/>
          <w:sz w:val="28"/>
        </w:rPr>
        <w:fldChar w:fldCharType="end"/>
      </w:r>
      <w:bookmarkEnd w:id="14"/>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13052521K3M79WBOVMN24</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第三方成本核算（联村供水出租车运行农村客运班车成本）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6.00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6.00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用于联村供水、农村客运车成本、出租车运行成本核算。</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用于联村供水、农村客运车成本、出租车运行成本核算</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提高政府定价的透明度。</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维持价格稳定</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完成第三方成本核算的数量</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完成第三方成本核算的总数量</w:t>
            </w:r>
          </w:p>
          <w:p>
            <w:pPr>
              <w:spacing w:line="300" w:lineRule="exact"/>
              <w:jc w:val="left"/>
              <w:rPr>
                <w:rFonts w:ascii="方正书宋_GBK" w:eastAsia="方正书宋_GBK"/>
              </w:rPr>
            </w:pP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全年完成第三方成本核算的总数量</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完成量占计划比例</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工作任务完成及时率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工作任务完成及时率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评审核算总经费</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评审核算总经费</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6</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实际总成本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政府定价的合理性</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实现政府定价透明合理</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完成第三方成本核算实现政府定价合理</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群众对定价整体满意度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群众对定价整体满意度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99</w:t>
            </w:r>
            <w:r>
              <w:rPr>
                <w:rFonts w:hint="eastAsia" w:ascii="方正书宋_GBK" w:eastAsia="方正书宋_GBK"/>
              </w:rPr>
              <w:t>群众满意度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实际完成情况</w:t>
            </w:r>
          </w:p>
        </w:tc>
      </w:tr>
    </w:tbl>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ind w:firstLine="420" w:firstLineChars="200"/>
        <w:jc w:val="left"/>
        <w:rPr>
          <w:rFonts w:ascii="方正书宋_GBK" w:hAnsi="方正书宋_GBK" w:eastAsia="方正书宋_GBK" w:cs="方正书宋_GBK"/>
          <w:b/>
        </w:rPr>
      </w:pPr>
    </w:p>
    <w:p>
      <w:pPr>
        <w:spacing w:line="300" w:lineRule="exact"/>
        <w:jc w:val="left"/>
        <w:rPr>
          <w:rFonts w:ascii="方正书宋_GBK" w:hAnsi="方正书宋_GBK" w:eastAsia="方正书宋_GBK" w:cs="方正书宋_GBK"/>
          <w:b/>
        </w:rPr>
      </w:pPr>
    </w:p>
    <w:p>
      <w:pPr>
        <w:numPr>
          <w:ilvl w:val="0"/>
          <w:numId w:val="3"/>
        </w:numPr>
        <w:ind w:firstLine="560" w:firstLine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成品粮储备费用补贴</w:t>
      </w:r>
      <w:r>
        <w:rPr>
          <w:rFonts w:hint="eastAsia" w:ascii="方正仿宋_GBK" w:hAnsi="方正仿宋_GBK" w:eastAsia="方正仿宋_GBK" w:cs="方正仿宋_GBK"/>
          <w:b/>
          <w:sz w:val="28"/>
        </w:rPr>
        <w:t>绩效目标表</w:t>
      </w:r>
      <w:bookmarkStart w:id="15" w:name="_Toc31233"/>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130525218TGIYESZGWKQ1</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成品粮储备费用补贴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对应急储备成品粮企业支付费用补贴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提高我县应对自然灾害防空能力，保障粮食市场供应</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做好粮油市场保供稳价工作，确保粮油主食品安全</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增强成品粮油保障能力</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储存面粉数量</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应急储备面粉数量（吨）</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2000</w:t>
            </w:r>
            <w:r>
              <w:rPr>
                <w:rFonts w:hint="eastAsia" w:ascii="方正书宋_GBK" w:eastAsia="方正书宋_GBK"/>
              </w:rPr>
              <w:t>储备面粉数量</w:t>
            </w:r>
            <w:r>
              <w:rPr>
                <w:rFonts w:ascii="方正书宋_GBK" w:eastAsia="方正书宋_GBK"/>
              </w:rPr>
              <w:t>2000</w:t>
            </w:r>
            <w:r>
              <w:rPr>
                <w:rFonts w:hint="eastAsia" w:ascii="方正书宋_GBK" w:eastAsia="方正书宋_GBK"/>
              </w:rPr>
              <w:t>吨</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清查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质量安全率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储存安全面粉数量</w:t>
            </w:r>
            <w:r>
              <w:rPr>
                <w:rFonts w:ascii="方正书宋_GBK" w:eastAsia="方正书宋_GBK"/>
              </w:rPr>
              <w:t>/</w:t>
            </w:r>
            <w:r>
              <w:rPr>
                <w:rFonts w:hint="eastAsia" w:ascii="方正书宋_GBK" w:eastAsia="方正书宋_GBK"/>
              </w:rPr>
              <w:t>储存面粉数量</w:t>
            </w:r>
            <w:r>
              <w:rPr>
                <w:rFonts w:ascii="方正书宋_GBK" w:eastAsia="方正书宋_GBK"/>
              </w:rPr>
              <w:t>*100%</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安全率达</w:t>
            </w: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任务完成及时率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任务完成及时率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保证经常储存量</w:t>
            </w:r>
            <w:r>
              <w:rPr>
                <w:rFonts w:ascii="方正书宋_GBK" w:eastAsia="方正书宋_GBK"/>
              </w:rPr>
              <w:t>2000</w:t>
            </w:r>
            <w:r>
              <w:rPr>
                <w:rFonts w:hint="eastAsia" w:ascii="方正书宋_GBK" w:eastAsia="方正书宋_GBK"/>
              </w:rPr>
              <w:t>吨</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预算总成本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预算总成本</w:t>
            </w:r>
            <w:r>
              <w:rPr>
                <w:rFonts w:ascii="方正书宋_GBK" w:eastAsia="方正书宋_GBK"/>
              </w:rPr>
              <w:t>20</w:t>
            </w:r>
            <w:r>
              <w:rPr>
                <w:rFonts w:hint="eastAsia" w:ascii="方正书宋_GBK" w:eastAsia="方正书宋_GBK"/>
              </w:rPr>
              <w:t>万元</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补贴总金额</w:t>
            </w:r>
            <w:r>
              <w:rPr>
                <w:rFonts w:ascii="方正书宋_GBK" w:eastAsia="方正书宋_GBK"/>
              </w:rPr>
              <w:t>20</w:t>
            </w:r>
            <w:r>
              <w:rPr>
                <w:rFonts w:hint="eastAsia" w:ascii="方正书宋_GBK" w:eastAsia="方正书宋_GBK"/>
              </w:rPr>
              <w:t>万元</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应急保障率</w:t>
            </w:r>
          </w:p>
          <w:p>
            <w:pPr>
              <w:spacing w:line="300" w:lineRule="exact"/>
              <w:jc w:val="left"/>
              <w:rPr>
                <w:rFonts w:hint="eastAsia" w:ascii="方正书宋_GBK" w:eastAsia="方正书宋_GBK"/>
              </w:rPr>
            </w:pP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应急保障率</w:t>
            </w:r>
          </w:p>
          <w:p>
            <w:pPr>
              <w:spacing w:line="300" w:lineRule="exact"/>
              <w:jc w:val="left"/>
              <w:rPr>
                <w:rFonts w:ascii="方正书宋_GBK" w:eastAsia="方正书宋_GBK"/>
              </w:rPr>
            </w:pP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保障市场供应</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企业满意度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企业满意度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企业满意程度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numPr>
          <w:ilvl w:val="0"/>
          <w:numId w:val="0"/>
        </w:numPr>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11、隆尧县救灾物资储备管理绩效目标表 \f C \l 1 </w:instrText>
      </w:r>
      <w:r>
        <w:rPr>
          <w:rFonts w:hint="eastAsia" w:ascii="方正仿宋_GBK" w:hAnsi="方正仿宋_GBK" w:eastAsia="方正仿宋_GBK" w:cs="方正仿宋_GBK"/>
          <w:b/>
          <w:sz w:val="28"/>
        </w:rPr>
        <w:fldChar w:fldCharType="end"/>
      </w:r>
      <w:bookmarkEnd w:id="15"/>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ascii="Calibri" w:hAnsi="Calibri" w:eastAsia="宋体" w:cs="黑体"/>
          <w:kern w:val="2"/>
          <w:sz w:val="21"/>
          <w:szCs w:val="22"/>
          <w:lang w:val="en-US" w:eastAsia="zh-CN" w:bidi="ar-SA"/>
        </w:rPr>
      </w:pPr>
      <w:r>
        <w:rPr>
          <w:rFonts w:hint="eastAsia" w:ascii="方正仿宋_GBK" w:hAnsi="方正仿宋_GBK" w:eastAsia="方正仿宋_GBK" w:cs="方正仿宋_GBK"/>
          <w:b/>
          <w:sz w:val="28"/>
        </w:rPr>
        <w:t>12、</w:t>
      </w:r>
      <w:r>
        <w:rPr>
          <w:rFonts w:hint="eastAsia" w:ascii="方正仿宋_GBK" w:hAnsi="方正仿宋_GBK" w:eastAsia="方正仿宋_GBK" w:cs="方正仿宋_GBK"/>
          <w:b/>
          <w:sz w:val="28"/>
          <w:lang w:val="en-US" w:eastAsia="zh-CN"/>
        </w:rPr>
        <w:t>2021年粮油质检站项目</w:t>
      </w:r>
      <w:r>
        <w:rPr>
          <w:rFonts w:hint="eastAsia" w:ascii="方正仿宋_GBK" w:hAnsi="方正仿宋_GBK" w:eastAsia="方正仿宋_GBK" w:cs="方正仿宋_GBK"/>
          <w:b/>
          <w:sz w:val="28"/>
        </w:rPr>
        <w:t>绩效目标表</w:t>
      </w:r>
      <w:bookmarkStart w:id="16" w:name="_Toc13722"/>
      <w:r>
        <w:rPr>
          <w:rFonts w:hint="eastAsia"/>
        </w:rPr>
        <w:fldChar w:fldCharType="begin"/>
      </w:r>
      <w:r>
        <w:rPr>
          <w:rFonts w:hint="eastAsia" w:ascii="方正仿宋_GBK" w:hAnsi="方正仿宋_GBK" w:eastAsia="方正仿宋_GBK" w:cs="方正仿宋_GBK"/>
          <w:b/>
          <w:sz w:val="28"/>
        </w:rPr>
        <w:instrText xml:space="preserve"> TC 12、隆尧县粮油质检中心项目绩效目标表 \f C \l 1 </w:instrText>
      </w:r>
      <w:r>
        <w:rPr>
          <w:rFonts w:hint="eastAsia" w:ascii="方正仿宋_GBK" w:hAnsi="方正仿宋_GBK" w:eastAsia="方正仿宋_GBK" w:cs="方正仿宋_GBK"/>
          <w:b/>
          <w:sz w:val="28"/>
        </w:rPr>
        <w:fldChar w:fldCharType="end"/>
      </w:r>
      <w:bookmarkEnd w:id="16"/>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130525217OGURRGMO807A</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ascii="方正书宋_GBK" w:eastAsia="方正书宋_GBK"/>
              </w:rPr>
              <w:t>2021</w:t>
            </w:r>
            <w:r>
              <w:rPr>
                <w:rFonts w:hint="eastAsia" w:ascii="方正书宋_GBK" w:eastAsia="方正书宋_GBK"/>
              </w:rPr>
              <w:t>年粮油质检站项目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75.00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75.00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加强隆尧县粮食质量安全检验监测体系，建立隆尧县粮油质检站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50.00%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80.00%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加强粮食质量安全监测</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做好省优质粮食工程的配套基础设施建设</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提高我县粮油质量监测能力</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工程完成率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工程完工程度</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工程全部完成为优</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工程验收合格率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达到工程验收标准</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工程验收合格</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项目完成时间</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项目完成时间</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6</w:t>
            </w:r>
            <w:r>
              <w:rPr>
                <w:rFonts w:hint="eastAsia" w:ascii="方正书宋_GBK" w:eastAsia="方正书宋_GBK"/>
              </w:rPr>
              <w:t>月份前完成为优</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实际发生成本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不超预算支出数</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实际成本不超预算数</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提高效率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提高效率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提高粮油质检业务效率</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社会影响力</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社会影响力</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带动当地农业发展</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生态效益指标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生态效益增值率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农产品质量安全，农业可持续发展</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带动绿色农产品发展</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群众对该项目满意程度调查</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群众满意程度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测评</w:t>
            </w:r>
          </w:p>
        </w:tc>
      </w:tr>
    </w:tbl>
    <w:p>
      <w:pPr>
        <w:bidi w:val="0"/>
        <w:jc w:val="left"/>
        <w:rPr>
          <w:lang w:val="en-US" w:eastAsia="zh-CN"/>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rPr>
        <w:t>13、</w:t>
      </w:r>
      <w:r>
        <w:rPr>
          <w:rFonts w:hint="eastAsia" w:ascii="方正仿宋_GBK" w:hAnsi="方正仿宋_GBK" w:eastAsia="方正仿宋_GBK" w:cs="方正仿宋_GBK"/>
          <w:b/>
          <w:sz w:val="28"/>
          <w:lang w:val="en-US" w:eastAsia="zh-CN"/>
        </w:rPr>
        <w:t>粮食安全责任制考核及粮食质量安全监测管理及流通执法</w:t>
      </w:r>
      <w:r>
        <w:rPr>
          <w:rFonts w:hint="eastAsia" w:ascii="方正仿宋_GBK" w:hAnsi="方正仿宋_GBK" w:eastAsia="方正仿宋_GBK" w:cs="方正仿宋_GBK"/>
          <w:b/>
          <w:sz w:val="28"/>
        </w:rPr>
        <w:t>绩效目标表</w:t>
      </w:r>
      <w:bookmarkStart w:id="17" w:name="_Toc26183"/>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13052521SU3MZ3YRLI614</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粮食安全责任制考核及粮食质量安全监测管理及流通执法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3.00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3.00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粮食安全责任考核、粮食流通监督检查、粮食质量安全监测管理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做好粮食安全责任制考核</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确保全县粮食质量安全</w:t>
            </w:r>
            <w:r>
              <w:rPr>
                <w:rFonts w:ascii="方正书宋_GBK" w:eastAsia="方正书宋_GBK"/>
              </w:rPr>
              <w:t xml:space="preserve"> </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对全县粮食流通进行监督检查</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粮食企业检查率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检查企业数量／全县企业数量</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监督检查情况</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粮食安全率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安全粮食数量</w:t>
            </w:r>
            <w:r>
              <w:rPr>
                <w:rFonts w:ascii="方正书宋_GBK" w:eastAsia="方正书宋_GBK"/>
              </w:rPr>
              <w:t>/</w:t>
            </w:r>
            <w:r>
              <w:rPr>
                <w:rFonts w:hint="eastAsia" w:ascii="方正书宋_GBK" w:eastAsia="方正书宋_GBK"/>
              </w:rPr>
              <w:t>全县粮食数量</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安全粮食数量</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完成时效</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各项工作完成的及时程度</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及时完成</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项目预算控制数</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按预算成本支出</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不超预算标准</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粮食安全科学储粮率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安全科学储粮数量占全部粮食数量比例</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&gt;95</w:t>
            </w:r>
            <w:r>
              <w:rPr>
                <w:rFonts w:hint="eastAsia" w:ascii="方正书宋_GBK" w:eastAsia="方正书宋_GBK"/>
              </w:rPr>
              <w:t>安全科学储粮程度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群众满意度</w:t>
            </w:r>
            <w:r>
              <w:rPr>
                <w:rFonts w:ascii="方正书宋_GBK" w:eastAsia="方正书宋_GBK"/>
              </w:rPr>
              <w:t>%</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群众满意程度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ind w:firstLine="420" w:firstLineChars="200"/>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13、全县食盐储备资金项目绩效目标表 \f C \l 1 </w:instrText>
      </w:r>
      <w:r>
        <w:rPr>
          <w:rFonts w:hint="eastAsia" w:ascii="方正仿宋_GBK" w:hAnsi="方正仿宋_GBK" w:eastAsia="方正仿宋_GBK" w:cs="方正仿宋_GBK"/>
          <w:b/>
          <w:sz w:val="28"/>
        </w:rPr>
        <w:fldChar w:fldCharType="end"/>
      </w:r>
      <w:bookmarkEnd w:id="17"/>
    </w:p>
    <w:p>
      <w:pPr>
        <w:spacing w:line="14" w:lineRule="exact"/>
        <w:ind w:firstLine="420" w:firstLineChars="200"/>
        <w:jc w:val="center"/>
        <w:rPr>
          <w:rFonts w:hint="eastAsia" w:cs="黑体"/>
          <w:kern w:val="2"/>
          <w:sz w:val="21"/>
          <w:szCs w:val="22"/>
          <w:lang w:val="en-US" w:eastAsia="zh-CN" w:bidi="ar-SA"/>
        </w:rPr>
      </w:pPr>
      <w:r>
        <w:rPr>
          <w:rFonts w:hint="eastAsia" w:ascii="方正书宋_GBK" w:hAnsi="方正书宋_GBK" w:eastAsia="方正书宋_GBK" w:cs="方正书宋_GBK"/>
          <w:b/>
        </w:rPr>
        <w:t xml:space="preserve"> </w:t>
      </w:r>
    </w:p>
    <w:p>
      <w:pPr>
        <w:tabs>
          <w:tab w:val="left" w:pos="341"/>
        </w:tabs>
        <w:bidi w:val="0"/>
        <w:jc w:val="left"/>
        <w:rPr>
          <w:rFonts w:ascii="Calibri" w:hAnsi="Calibri" w:eastAsia="宋体" w:cs="黑体"/>
          <w:kern w:val="2"/>
          <w:sz w:val="21"/>
          <w:szCs w:val="22"/>
          <w:lang w:val="en-US" w:eastAsia="zh-CN" w:bidi="ar-SA"/>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numPr>
          <w:ilvl w:val="0"/>
          <w:numId w:val="4"/>
        </w:numPr>
        <w:ind w:firstLine="560" w:firstLine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隆尧县救灾物资储备管理</w:t>
      </w:r>
      <w:r>
        <w:rPr>
          <w:rFonts w:hint="eastAsia" w:ascii="方正仿宋_GBK" w:hAnsi="方正仿宋_GBK" w:eastAsia="方正仿宋_GBK" w:cs="方正仿宋_GBK"/>
          <w:b/>
          <w:sz w:val="28"/>
        </w:rPr>
        <w:t>绩效目标表</w:t>
      </w:r>
      <w:bookmarkStart w:id="18" w:name="_Toc18567"/>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13052521QNIEAXPWK7LZV</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隆尧县救灾物资储备管理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购置应急救灾物资，救灾物资储备库租赁、维修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加强救灾物资储备管理，保证应急运用</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健全自然灾害应急救助，促进社会稳定</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促进社会和谐，解决受灾保障</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采购金额完成率（</w:t>
            </w:r>
            <w:r>
              <w:rPr>
                <w:rFonts w:ascii="方正书宋_GBK" w:eastAsia="方正书宋_GBK"/>
              </w:rPr>
              <w:t>%</w:t>
            </w:r>
            <w:r>
              <w:rPr>
                <w:rFonts w:hint="eastAsia" w:ascii="方正书宋_GBK" w:eastAsia="方正书宋_GBK"/>
              </w:rPr>
              <w:t>）</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采购金额完成率（</w:t>
            </w:r>
            <w:r>
              <w:rPr>
                <w:rFonts w:ascii="方正书宋_GBK" w:eastAsia="方正书宋_GBK"/>
              </w:rPr>
              <w:t>%</w:t>
            </w:r>
            <w:r>
              <w:rPr>
                <w:rFonts w:hint="eastAsia" w:ascii="方正书宋_GBK" w:eastAsia="方正书宋_GBK"/>
              </w:rPr>
              <w:t>）</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采购金额完成程度</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验收合格率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验收合格率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98</w:t>
            </w:r>
            <w:r>
              <w:rPr>
                <w:rFonts w:hint="eastAsia" w:ascii="方正书宋_GBK" w:eastAsia="方正书宋_GBK"/>
              </w:rPr>
              <w:t>购置物品验收合格</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购置工作完成时限</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购置工作完成时限</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8</w:t>
            </w:r>
            <w:r>
              <w:rPr>
                <w:rFonts w:hint="eastAsia" w:ascii="方正书宋_GBK" w:eastAsia="方正书宋_GBK"/>
              </w:rPr>
              <w:t>月份前完成</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实际发生成本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实际发生成本</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按实际发生成本计算</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应急保障率</w:t>
            </w:r>
          </w:p>
          <w:p>
            <w:pPr>
              <w:spacing w:line="300" w:lineRule="exact"/>
              <w:jc w:val="left"/>
              <w:rPr>
                <w:rFonts w:hint="eastAsia" w:ascii="方正书宋_GBK" w:eastAsia="方正书宋_GBK"/>
              </w:rPr>
            </w:pP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应急保障率</w:t>
            </w:r>
          </w:p>
          <w:p>
            <w:pPr>
              <w:spacing w:line="300" w:lineRule="exact"/>
              <w:jc w:val="left"/>
              <w:rPr>
                <w:rFonts w:ascii="方正书宋_GBK" w:eastAsia="方正书宋_GBK"/>
              </w:rPr>
            </w:pP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应急救灾保障程度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群众满意度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群众满意度</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群众满意程度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numPr>
          <w:ilvl w:val="0"/>
          <w:numId w:val="0"/>
        </w:numPr>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14、全县重点项目建设经费绩效目标表 \f C \l 1 </w:instrText>
      </w:r>
      <w:r>
        <w:rPr>
          <w:rFonts w:hint="eastAsia" w:ascii="方正仿宋_GBK" w:hAnsi="方正仿宋_GBK" w:eastAsia="方正仿宋_GBK" w:cs="方正仿宋_GBK"/>
          <w:b/>
          <w:sz w:val="28"/>
        </w:rPr>
        <w:fldChar w:fldCharType="end"/>
      </w:r>
      <w:bookmarkEnd w:id="18"/>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numPr>
          <w:ilvl w:val="0"/>
          <w:numId w:val="4"/>
        </w:numPr>
        <w:ind w:left="0" w:leftChars="0" w:firstLine="560" w:firstLineChars="200"/>
        <w:jc w:val="left"/>
        <w:outlineLvl w:val="1"/>
        <w:rPr>
          <w:rFonts w:hint="eastAsia" w:ascii="方正仿宋_GBK" w:hAnsi="方正仿宋_GBK" w:eastAsia="方正仿宋_GBK" w:cs="方正仿宋_GBK"/>
          <w:b/>
          <w:sz w:val="28"/>
        </w:rPr>
      </w:pPr>
      <w:r>
        <w:rPr>
          <w:rFonts w:hint="eastAsia" w:ascii="方正仿宋_GBK" w:hAnsi="方正仿宋_GBK" w:eastAsia="方正仿宋_GBK" w:cs="方正仿宋_GBK"/>
          <w:b/>
          <w:sz w:val="28"/>
          <w:lang w:val="en-US" w:eastAsia="zh-CN"/>
        </w:rPr>
        <w:t>救灾物资购置-电暖气</w:t>
      </w:r>
      <w:r>
        <w:rPr>
          <w:rFonts w:hint="eastAsia" w:ascii="方正仿宋_GBK" w:hAnsi="方正仿宋_GBK" w:eastAsia="方正仿宋_GBK" w:cs="方正仿宋_GBK"/>
          <w:b/>
          <w:sz w:val="28"/>
        </w:rPr>
        <w:t>绩效目标表</w:t>
      </w:r>
      <w:bookmarkStart w:id="19" w:name="_Toc10464"/>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13052521GCG7XAAZWGCQA</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救灾物资购置</w:t>
            </w:r>
            <w:r>
              <w:rPr>
                <w:rFonts w:ascii="方正书宋_GBK" w:eastAsia="方正书宋_GBK"/>
              </w:rPr>
              <w:t>-</w:t>
            </w:r>
            <w:r>
              <w:rPr>
                <w:rFonts w:hint="eastAsia" w:ascii="方正书宋_GBK" w:eastAsia="方正书宋_GBK"/>
              </w:rPr>
              <w:t>电暖气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31</w:t>
            </w:r>
            <w:r>
              <w:rPr>
                <w:rFonts w:hint="eastAsia" w:ascii="方正书宋_GBK" w:eastAsia="方正书宋_GBK"/>
                <w:lang w:val="en-US" w:eastAsia="zh-CN"/>
              </w:rPr>
              <w:t>.</w:t>
            </w:r>
            <w:r>
              <w:rPr>
                <w:rFonts w:ascii="方正书宋_GBK" w:eastAsia="方正书宋_GBK"/>
              </w:rPr>
              <w:t>8</w:t>
            </w:r>
            <w:r>
              <w:rPr>
                <w:rFonts w:hint="eastAsia" w:ascii="方正书宋_GBK" w:eastAsia="方正书宋_GBK"/>
                <w:lang w:val="en-US" w:eastAsia="zh-CN"/>
              </w:rPr>
              <w:t>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hint="default" w:ascii="方正书宋_GBK" w:eastAsia="方正书宋_GBK"/>
                <w:lang w:val="en-US" w:eastAsia="zh-CN"/>
              </w:rPr>
            </w:pPr>
            <w:r>
              <w:rPr>
                <w:rFonts w:ascii="方正书宋_GBK" w:eastAsia="方正书宋_GBK"/>
              </w:rPr>
              <w:t>31</w:t>
            </w:r>
            <w:r>
              <w:rPr>
                <w:rFonts w:hint="eastAsia" w:ascii="方正书宋_GBK" w:eastAsia="方正书宋_GBK"/>
                <w:lang w:val="en-US" w:eastAsia="zh-CN"/>
              </w:rPr>
              <w:t>.80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应对我县持续低温天气</w:t>
            </w:r>
            <w:r>
              <w:rPr>
                <w:rFonts w:ascii="方正书宋_GBK" w:eastAsia="方正书宋_GBK"/>
              </w:rPr>
              <w:t>,</w:t>
            </w:r>
            <w:r>
              <w:rPr>
                <w:rFonts w:hint="eastAsia" w:ascii="方正书宋_GBK" w:eastAsia="方正书宋_GBK"/>
              </w:rPr>
              <w:t>购置电暖气</w:t>
            </w:r>
            <w:r>
              <w:rPr>
                <w:rFonts w:ascii="方正书宋_GBK" w:eastAsia="方正书宋_GBK"/>
              </w:rPr>
              <w:t>100</w:t>
            </w:r>
            <w:r>
              <w:rPr>
                <w:rFonts w:hint="eastAsia" w:ascii="方正书宋_GBK" w:eastAsia="方正书宋_GBK"/>
              </w:rPr>
              <w:t>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50.00%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紧急应对我县低温天气</w:t>
            </w:r>
            <w:r>
              <w:rPr>
                <w:rFonts w:ascii="方正书宋_GBK" w:eastAsia="方正书宋_GBK"/>
              </w:rPr>
              <w:t>,</w:t>
            </w:r>
            <w:r>
              <w:rPr>
                <w:rFonts w:hint="eastAsia" w:ascii="方正书宋_GBK" w:eastAsia="方正书宋_GBK"/>
              </w:rPr>
              <w:t>补充救灾物资储备</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紧急采购</w:t>
            </w:r>
            <w:r>
              <w:rPr>
                <w:rFonts w:ascii="方正书宋_GBK" w:eastAsia="方正书宋_GBK"/>
              </w:rPr>
              <w:t>,</w:t>
            </w:r>
            <w:r>
              <w:rPr>
                <w:rFonts w:hint="eastAsia" w:ascii="方正书宋_GBK" w:eastAsia="方正书宋_GBK"/>
              </w:rPr>
              <w:t>确保救灾物资供应</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保障社会稳定</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采购率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实际采购物品数量</w:t>
            </w:r>
            <w:r>
              <w:rPr>
                <w:rFonts w:ascii="方正书宋_GBK" w:eastAsia="方正书宋_GBK"/>
              </w:rPr>
              <w:t>/</w:t>
            </w:r>
            <w:r>
              <w:rPr>
                <w:rFonts w:hint="eastAsia" w:ascii="方正书宋_GBK" w:eastAsia="方正书宋_GBK"/>
              </w:rPr>
              <w:t>应采购物品数量</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采购率达</w:t>
            </w:r>
            <w:r>
              <w:rPr>
                <w:rFonts w:ascii="方正书宋_GBK" w:eastAsia="方正书宋_GBK"/>
              </w:rPr>
              <w:t>100%</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计算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验收合格率（</w:t>
            </w:r>
            <w:r>
              <w:rPr>
                <w:rFonts w:ascii="方正书宋_GBK" w:eastAsia="方正书宋_GBK"/>
              </w:rPr>
              <w:t>%</w:t>
            </w:r>
            <w:r>
              <w:rPr>
                <w:rFonts w:hint="eastAsia" w:ascii="方正书宋_GBK" w:eastAsia="方正书宋_GBK"/>
              </w:rPr>
              <w:t>）</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验收合格物品数量</w:t>
            </w:r>
            <w:r>
              <w:rPr>
                <w:rFonts w:ascii="方正书宋_GBK" w:eastAsia="方正书宋_GBK"/>
              </w:rPr>
              <w:t>/</w:t>
            </w:r>
            <w:r>
              <w:rPr>
                <w:rFonts w:hint="eastAsia" w:ascii="方正书宋_GBK" w:eastAsia="方正书宋_GBK"/>
              </w:rPr>
              <w:t>购入物品数量</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验收合格率达</w:t>
            </w: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计算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按期完成率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项目完成程度</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完成程度达</w:t>
            </w: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项目资金支付率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资金支付占总额的比率</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资金支付率达</w:t>
            </w: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计算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经济效益指标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资金使用效益</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资金支出情况</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确保救灾物资供应</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社会稳定水平</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通过资金按时发放促进社会更加稳定</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促进社会稳定</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可持续影响指标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任务计划完成率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完成任务个数</w:t>
            </w:r>
            <w:r>
              <w:rPr>
                <w:rFonts w:ascii="方正书宋_GBK" w:eastAsia="方正书宋_GBK"/>
              </w:rPr>
              <w:t>/</w:t>
            </w:r>
            <w:r>
              <w:rPr>
                <w:rFonts w:hint="eastAsia" w:ascii="方正书宋_GBK" w:eastAsia="方正书宋_GBK"/>
              </w:rPr>
              <w:t>应完成任务个数</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任务完成率达</w:t>
            </w:r>
            <w:r>
              <w:rPr>
                <w:rFonts w:ascii="方正书宋_GBK" w:eastAsia="方正书宋_GBK"/>
              </w:rPr>
              <w:t>100%</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计算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服务对象满意程度</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服务对象满意度达</w:t>
            </w:r>
            <w:r>
              <w:rPr>
                <w:rFonts w:ascii="方正书宋_GBK" w:eastAsia="方正书宋_GBK"/>
              </w:rPr>
              <w:t>95%</w:t>
            </w:r>
            <w:r>
              <w:rPr>
                <w:rFonts w:hint="eastAsia" w:ascii="方正书宋_GBK" w:eastAsia="方正书宋_GBK"/>
              </w:rPr>
              <w:t>以上</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numPr>
          <w:ilvl w:val="0"/>
          <w:numId w:val="0"/>
        </w:numPr>
        <w:jc w:val="left"/>
        <w:outlineLvl w:val="1"/>
        <w:rPr>
          <w:rFonts w:ascii="Times New Roman" w:hAnsi="宋体" w:cs="宋体"/>
          <w:b/>
          <w:sz w:val="28"/>
        </w:rPr>
      </w:pPr>
      <w:r>
        <w:rPr>
          <w:rFonts w:hint="eastAsia"/>
        </w:rPr>
        <w:fldChar w:fldCharType="begin"/>
      </w:r>
      <w:r>
        <w:rPr>
          <w:rFonts w:hint="eastAsia" w:ascii="方正仿宋_GBK" w:hAnsi="方正仿宋_GBK" w:eastAsia="方正仿宋_GBK" w:cs="方正仿宋_GBK"/>
          <w:b/>
          <w:sz w:val="28"/>
        </w:rPr>
        <w:instrText xml:space="preserve"> TC 15、上年结转/邢市财环资[2019]55号/隆尧维峰型煤有限公司建设补贴绩效目标表 \f C \l 1 </w:instrText>
      </w:r>
      <w:r>
        <w:rPr>
          <w:rFonts w:hint="eastAsia" w:ascii="方正仿宋_GBK" w:hAnsi="方正仿宋_GBK" w:eastAsia="方正仿宋_GBK" w:cs="方正仿宋_GBK"/>
          <w:b/>
          <w:sz w:val="28"/>
        </w:rPr>
        <w:fldChar w:fldCharType="end"/>
      </w:r>
      <w:bookmarkEnd w:id="19"/>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p>
      <w:pPr>
        <w:spacing w:line="300" w:lineRule="exact"/>
        <w:ind w:firstLine="420" w:firstLineChars="200"/>
        <w:jc w:val="left"/>
        <w:rPr>
          <w:rFonts w:ascii="方正书宋_GBK" w:hAnsi="方正书宋_GBK" w:eastAsia="方正书宋_GBK" w:cs="方正书宋_GBK"/>
          <w:b/>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ascii="Times New Roman" w:hAnsi="宋体" w:cs="宋体"/>
          <w:b/>
          <w:sz w:val="28"/>
        </w:rPr>
      </w:pPr>
      <w:r>
        <w:rPr>
          <w:rFonts w:hint="eastAsia" w:ascii="方正仿宋_GBK" w:hAnsi="方正仿宋_GBK" w:eastAsia="方正仿宋_GBK" w:cs="方正仿宋_GBK"/>
          <w:b/>
          <w:sz w:val="28"/>
        </w:rPr>
        <w:t>16、</w:t>
      </w:r>
      <w:r>
        <w:rPr>
          <w:rFonts w:hint="eastAsia" w:ascii="方正仿宋_GBK" w:hAnsi="方正仿宋_GBK" w:eastAsia="方正仿宋_GBK" w:cs="方正仿宋_GBK"/>
          <w:b/>
          <w:sz w:val="28"/>
          <w:lang w:val="en-US" w:eastAsia="zh-CN"/>
        </w:rPr>
        <w:t>全县食盐储备资金项目</w:t>
      </w:r>
      <w:r>
        <w:rPr>
          <w:rFonts w:hint="eastAsia" w:ascii="方正仿宋_GBK" w:hAnsi="方正仿宋_GBK" w:eastAsia="方正仿宋_GBK" w:cs="方正仿宋_GBK"/>
          <w:b/>
          <w:sz w:val="28"/>
        </w:rPr>
        <w:t>绩效目标表</w:t>
      </w:r>
      <w:bookmarkStart w:id="20" w:name="_Toc1726"/>
      <w:r>
        <w:rPr>
          <w:rFonts w:hint="eastAsia"/>
        </w:rPr>
        <w:fldChar w:fldCharType="begin"/>
      </w:r>
      <w:r>
        <w:rPr>
          <w:rFonts w:hint="eastAsia" w:ascii="方正仿宋_GBK" w:hAnsi="方正仿宋_GBK" w:eastAsia="方正仿宋_GBK" w:cs="方正仿宋_GBK"/>
          <w:b/>
          <w:sz w:val="28"/>
        </w:rPr>
        <w:instrText xml:space="preserve"> TC 16、双创双服活动绩效目标表 \f C \l 1 </w:instrText>
      </w:r>
      <w:r>
        <w:rPr>
          <w:rFonts w:hint="eastAsia" w:ascii="方正仿宋_GBK" w:hAnsi="方正仿宋_GBK" w:eastAsia="方正仿宋_GBK" w:cs="方正仿宋_GBK"/>
          <w:b/>
          <w:sz w:val="28"/>
        </w:rPr>
        <w:fldChar w:fldCharType="end"/>
      </w:r>
      <w:bookmarkEnd w:id="20"/>
    </w:p>
    <w:p>
      <w:pPr>
        <w:spacing w:line="14" w:lineRule="exact"/>
        <w:ind w:firstLine="420" w:firstLineChars="200"/>
        <w:jc w:val="center"/>
        <w:rPr>
          <w:rFonts w:ascii="Calibri" w:hAnsi="Calibri" w:eastAsia="宋体" w:cs="黑体"/>
          <w:kern w:val="2"/>
          <w:sz w:val="21"/>
          <w:szCs w:val="22"/>
          <w:lang w:val="en-US" w:eastAsia="zh-CN" w:bidi="ar-SA"/>
        </w:rPr>
      </w:pPr>
      <w:r>
        <w:rPr>
          <w:rFonts w:hint="eastAsia" w:ascii="方正书宋_GBK" w:hAnsi="方正书宋_GBK" w:eastAsia="方正书宋_GBK" w:cs="方正书宋_GBK"/>
          <w:b/>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13052521U3EI5P0AXQLZS</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全县食盐储备资金项目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14.00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14.00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保障全县食盐储备、费用补贴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应对突发事件、自然灾害保障食盐市场稳定</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确保食盐储备储得进、管理好、调的到、用得上</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保障全县食盐质量安全</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数量（吨）</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储备食盐库存量</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150</w:t>
            </w:r>
            <w:r>
              <w:rPr>
                <w:rFonts w:hint="eastAsia" w:ascii="方正书宋_GBK" w:eastAsia="方正书宋_GBK"/>
              </w:rPr>
              <w:t>储备数量</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合格率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合格率</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储备食盐质量全部合格</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市场价格稳定</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食盐市场价格稳定情况</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市场稳定</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资金成本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资金成本</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资金支出实际数</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保障服务能力</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保障服务能力</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维持食盐市场稳定，保障供应</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社会公众满意度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社会公众满意度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公众满意程度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bidi w:val="0"/>
        <w:jc w:val="left"/>
        <w:rPr>
          <w:lang w:val="en-US" w:eastAsia="zh-CN"/>
        </w:rPr>
        <w:sectPr>
          <w:pgSz w:w="11906" w:h="16838"/>
          <w:pgMar w:top="1984" w:right="1304" w:bottom="1134" w:left="1304" w:header="851" w:footer="992" w:gutter="0"/>
          <w:cols w:space="720" w:num="1"/>
          <w:docGrid w:type="lines" w:linePitch="312" w:charSpace="0"/>
        </w:sectPr>
      </w:pPr>
    </w:p>
    <w:p>
      <w:pPr>
        <w:spacing w:line="300" w:lineRule="exact"/>
        <w:ind w:firstLine="420" w:firstLineChars="200"/>
        <w:jc w:val="left"/>
        <w:rPr>
          <w:rFonts w:ascii="方正书宋_GBK" w:hAnsi="方正书宋_GBK" w:eastAsia="方正书宋_GBK" w:cs="方正书宋_GBK"/>
          <w:b/>
        </w:rPr>
      </w:pPr>
    </w:p>
    <w:p>
      <w:pPr>
        <w:ind w:firstLine="560" w:firstLineChars="200"/>
        <w:jc w:val="left"/>
        <w:outlineLvl w:val="1"/>
        <w:rPr>
          <w:rFonts w:ascii="Times New Roman" w:hAnsi="宋体" w:cs="宋体"/>
          <w:b/>
          <w:sz w:val="28"/>
        </w:rPr>
      </w:pPr>
      <w:r>
        <w:rPr>
          <w:rFonts w:hint="eastAsia" w:ascii="方正仿宋_GBK" w:hAnsi="方正仿宋_GBK" w:eastAsia="方正仿宋_GBK" w:cs="方正仿宋_GBK"/>
          <w:b/>
          <w:sz w:val="28"/>
        </w:rPr>
        <w:t>17、</w:t>
      </w:r>
      <w:r>
        <w:rPr>
          <w:rFonts w:hint="eastAsia" w:ascii="方正仿宋_GBK" w:hAnsi="方正仿宋_GBK" w:eastAsia="方正仿宋_GBK" w:cs="方正仿宋_GBK"/>
          <w:b/>
          <w:sz w:val="28"/>
          <w:lang w:val="en-US" w:eastAsia="zh-CN"/>
        </w:rPr>
        <w:t>应急物资储备库建设项目</w:t>
      </w:r>
      <w:r>
        <w:rPr>
          <w:rFonts w:hint="eastAsia" w:ascii="方正仿宋_GBK" w:hAnsi="方正仿宋_GBK" w:eastAsia="方正仿宋_GBK" w:cs="方正仿宋_GBK"/>
          <w:b/>
          <w:sz w:val="28"/>
        </w:rPr>
        <w:t>绩效目标表</w:t>
      </w:r>
      <w:bookmarkStart w:id="21" w:name="_Toc29652"/>
      <w:r>
        <w:rPr>
          <w:rFonts w:hint="eastAsia"/>
        </w:rPr>
        <w:fldChar w:fldCharType="begin"/>
      </w:r>
      <w:r>
        <w:rPr>
          <w:rFonts w:hint="eastAsia" w:ascii="方正仿宋_GBK" w:hAnsi="方正仿宋_GBK" w:eastAsia="方正仿宋_GBK" w:cs="方正仿宋_GBK"/>
          <w:b/>
          <w:sz w:val="28"/>
        </w:rPr>
        <w:instrText xml:space="preserve"> TC 17、听证会经费（城乡公交车出租车票价）绩效目标表 \f C \l 1 </w:instrText>
      </w:r>
      <w:r>
        <w:rPr>
          <w:rFonts w:hint="eastAsia" w:ascii="方正仿宋_GBK" w:hAnsi="方正仿宋_GBK" w:eastAsia="方正仿宋_GBK" w:cs="方正仿宋_GBK"/>
          <w:b/>
          <w:sz w:val="28"/>
        </w:rPr>
        <w:fldChar w:fldCharType="end"/>
      </w:r>
      <w:bookmarkEnd w:id="21"/>
    </w:p>
    <w:p>
      <w:pPr>
        <w:spacing w:line="14" w:lineRule="exact"/>
        <w:ind w:firstLine="420" w:firstLineChars="200"/>
        <w:jc w:val="center"/>
        <w:rPr>
          <w:rFonts w:ascii="Times New Roman" w:hAnsi="宋体" w:cs="宋体"/>
          <w:b/>
        </w:rPr>
      </w:pPr>
      <w:r>
        <w:rPr>
          <w:rFonts w:hint="eastAsia" w:ascii="方正书宋_GBK" w:hAnsi="方正书宋_GBK" w:eastAsia="方正书宋_GBK" w:cs="方正书宋_GBK"/>
          <w:b/>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书宋_GBK" w:eastAsia="方正书宋_GBK"/>
                <w:b/>
              </w:rPr>
            </w:pPr>
            <w:r>
              <w:rPr>
                <w:rFonts w:ascii="方正书宋_GBK" w:eastAsia="方正书宋_GBK"/>
                <w:b/>
              </w:rPr>
              <w:t>303001</w:t>
            </w:r>
            <w:r>
              <w:rPr>
                <w:rFonts w:hint="eastAsia" w:ascii="方正书宋_GBK" w:eastAsia="方正书宋_GBK"/>
                <w:b/>
              </w:rPr>
              <w:t>隆尧县发展和改革局本级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val="en-US"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noWrap w:val="0"/>
            <w:vAlign w:val="center"/>
          </w:tcPr>
          <w:p>
            <w:pPr>
              <w:spacing w:line="300" w:lineRule="exact"/>
              <w:jc w:val="left"/>
              <w:rPr>
                <w:rFonts w:ascii="方正书宋_GBK" w:eastAsia="方正书宋_GBK"/>
              </w:rPr>
            </w:pPr>
            <w:r>
              <w:rPr>
                <w:rFonts w:ascii="方正书宋_GBK" w:eastAsia="方正书宋_GBK"/>
              </w:rPr>
              <w:t>13052521Y5MGTL9URH8LC</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应急物资储备库建设项目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83</w:t>
            </w:r>
            <w:r>
              <w:rPr>
                <w:rFonts w:hint="eastAsia" w:ascii="方正书宋_GBK" w:eastAsia="方正书宋_GBK"/>
                <w:lang w:val="en-US" w:eastAsia="zh-CN"/>
              </w:rPr>
              <w:t>.</w:t>
            </w:r>
            <w:r>
              <w:rPr>
                <w:rFonts w:ascii="方正书宋_GBK" w:eastAsia="方正书宋_GBK"/>
              </w:rPr>
              <w:t>20</w:t>
            </w:r>
          </w:p>
        </w:tc>
        <w:tc>
          <w:tcPr>
            <w:tcW w:w="1587"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83</w:t>
            </w:r>
            <w:r>
              <w:rPr>
                <w:rFonts w:hint="eastAsia" w:ascii="方正书宋_GBK" w:eastAsia="方正书宋_GBK"/>
                <w:lang w:val="en-US" w:eastAsia="zh-CN"/>
              </w:rPr>
              <w:t>.</w:t>
            </w:r>
            <w:r>
              <w:rPr>
                <w:rFonts w:ascii="方正书宋_GBK" w:eastAsia="方正书宋_GBK"/>
              </w:rPr>
              <w:t>20</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pPr>
              <w:spacing w:line="300" w:lineRule="exact"/>
              <w:jc w:val="left"/>
              <w:outlineLvl w:val="3"/>
            </w:pPr>
          </w:p>
        </w:tc>
        <w:tc>
          <w:tcPr>
            <w:tcW w:w="8278" w:type="dxa"/>
            <w:gridSpan w:val="6"/>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建立应急救灾物资储备库房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noWrap w:val="0"/>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pPr>
              <w:spacing w:line="300" w:lineRule="exact"/>
              <w:jc w:val="left"/>
              <w:outlineLvl w:val="3"/>
            </w:pPr>
          </w:p>
        </w:tc>
        <w:tc>
          <w:tcPr>
            <w:tcW w:w="2410"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noWrap w:val="0"/>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增强我县社会应急服务能力</w:t>
            </w:r>
          </w:p>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提高救灾物资存放能力，确保物资安全</w:t>
            </w:r>
          </w:p>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保障救灾物资安全，确保救灾物资供应</w:t>
            </w:r>
          </w:p>
        </w:tc>
      </w:tr>
    </w:tbl>
    <w:p>
      <w:pPr>
        <w:spacing w:line="14" w:lineRule="exact"/>
        <w:jc w:val="center"/>
        <w:rPr>
          <w:rFonts w:ascii="Times New Roman" w:hAnsi="宋体"/>
        </w:rPr>
      </w:pPr>
      <w:r>
        <w:rPr>
          <w:rFonts w:ascii="方正书宋_GBK" w:eastAsia="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资金支付率</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资金支付率</w:t>
            </w:r>
          </w:p>
        </w:tc>
        <w:tc>
          <w:tcPr>
            <w:tcW w:w="1276"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100</w:t>
            </w:r>
            <w:r>
              <w:rPr>
                <w:rFonts w:hint="eastAsia" w:ascii="方正书宋_GBK" w:eastAsia="方正书宋_GBK"/>
              </w:rPr>
              <w:t>资金支付程度</w:t>
            </w:r>
          </w:p>
        </w:tc>
        <w:tc>
          <w:tcPr>
            <w:tcW w:w="170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质量指标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实施方案完成情况</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实施方案完成情况</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工程方案完成情况</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时效指标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项目按计划完成率（</w:t>
            </w:r>
            <w:r>
              <w:rPr>
                <w:rFonts w:ascii="方正书宋_GBK" w:eastAsia="方正书宋_GBK"/>
              </w:rPr>
              <w:t>%</w:t>
            </w:r>
            <w:r>
              <w:rPr>
                <w:rFonts w:hint="eastAsia" w:ascii="方正书宋_GBK" w:eastAsia="方正书宋_GBK"/>
              </w:rPr>
              <w:t>）</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项目按计划完成率（</w:t>
            </w:r>
            <w:r>
              <w:rPr>
                <w:rFonts w:ascii="方正书宋_GBK" w:eastAsia="方正书宋_GBK"/>
              </w:rPr>
              <w:t>%</w:t>
            </w:r>
            <w:r>
              <w:rPr>
                <w:rFonts w:hint="eastAsia" w:ascii="方正书宋_GBK" w:eastAsia="方正书宋_GBK"/>
              </w:rPr>
              <w:t>）</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项目按计划完成程度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pPr>
              <w:spacing w:line="300" w:lineRule="exact"/>
              <w:jc w:val="center"/>
              <w:rPr>
                <w:rFonts w:hint="eastAsia" w:ascii="方正书宋_GBK" w:eastAsia="方正书宋_GBK"/>
              </w:rPr>
            </w:pP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成本指标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资金成本</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资金成本</w:t>
            </w:r>
          </w:p>
        </w:tc>
        <w:tc>
          <w:tcPr>
            <w:tcW w:w="1276"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资金实际支付成本</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效益指标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社会效益指标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保障服务能力</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保障服务能力</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救灾保障服务明显提升</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满意度指标</w:t>
            </w:r>
          </w:p>
        </w:tc>
        <w:tc>
          <w:tcPr>
            <w:tcW w:w="113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服务对象满意度指标</w:t>
            </w:r>
          </w:p>
        </w:tc>
        <w:tc>
          <w:tcPr>
            <w:tcW w:w="1276"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社会公众满意度</w:t>
            </w:r>
          </w:p>
        </w:tc>
        <w:tc>
          <w:tcPr>
            <w:tcW w:w="289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社会公众满意度</w:t>
            </w:r>
          </w:p>
        </w:tc>
        <w:tc>
          <w:tcPr>
            <w:tcW w:w="1276" w:type="dxa"/>
            <w:shd w:val="clear" w:color="auto" w:fill="auto"/>
            <w:noWrap w:val="0"/>
            <w:vAlign w:val="center"/>
          </w:tcPr>
          <w:p>
            <w:pPr>
              <w:spacing w:line="300" w:lineRule="exact"/>
              <w:jc w:val="left"/>
              <w:rPr>
                <w:rFonts w:hint="eastAsia" w:ascii="方正书宋_GBK" w:eastAsia="方正书宋_GBK"/>
              </w:rPr>
            </w:pPr>
            <w:r>
              <w:rPr>
                <w:rFonts w:ascii="方正书宋_GBK" w:eastAsia="方正书宋_GBK"/>
              </w:rPr>
              <w:t>100</w:t>
            </w:r>
            <w:r>
              <w:rPr>
                <w:rFonts w:hint="eastAsia" w:ascii="方正书宋_GBK" w:eastAsia="方正书宋_GBK"/>
              </w:rPr>
              <w:t>社会公众满意程度</w:t>
            </w:r>
          </w:p>
        </w:tc>
        <w:tc>
          <w:tcPr>
            <w:tcW w:w="170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评定</w:t>
            </w:r>
          </w:p>
        </w:tc>
      </w:tr>
    </w:tbl>
    <w:p>
      <w:pPr>
        <w:spacing w:line="300" w:lineRule="exact"/>
        <w:ind w:firstLine="420" w:firstLineChars="200"/>
        <w:jc w:val="left"/>
        <w:rPr>
          <w:rFonts w:ascii="方正书宋_GBK" w:hAnsi="方正书宋_GBK" w:eastAsia="方正书宋_GBK" w:cs="方正书宋_GBK"/>
          <w:b/>
        </w:rPr>
      </w:pPr>
    </w:p>
    <w:p>
      <w:pPr>
        <w:tabs>
          <w:tab w:val="left" w:pos="221"/>
        </w:tabs>
        <w:bidi w:val="0"/>
        <w:jc w:val="left"/>
        <w:rPr>
          <w:rFonts w:hint="eastAsia" w:cs="黑体"/>
          <w:kern w:val="2"/>
          <w:sz w:val="21"/>
          <w:szCs w:val="22"/>
          <w:lang w:val="en-US" w:eastAsia="zh-CN" w:bidi="ar-SA"/>
        </w:rPr>
      </w:pPr>
      <w:r>
        <w:rPr>
          <w:rFonts w:hint="eastAsia" w:cs="黑体"/>
          <w:kern w:val="2"/>
          <w:sz w:val="21"/>
          <w:szCs w:val="22"/>
          <w:lang w:val="en-US" w:eastAsia="zh-CN" w:bidi="ar-SA"/>
        </w:rPr>
        <w:tab/>
      </w:r>
    </w:p>
    <w:p>
      <w:pPr>
        <w:tabs>
          <w:tab w:val="left" w:pos="221"/>
        </w:tabs>
        <w:bidi w:val="0"/>
        <w:jc w:val="left"/>
        <w:rPr>
          <w:rFonts w:ascii="Calibri" w:hAnsi="Calibri" w:eastAsia="宋体" w:cs="黑体"/>
          <w:kern w:val="2"/>
          <w:sz w:val="21"/>
          <w:szCs w:val="22"/>
          <w:lang w:val="en-US" w:eastAsia="zh-CN" w:bidi="ar-SA"/>
        </w:rPr>
        <w:sectPr>
          <w:pgSz w:w="11906" w:h="16838"/>
          <w:pgMar w:top="1984" w:right="1304" w:bottom="1134" w:left="1304" w:header="851" w:footer="992" w:gutter="0"/>
          <w:cols w:space="720" w:num="1"/>
          <w:docGrid w:type="lines" w:linePitch="312" w:charSpace="0"/>
        </w:sectPr>
      </w:pPr>
    </w:p>
    <w:p>
      <w:pPr>
        <w:spacing w:line="14" w:lineRule="exact"/>
        <w:jc w:val="both"/>
        <w:rPr>
          <w:rFonts w:ascii="Times New Roman" w:hAnsi="宋体" w:cs="宋体"/>
          <w:b/>
        </w:rPr>
      </w:pPr>
      <w:r>
        <w:rPr>
          <w:rFonts w:hint="eastAsia" w:ascii="方正书宋_GBK" w:hAnsi="方正书宋_GBK" w:eastAsia="方正书宋_GBK" w:cs="方正书宋_GBK"/>
          <w:b/>
        </w:rPr>
        <w:t xml:space="preserve"> </w:t>
      </w:r>
    </w:p>
    <w:p>
      <w:pPr>
        <w:bidi w:val="0"/>
        <w:jc w:val="left"/>
        <w:rPr>
          <w:rFonts w:ascii="Calibri" w:hAnsi="Calibri" w:eastAsia="宋体" w:cs="黑体"/>
          <w:kern w:val="2"/>
          <w:sz w:val="21"/>
          <w:szCs w:val="22"/>
          <w:lang w:val="en-US" w:eastAsia="zh-CN" w:bidi="ar-SA"/>
        </w:rPr>
      </w:pPr>
    </w:p>
    <w:p>
      <w:pPr>
        <w:spacing w:line="300" w:lineRule="exact"/>
        <w:ind w:firstLine="420" w:firstLineChars="200"/>
        <w:jc w:val="left"/>
        <w:rPr>
          <w:rFonts w:ascii="方正书宋_GBK" w:hAnsi="方正书宋_GBK" w:eastAsia="方正书宋_GBK" w:cs="方正书宋_GBK"/>
          <w:b/>
        </w:rPr>
      </w:pPr>
    </w:p>
    <w:bookmarkEnd w:id="0"/>
    <w:p>
      <w:pPr>
        <w:autoSpaceDE w:val="0"/>
        <w:autoSpaceDN w:val="0"/>
        <w:adjustRightInd w:val="0"/>
        <w:ind w:firstLine="960" w:firstLineChars="300"/>
        <w:jc w:val="left"/>
        <w:rPr>
          <w:rFonts w:ascii="黑体" w:hAnsi="黑体" w:eastAsia="黑体" w:cs="Times New Roman"/>
          <w:sz w:val="32"/>
          <w:szCs w:val="32"/>
        </w:rPr>
      </w:pPr>
      <w:r>
        <w:rPr>
          <w:rFonts w:hint="eastAsia" w:ascii="黑体" w:hAnsi="黑体" w:eastAsia="黑体" w:cs="Times New Roman"/>
          <w:sz w:val="32"/>
          <w:szCs w:val="32"/>
        </w:rPr>
        <w:t>六、政府采购预算情况</w:t>
      </w:r>
    </w:p>
    <w:p>
      <w:pPr>
        <w:ind w:firstLine="640" w:firstLineChars="200"/>
        <w:outlineLvl w:val="0"/>
        <w:rPr>
          <w:rFonts w:ascii="Times New Roman" w:hAnsi="Times New Roman" w:eastAsia="仿宋" w:cs="Times New Roman"/>
          <w:sz w:val="32"/>
          <w:szCs w:val="24"/>
        </w:rPr>
      </w:pPr>
      <w:bookmarkStart w:id="22" w:name="_Toc471398468"/>
      <w:r>
        <w:rPr>
          <w:rFonts w:ascii="Times New Roman" w:hAnsi="Times New Roman" w:eastAsia="仿宋" w:cs="Times New Roman"/>
          <w:sz w:val="32"/>
          <w:szCs w:val="24"/>
        </w:rPr>
        <w:t xml:space="preserve"> 20</w:t>
      </w:r>
      <w:r>
        <w:rPr>
          <w:rFonts w:hint="eastAsia" w:ascii="Times New Roman" w:hAnsi="Times New Roman" w:eastAsia="仿宋" w:cs="Times New Roman"/>
          <w:sz w:val="32"/>
          <w:szCs w:val="24"/>
        </w:rPr>
        <w:t>2</w:t>
      </w:r>
      <w:r>
        <w:rPr>
          <w:rFonts w:hint="eastAsia" w:ascii="Times New Roman" w:hAnsi="Times New Roman" w:eastAsia="仿宋" w:cs="Times New Roman"/>
          <w:sz w:val="32"/>
          <w:szCs w:val="24"/>
          <w:lang w:val="en-US" w:eastAsia="zh-CN"/>
        </w:rPr>
        <w:t>1</w:t>
      </w:r>
      <w:r>
        <w:rPr>
          <w:rFonts w:ascii="Times New Roman" w:hAnsi="Times New Roman" w:eastAsia="仿宋" w:cs="Times New Roman"/>
          <w:sz w:val="32"/>
          <w:szCs w:val="24"/>
        </w:rPr>
        <w:t>年，</w:t>
      </w:r>
      <w:r>
        <w:rPr>
          <w:rFonts w:hint="eastAsia" w:ascii="Times New Roman" w:hAnsi="Times New Roman" w:eastAsia="仿宋" w:cs="Times New Roman"/>
          <w:sz w:val="32"/>
          <w:szCs w:val="24"/>
        </w:rPr>
        <w:t>我部门</w:t>
      </w:r>
      <w:r>
        <w:rPr>
          <w:rFonts w:ascii="Times New Roman" w:hAnsi="Times New Roman" w:eastAsia="仿宋" w:cs="Times New Roman"/>
          <w:sz w:val="32"/>
          <w:szCs w:val="24"/>
        </w:rPr>
        <w:t>安排政府采购预算</w:t>
      </w:r>
      <w:r>
        <w:rPr>
          <w:rFonts w:hint="eastAsia" w:ascii="Times New Roman" w:hAnsi="Times New Roman" w:eastAsia="仿宋" w:cs="Times New Roman"/>
          <w:sz w:val="32"/>
          <w:szCs w:val="24"/>
          <w:lang w:val="en-US" w:eastAsia="zh-CN"/>
        </w:rPr>
        <w:t>171.82</w:t>
      </w:r>
      <w:r>
        <w:rPr>
          <w:rFonts w:ascii="Times New Roman" w:hAnsi="Times New Roman" w:eastAsia="仿宋" w:cs="Times New Roman"/>
          <w:sz w:val="32"/>
          <w:szCs w:val="24"/>
        </w:rPr>
        <w:t>万元。具体内容见下表。</w:t>
      </w:r>
      <w:bookmarkEnd w:id="22"/>
    </w:p>
    <w:p>
      <w:pPr>
        <w:ind w:firstLine="640" w:firstLineChars="200"/>
        <w:jc w:val="center"/>
        <w:outlineLvl w:val="0"/>
        <w:rPr>
          <w:rFonts w:ascii="Times New Roman" w:hAnsi="宋体" w:cs="宋体"/>
          <w:b/>
          <w:sz w:val="32"/>
        </w:rPr>
      </w:pPr>
      <w:r>
        <w:rPr>
          <w:rFonts w:hint="eastAsia" w:ascii="方正小标宋_GBK" w:hAnsi="方正小标宋_GBK" w:eastAsia="方正小标宋_GBK" w:cs="方正小标宋_GBK"/>
          <w:b/>
          <w:sz w:val="32"/>
        </w:rPr>
        <w:t>部门政府采购预算</w:t>
      </w:r>
      <w:bookmarkStart w:id="23" w:name="_Toc18191"/>
      <w:bookmarkStart w:id="24" w:name="_Toc16899"/>
      <w:r>
        <w:rPr>
          <w:rFonts w:hint="eastAsia"/>
        </w:rPr>
        <w:fldChar w:fldCharType="begin"/>
      </w:r>
      <w:r>
        <w:rPr>
          <w:rFonts w:hint="eastAsia" w:ascii="方正小标宋_GBK" w:hAnsi="方正小标宋_GBK" w:eastAsia="方正小标宋_GBK" w:cs="方正小标宋_GBK"/>
          <w:b/>
          <w:sz w:val="32"/>
        </w:rPr>
        <w:instrText xml:space="preserve"> TC 部门政府采购预算 \f A \l 1 </w:instrText>
      </w:r>
      <w:r>
        <w:rPr>
          <w:rFonts w:hint="eastAsia" w:ascii="方正小标宋_GBK" w:hAnsi="方正小标宋_GBK" w:eastAsia="方正小标宋_GBK" w:cs="方正小标宋_GBK"/>
          <w:b/>
          <w:sz w:val="32"/>
        </w:rPr>
        <w:fldChar w:fldCharType="end"/>
      </w:r>
      <w:bookmarkEnd w:id="23"/>
      <w:bookmarkEnd w:id="24"/>
    </w:p>
    <w:p>
      <w:pPr>
        <w:spacing w:line="300" w:lineRule="exact"/>
        <w:ind w:firstLine="640" w:firstLineChars="200"/>
        <w:jc w:val="left"/>
        <w:outlineLvl w:val="0"/>
        <w:rPr>
          <w:rFonts w:ascii="方正小标宋_GBK" w:hAnsi="方正小标宋_GBK" w:eastAsia="方正小标宋_GBK" w:cs="方正小标宋_GBK"/>
          <w:b/>
          <w:sz w:val="32"/>
        </w:rPr>
      </w:pPr>
    </w:p>
    <w:p>
      <w:pPr>
        <w:jc w:val="center"/>
        <w:outlineLvl w:val="1"/>
        <w:rPr>
          <w:rFonts w:hint="eastAsia" w:ascii="Times New Roman" w:hAnsi="宋体"/>
          <w:sz w:val="32"/>
        </w:rPr>
      </w:pPr>
      <w:bookmarkStart w:id="25" w:name="_Toc66011002"/>
      <w:r>
        <w:rPr>
          <w:rFonts w:hint="eastAsia" w:ascii="方正小标宋_GBK" w:eastAsia="方正小标宋_GBK"/>
          <w:sz w:val="32"/>
        </w:rPr>
        <w:t>部门政府采购预算</w:t>
      </w:r>
      <w:bookmarkEnd w:id="25"/>
    </w:p>
    <w:tbl>
      <w:tblPr>
        <w:tblStyle w:val="7"/>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noWrap w:val="0"/>
            <w:vAlign w:val="center"/>
          </w:tcPr>
          <w:p>
            <w:pPr>
              <w:spacing w:line="300" w:lineRule="exact"/>
              <w:jc w:val="left"/>
              <w:rPr>
                <w:rFonts w:ascii="方正小标宋_GBK" w:eastAsia="方正小标宋_GBK"/>
                <w:sz w:val="24"/>
              </w:rPr>
            </w:pPr>
            <w:r>
              <w:rPr>
                <w:rFonts w:ascii="方正小标宋_GBK" w:eastAsia="方正小标宋_GBK"/>
                <w:sz w:val="24"/>
              </w:rPr>
              <w:t>303</w:t>
            </w:r>
            <w:r>
              <w:rPr>
                <w:rFonts w:hint="eastAsia" w:ascii="方正小标宋_GBK" w:eastAsia="方正小标宋_GBK"/>
                <w:sz w:val="24"/>
              </w:rPr>
              <w:t>隆尧县发展和改革局</w:t>
            </w:r>
          </w:p>
        </w:tc>
        <w:tc>
          <w:tcPr>
            <w:tcW w:w="6804"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sz w:val="24"/>
              </w:rPr>
            </w:pPr>
            <w:r>
              <w:rPr>
                <w:rFonts w:hint="eastAsia" w:ascii="方正书宋_GBK" w:eastAsia="方正书宋_GBK"/>
                <w:sz w:val="24"/>
              </w:rPr>
              <w:t>单位：</w:t>
            </w:r>
            <w:r>
              <w:rPr>
                <w:rFonts w:hint="eastAsia" w:ascii="方正书宋_GBK" w:eastAsia="方正书宋_GBK"/>
                <w:sz w:val="24"/>
                <w:lang w:val="en-US" w:eastAsia="zh-CN"/>
              </w:rPr>
              <w:t>万</w:t>
            </w:r>
            <w:r>
              <w:rPr>
                <w:rFonts w:hint="eastAsia" w:ascii="方正书宋_GBK" w:eastAsia="方正书宋_GBK"/>
                <w:sz w:val="24"/>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3118" w:type="dxa"/>
            <w:gridSpan w:val="2"/>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noWrap w:val="0"/>
            <w:vAlign w:val="center"/>
          </w:tcPr>
          <w:p>
            <w:pPr>
              <w:spacing w:line="300" w:lineRule="exact"/>
              <w:jc w:val="left"/>
              <w:outlineLvl w:val="1"/>
              <w:rPr>
                <w:rFonts w:ascii="Times New Roman" w:eastAsia="方正仿宋_GBK"/>
                <w:sz w:val="28"/>
              </w:rPr>
            </w:pPr>
          </w:p>
        </w:tc>
        <w:tc>
          <w:tcPr>
            <w:tcW w:w="1531" w:type="dxa"/>
            <w:vMerge w:val="continue"/>
            <w:shd w:val="clear" w:color="auto" w:fill="auto"/>
            <w:noWrap w:val="0"/>
            <w:vAlign w:val="center"/>
          </w:tcPr>
          <w:p>
            <w:pPr>
              <w:spacing w:line="300" w:lineRule="exact"/>
              <w:jc w:val="left"/>
              <w:outlineLvl w:val="1"/>
              <w:rPr>
                <w:rFonts w:ascii="Times New Roman" w:eastAsia="方正仿宋_GBK"/>
                <w:sz w:val="28"/>
              </w:rPr>
            </w:pPr>
          </w:p>
        </w:tc>
        <w:tc>
          <w:tcPr>
            <w:tcW w:w="709" w:type="dxa"/>
            <w:vMerge w:val="continue"/>
            <w:shd w:val="clear" w:color="auto" w:fill="auto"/>
            <w:noWrap w:val="0"/>
            <w:vAlign w:val="center"/>
          </w:tcPr>
          <w:p>
            <w:pPr>
              <w:spacing w:line="300" w:lineRule="exact"/>
              <w:jc w:val="left"/>
              <w:outlineLvl w:val="1"/>
              <w:rPr>
                <w:rFonts w:ascii="Times New Roman" w:eastAsia="方正仿宋_GBK"/>
                <w:sz w:val="28"/>
              </w:rPr>
            </w:pPr>
          </w:p>
        </w:tc>
        <w:tc>
          <w:tcPr>
            <w:tcW w:w="907" w:type="dxa"/>
            <w:vMerge w:val="continue"/>
            <w:shd w:val="clear" w:color="auto" w:fill="auto"/>
            <w:noWrap w:val="0"/>
            <w:vAlign w:val="center"/>
          </w:tcPr>
          <w:p>
            <w:pPr>
              <w:spacing w:line="300" w:lineRule="exact"/>
              <w:jc w:val="left"/>
              <w:outlineLvl w:val="1"/>
              <w:rPr>
                <w:rFonts w:ascii="Times New Roman" w:eastAsia="方正仿宋_GBK"/>
                <w:sz w:val="28"/>
              </w:rPr>
            </w:pPr>
          </w:p>
        </w:tc>
        <w:tc>
          <w:tcPr>
            <w:tcW w:w="907" w:type="dxa"/>
            <w:vMerge w:val="continue"/>
            <w:shd w:val="clear" w:color="auto" w:fill="auto"/>
            <w:noWrap w:val="0"/>
            <w:vAlign w:val="center"/>
          </w:tcPr>
          <w:p>
            <w:pPr>
              <w:spacing w:line="300" w:lineRule="exact"/>
              <w:jc w:val="left"/>
              <w:outlineLvl w:val="1"/>
              <w:rPr>
                <w:rFonts w:ascii="Times New Roman" w:eastAsia="方正仿宋_GBK"/>
                <w:sz w:val="28"/>
              </w:rPr>
            </w:pP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5" w:hRule="atLeast"/>
          <w:jc w:val="center"/>
        </w:trPr>
        <w:tc>
          <w:tcPr>
            <w:tcW w:w="198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jc w:val="left"/>
              <w:rPr>
                <w:rFonts w:ascii="方正书宋_GBK" w:eastAsia="方正书宋_GBK"/>
                <w:b/>
              </w:rPr>
            </w:pPr>
          </w:p>
        </w:tc>
        <w:tc>
          <w:tcPr>
            <w:tcW w:w="1531" w:type="dxa"/>
            <w:shd w:val="clear" w:color="auto" w:fill="auto"/>
            <w:noWrap w:val="0"/>
            <w:vAlign w:val="center"/>
          </w:tcPr>
          <w:p>
            <w:pPr>
              <w:spacing w:line="300" w:lineRule="exact"/>
              <w:jc w:val="lef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r>
              <w:rPr>
                <w:rFonts w:ascii="方正书宋_GBK" w:eastAsia="方正书宋_GBK"/>
                <w:b/>
              </w:rPr>
              <w:t>171</w:t>
            </w:r>
            <w:r>
              <w:rPr>
                <w:rFonts w:hint="eastAsia" w:ascii="方正书宋_GBK" w:eastAsia="方正书宋_GBK"/>
                <w:b/>
                <w:lang w:val="en-US" w:eastAsia="zh-CN"/>
              </w:rPr>
              <w:t>.</w:t>
            </w:r>
            <w:r>
              <w:rPr>
                <w:rFonts w:ascii="方正书宋_GBK" w:eastAsia="方正书宋_GBK"/>
                <w:b/>
              </w:rPr>
              <w:t>82</w:t>
            </w:r>
          </w:p>
        </w:tc>
        <w:tc>
          <w:tcPr>
            <w:tcW w:w="1134" w:type="dxa"/>
            <w:shd w:val="clear" w:color="auto" w:fill="auto"/>
            <w:noWrap w:val="0"/>
            <w:vAlign w:val="center"/>
          </w:tcPr>
          <w:p>
            <w:pPr>
              <w:spacing w:line="300" w:lineRule="exact"/>
              <w:jc w:val="right"/>
              <w:rPr>
                <w:rFonts w:ascii="方正书宋_GBK" w:eastAsia="方正书宋_GBK"/>
                <w:b/>
              </w:rPr>
            </w:pPr>
            <w:r>
              <w:rPr>
                <w:rFonts w:ascii="方正书宋_GBK" w:eastAsia="方正书宋_GBK"/>
                <w:b/>
              </w:rPr>
              <w:t>171</w:t>
            </w:r>
            <w:r>
              <w:rPr>
                <w:rFonts w:hint="eastAsia" w:ascii="方正书宋_GBK" w:eastAsia="方正书宋_GBK"/>
                <w:b/>
                <w:lang w:val="en-US" w:eastAsia="zh-CN"/>
              </w:rPr>
              <w:t>.</w:t>
            </w:r>
            <w:r>
              <w:rPr>
                <w:rFonts w:ascii="方正书宋_GBK" w:eastAsia="方正书宋_GBK"/>
                <w:b/>
              </w:rPr>
              <w:t>82</w:t>
            </w: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center"/>
              <w:rPr>
                <w:rFonts w:hint="eastAsia" w:ascii="方正书宋_GBK" w:eastAsia="方正书宋_GBK"/>
                <w:b/>
              </w:rPr>
            </w:pPr>
            <w:r>
              <w:rPr>
                <w:rFonts w:hint="eastAsia" w:ascii="方正书宋_GBK" w:eastAsia="方正书宋_GBK"/>
                <w:b/>
              </w:rPr>
              <w:t>隆尧县发展和改革局本级小计</w:t>
            </w: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jc w:val="left"/>
              <w:rPr>
                <w:rFonts w:ascii="方正书宋_GBK" w:eastAsia="方正书宋_GBK"/>
                <w:b/>
              </w:rPr>
            </w:pPr>
          </w:p>
        </w:tc>
        <w:tc>
          <w:tcPr>
            <w:tcW w:w="1531" w:type="dxa"/>
            <w:shd w:val="clear" w:color="auto" w:fill="auto"/>
            <w:noWrap w:val="0"/>
            <w:vAlign w:val="center"/>
          </w:tcPr>
          <w:p>
            <w:pPr>
              <w:spacing w:line="300" w:lineRule="exact"/>
              <w:jc w:val="lef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r>
              <w:rPr>
                <w:rFonts w:ascii="方正书宋_GBK" w:eastAsia="方正书宋_GBK"/>
                <w:b/>
              </w:rPr>
              <w:t>171</w:t>
            </w:r>
            <w:r>
              <w:rPr>
                <w:rFonts w:hint="eastAsia" w:ascii="方正书宋_GBK" w:eastAsia="方正书宋_GBK"/>
                <w:b/>
                <w:lang w:val="en-US" w:eastAsia="zh-CN"/>
              </w:rPr>
              <w:t>.</w:t>
            </w:r>
            <w:r>
              <w:rPr>
                <w:rFonts w:ascii="方正书宋_GBK" w:eastAsia="方正书宋_GBK"/>
                <w:b/>
              </w:rPr>
              <w:t>82</w:t>
            </w:r>
          </w:p>
        </w:tc>
        <w:tc>
          <w:tcPr>
            <w:tcW w:w="1134" w:type="dxa"/>
            <w:shd w:val="clear" w:color="auto" w:fill="auto"/>
            <w:noWrap w:val="0"/>
            <w:vAlign w:val="center"/>
          </w:tcPr>
          <w:p>
            <w:pPr>
              <w:spacing w:line="300" w:lineRule="exact"/>
              <w:jc w:val="right"/>
              <w:rPr>
                <w:rFonts w:ascii="方正书宋_GBK" w:eastAsia="方正书宋_GBK"/>
                <w:b/>
              </w:rPr>
            </w:pPr>
            <w:r>
              <w:rPr>
                <w:rFonts w:ascii="方正书宋_GBK" w:eastAsia="方正书宋_GBK"/>
                <w:b/>
              </w:rPr>
              <w:t>171</w:t>
            </w:r>
            <w:r>
              <w:rPr>
                <w:rFonts w:hint="eastAsia" w:ascii="方正书宋_GBK" w:eastAsia="方正书宋_GBK"/>
                <w:b/>
                <w:lang w:val="en-US" w:eastAsia="zh-CN"/>
              </w:rPr>
              <w:t>.</w:t>
            </w:r>
            <w:r>
              <w:rPr>
                <w:rFonts w:ascii="方正书宋_GBK" w:eastAsia="方正书宋_GBK"/>
                <w:b/>
              </w:rPr>
              <w:t>82</w:t>
            </w: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运转类公用项目</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39</w:t>
            </w:r>
            <w:r>
              <w:rPr>
                <w:rFonts w:hint="eastAsia" w:ascii="方正书宋_GBK" w:eastAsia="方正书宋_GBK"/>
                <w:lang w:val="en-US" w:eastAsia="zh-CN"/>
              </w:rPr>
              <w:t>.</w:t>
            </w:r>
            <w:r>
              <w:rPr>
                <w:rFonts w:ascii="方正书宋_GBK" w:eastAsia="方正书宋_GBK"/>
              </w:rPr>
              <w:t>04</w:t>
            </w:r>
          </w:p>
        </w:tc>
        <w:tc>
          <w:tcPr>
            <w:tcW w:w="1531" w:type="dxa"/>
            <w:shd w:val="clear" w:color="auto" w:fill="auto"/>
            <w:noWrap w:val="0"/>
            <w:vAlign w:val="center"/>
          </w:tcPr>
          <w:p>
            <w:pPr>
              <w:spacing w:line="300" w:lineRule="exact"/>
              <w:jc w:val="left"/>
              <w:rPr>
                <w:rFonts w:ascii="方正书宋_GBK" w:eastAsia="方正书宋_GBK"/>
              </w:rPr>
            </w:pPr>
            <w:r>
              <w:rPr>
                <w:rFonts w:hint="eastAsia" w:ascii="方正书宋_GBK" w:eastAsia="方正书宋_GBK"/>
              </w:rPr>
              <w:t>复印纸</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A090101</w:t>
            </w:r>
          </w:p>
        </w:tc>
        <w:tc>
          <w:tcPr>
            <w:tcW w:w="709" w:type="dxa"/>
            <w:shd w:val="clear" w:color="auto" w:fill="auto"/>
            <w:noWrap w:val="0"/>
            <w:vAlign w:val="center"/>
          </w:tcPr>
          <w:p>
            <w:pPr>
              <w:spacing w:line="300" w:lineRule="exact"/>
              <w:jc w:val="center"/>
              <w:rPr>
                <w:rFonts w:ascii="方正书宋_GBK" w:eastAsia="方正书宋_GBK"/>
              </w:rPr>
            </w:pPr>
            <w:r>
              <w:rPr>
                <w:rFonts w:hint="eastAsia" w:ascii="方正书宋_GBK" w:eastAsia="方正书宋_GBK"/>
              </w:rPr>
              <w:t>箱</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50</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0.02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1.00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1.00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隆尧县救灾物资储备管理</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100.00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其他家具用具</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A0699</w:t>
            </w:r>
          </w:p>
        </w:tc>
        <w:tc>
          <w:tcPr>
            <w:tcW w:w="709"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张</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440</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0.02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7.92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7.92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隆尧县救灾物资储备管理</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100.00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其他被服附件</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A0703010599</w:t>
            </w:r>
          </w:p>
        </w:tc>
        <w:tc>
          <w:tcPr>
            <w:tcW w:w="709"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套</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2680</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0.02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53.60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53.60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隆尧县救灾物资储备管理</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100.00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天篷、遮阳篷、帐篷</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A07030401</w:t>
            </w:r>
          </w:p>
        </w:tc>
        <w:tc>
          <w:tcPr>
            <w:tcW w:w="709" w:type="dxa"/>
            <w:shd w:val="clear" w:color="auto" w:fill="auto"/>
            <w:noWrap w:val="0"/>
            <w:vAlign w:val="center"/>
          </w:tcPr>
          <w:p>
            <w:pPr>
              <w:spacing w:line="300" w:lineRule="exact"/>
              <w:jc w:val="center"/>
              <w:rPr>
                <w:rFonts w:hint="eastAsia" w:ascii="方正书宋_GBK" w:eastAsia="方正书宋_GBK"/>
              </w:rPr>
            </w:pPr>
            <w:r>
              <w:rPr>
                <w:rFonts w:hint="eastAsia" w:ascii="方正书宋_GBK" w:eastAsia="方正书宋_GBK"/>
              </w:rPr>
              <w:t>顶</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110</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0.21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23.10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23.10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全县重点项目建设经费</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台式计算机</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A02010104</w:t>
            </w:r>
          </w:p>
        </w:tc>
        <w:tc>
          <w:tcPr>
            <w:tcW w:w="709" w:type="dxa"/>
            <w:shd w:val="clear" w:color="auto" w:fill="auto"/>
            <w:noWrap w:val="0"/>
            <w:vAlign w:val="center"/>
          </w:tcPr>
          <w:p>
            <w:pPr>
              <w:spacing w:line="300" w:lineRule="exact"/>
              <w:jc w:val="center"/>
              <w:rPr>
                <w:rFonts w:hint="default" w:ascii="方正书宋_GBK" w:eastAsia="方正书宋_GBK"/>
                <w:lang w:val="en-US" w:eastAsia="zh-CN"/>
              </w:rPr>
            </w:pPr>
            <w:r>
              <w:rPr>
                <w:rFonts w:hint="eastAsia" w:ascii="方正书宋_GBK" w:eastAsia="方正书宋_GBK"/>
                <w:lang w:val="en-US" w:eastAsia="zh-CN"/>
              </w:rPr>
              <w:t>台</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0.40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0.80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0.80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全县重点项目建设经费</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激光打印机</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A0201060102</w:t>
            </w:r>
          </w:p>
        </w:tc>
        <w:tc>
          <w:tcPr>
            <w:tcW w:w="709" w:type="dxa"/>
            <w:shd w:val="clear" w:color="auto" w:fill="auto"/>
            <w:noWrap w:val="0"/>
            <w:vAlign w:val="center"/>
          </w:tcPr>
          <w:p>
            <w:pPr>
              <w:spacing w:line="300" w:lineRule="exact"/>
              <w:jc w:val="center"/>
              <w:rPr>
                <w:rFonts w:hint="eastAsia" w:ascii="方正书宋_GBK" w:eastAsia="方正书宋_GBK"/>
                <w:lang w:eastAsia="zh-CN"/>
              </w:rPr>
            </w:pPr>
            <w:r>
              <w:rPr>
                <w:rFonts w:hint="eastAsia" w:ascii="方正书宋_GBK" w:eastAsia="方正书宋_GBK"/>
                <w:lang w:val="en-US" w:eastAsia="zh-CN"/>
              </w:rPr>
              <w:t>台</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3</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0.20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0.60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0.60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全县重点项目建设经费</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液晶显示器</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A0201060401</w:t>
            </w:r>
          </w:p>
        </w:tc>
        <w:tc>
          <w:tcPr>
            <w:tcW w:w="709" w:type="dxa"/>
            <w:shd w:val="clear" w:color="auto" w:fill="auto"/>
            <w:noWrap w:val="0"/>
            <w:vAlign w:val="center"/>
          </w:tcPr>
          <w:p>
            <w:pPr>
              <w:spacing w:line="300" w:lineRule="exact"/>
              <w:jc w:val="center"/>
              <w:rPr>
                <w:rFonts w:hint="eastAsia" w:ascii="方正书宋_GBK" w:eastAsia="方正书宋_GBK"/>
                <w:lang w:eastAsia="zh-CN"/>
              </w:rPr>
            </w:pPr>
            <w:r>
              <w:rPr>
                <w:rFonts w:hint="eastAsia" w:ascii="方正书宋_GBK" w:eastAsia="方正书宋_GBK"/>
                <w:lang w:val="en-US" w:eastAsia="zh-CN"/>
              </w:rPr>
              <w:t>台</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1</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0.20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0.20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0.20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全县重点项目建设经费</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空调机</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A0206180203</w:t>
            </w:r>
          </w:p>
        </w:tc>
        <w:tc>
          <w:tcPr>
            <w:tcW w:w="709" w:type="dxa"/>
            <w:shd w:val="clear" w:color="auto" w:fill="auto"/>
            <w:noWrap w:val="0"/>
            <w:vAlign w:val="center"/>
          </w:tcPr>
          <w:p>
            <w:pPr>
              <w:spacing w:line="300" w:lineRule="exact"/>
              <w:jc w:val="center"/>
              <w:rPr>
                <w:rFonts w:hint="eastAsia" w:ascii="方正书宋_GBK" w:eastAsia="方正书宋_GBK"/>
                <w:lang w:eastAsia="zh-CN"/>
              </w:rPr>
            </w:pPr>
            <w:r>
              <w:rPr>
                <w:rFonts w:hint="eastAsia" w:ascii="方正书宋_GBK" w:eastAsia="方正书宋_GBK"/>
                <w:lang w:val="en-US" w:eastAsia="zh-CN"/>
              </w:rPr>
              <w:t>台</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0.25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0.50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0.50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全县重点项目建设经费</w:t>
            </w:r>
          </w:p>
        </w:tc>
        <w:tc>
          <w:tcPr>
            <w:tcW w:w="1134"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20.00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木制台、桌类</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A060205</w:t>
            </w:r>
          </w:p>
        </w:tc>
        <w:tc>
          <w:tcPr>
            <w:tcW w:w="709" w:type="dxa"/>
            <w:shd w:val="clear" w:color="auto" w:fill="auto"/>
            <w:noWrap w:val="0"/>
            <w:vAlign w:val="center"/>
          </w:tcPr>
          <w:p>
            <w:pPr>
              <w:spacing w:line="300" w:lineRule="exact"/>
              <w:jc w:val="center"/>
              <w:rPr>
                <w:rFonts w:hint="eastAsia" w:ascii="方正书宋_GBK" w:eastAsia="方正书宋_GBK"/>
                <w:lang w:eastAsia="zh-CN"/>
              </w:rPr>
            </w:pPr>
            <w:r>
              <w:rPr>
                <w:rFonts w:hint="eastAsia" w:ascii="方正书宋_GBK" w:eastAsia="方正书宋_GBK"/>
                <w:lang w:val="en-US" w:eastAsia="zh-CN"/>
              </w:rPr>
              <w:t>张</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2</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0.45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0.90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0.90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应急物资储备库建设项目</w:t>
            </w:r>
          </w:p>
        </w:tc>
        <w:tc>
          <w:tcPr>
            <w:tcW w:w="1134" w:type="dxa"/>
            <w:shd w:val="clear" w:color="auto" w:fill="auto"/>
            <w:noWrap w:val="0"/>
            <w:vAlign w:val="center"/>
          </w:tcPr>
          <w:p>
            <w:pPr>
              <w:spacing w:line="300" w:lineRule="exact"/>
              <w:jc w:val="right"/>
              <w:rPr>
                <w:rFonts w:hint="eastAsia" w:ascii="方正书宋_GBK" w:eastAsia="方正书宋_GBK"/>
                <w:lang w:eastAsia="zh-CN"/>
              </w:rPr>
            </w:pPr>
            <w:r>
              <w:rPr>
                <w:rFonts w:ascii="方正书宋_GBK" w:eastAsia="方正书宋_GBK"/>
              </w:rPr>
              <w:t>83</w:t>
            </w:r>
            <w:r>
              <w:rPr>
                <w:rFonts w:hint="eastAsia" w:ascii="方正书宋_GBK" w:eastAsia="方正书宋_GBK"/>
                <w:lang w:eastAsia="zh-CN"/>
              </w:rPr>
              <w:t>.</w:t>
            </w:r>
            <w:r>
              <w:rPr>
                <w:rFonts w:ascii="方正书宋_GBK" w:eastAsia="方正书宋_GBK"/>
              </w:rPr>
              <w:t>2</w:t>
            </w:r>
            <w:r>
              <w:rPr>
                <w:rFonts w:hint="eastAsia" w:ascii="方正书宋_GBK" w:eastAsia="方正书宋_GBK"/>
                <w:lang w:val="en-US" w:eastAsia="zh-CN"/>
              </w:rPr>
              <w:t>0</w:t>
            </w:r>
          </w:p>
        </w:tc>
        <w:tc>
          <w:tcPr>
            <w:tcW w:w="1531" w:type="dxa"/>
            <w:shd w:val="clear" w:color="auto" w:fill="auto"/>
            <w:noWrap w:val="0"/>
            <w:vAlign w:val="center"/>
          </w:tcPr>
          <w:p>
            <w:pPr>
              <w:spacing w:line="300" w:lineRule="exact"/>
              <w:jc w:val="left"/>
              <w:rPr>
                <w:rFonts w:hint="eastAsia" w:ascii="方正书宋_GBK" w:eastAsia="方正书宋_GBK"/>
              </w:rPr>
            </w:pPr>
            <w:r>
              <w:rPr>
                <w:rFonts w:hint="eastAsia" w:ascii="方正书宋_GBK" w:eastAsia="方正书宋_GBK"/>
              </w:rPr>
              <w:t>仓储用房施工</w:t>
            </w:r>
          </w:p>
        </w:tc>
        <w:tc>
          <w:tcPr>
            <w:tcW w:w="1531" w:type="dxa"/>
            <w:shd w:val="clear" w:color="auto" w:fill="auto"/>
            <w:noWrap w:val="0"/>
            <w:vAlign w:val="center"/>
          </w:tcPr>
          <w:p>
            <w:pPr>
              <w:spacing w:line="300" w:lineRule="exact"/>
              <w:jc w:val="left"/>
              <w:rPr>
                <w:rFonts w:ascii="方正书宋_GBK" w:eastAsia="方正书宋_GBK"/>
              </w:rPr>
            </w:pPr>
            <w:r>
              <w:rPr>
                <w:rFonts w:ascii="方正书宋_GBK" w:eastAsia="方正书宋_GBK"/>
              </w:rPr>
              <w:t>B0114</w:t>
            </w:r>
          </w:p>
        </w:tc>
        <w:tc>
          <w:tcPr>
            <w:tcW w:w="709" w:type="dxa"/>
            <w:shd w:val="clear" w:color="auto" w:fill="auto"/>
            <w:noWrap w:val="0"/>
            <w:vAlign w:val="center"/>
          </w:tcPr>
          <w:p>
            <w:pPr>
              <w:spacing w:line="300" w:lineRule="exact"/>
              <w:jc w:val="center"/>
              <w:rPr>
                <w:rFonts w:hint="eastAsia" w:ascii="方正书宋_GBK" w:eastAsia="方正书宋_GBK"/>
                <w:lang w:val="en-US" w:eastAsia="zh-CN"/>
              </w:rPr>
            </w:pPr>
            <w:r>
              <w:rPr>
                <w:rFonts w:hint="eastAsia" w:ascii="方正书宋_GBK" w:eastAsia="方正书宋_GBK"/>
                <w:lang w:val="en-US" w:eastAsia="zh-CN"/>
              </w:rPr>
              <w:t>栋</w:t>
            </w:r>
          </w:p>
        </w:tc>
        <w:tc>
          <w:tcPr>
            <w:tcW w:w="907" w:type="dxa"/>
            <w:shd w:val="clear" w:color="auto" w:fill="auto"/>
            <w:noWrap w:val="0"/>
            <w:vAlign w:val="center"/>
          </w:tcPr>
          <w:p>
            <w:pPr>
              <w:spacing w:line="300" w:lineRule="exact"/>
              <w:jc w:val="right"/>
              <w:rPr>
                <w:rFonts w:ascii="方正书宋_GBK" w:eastAsia="方正书宋_GBK"/>
              </w:rPr>
            </w:pPr>
            <w:r>
              <w:rPr>
                <w:rFonts w:ascii="方正书宋_GBK" w:eastAsia="方正书宋_GBK"/>
              </w:rPr>
              <w:t>1</w:t>
            </w:r>
          </w:p>
        </w:tc>
        <w:tc>
          <w:tcPr>
            <w:tcW w:w="907"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83.20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83.20 </w:t>
            </w:r>
          </w:p>
        </w:tc>
        <w:tc>
          <w:tcPr>
            <w:tcW w:w="1134" w:type="dxa"/>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lang w:val="en-US" w:eastAsia="zh-CN"/>
              </w:rPr>
              <w:t xml:space="preserve">83.20 </w:t>
            </w: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c>
          <w:tcPr>
            <w:tcW w:w="1134" w:type="dxa"/>
            <w:shd w:val="clear" w:color="auto" w:fill="auto"/>
            <w:noWrap w:val="0"/>
            <w:vAlign w:val="center"/>
          </w:tcPr>
          <w:p>
            <w:pPr>
              <w:spacing w:line="300" w:lineRule="exact"/>
              <w:jc w:val="right"/>
              <w:rPr>
                <w:rFonts w:ascii="方正书宋_GBK" w:eastAsia="方正书宋_GBK"/>
              </w:rPr>
            </w:pPr>
          </w:p>
        </w:tc>
      </w:tr>
    </w:tbl>
    <w:p>
      <w:pPr>
        <w:spacing w:line="300" w:lineRule="exact"/>
        <w:ind w:firstLine="640" w:firstLineChars="200"/>
        <w:jc w:val="left"/>
        <w:outlineLvl w:val="0"/>
        <w:rPr>
          <w:rFonts w:ascii="方正小标宋_GBK" w:hAnsi="方正小标宋_GBK" w:eastAsia="方正小标宋_GBK" w:cs="方正小标宋_GBK"/>
          <w:b/>
          <w:sz w:val="32"/>
        </w:rPr>
        <w:sectPr>
          <w:pgSz w:w="16838" w:h="11906" w:orient="landscape"/>
          <w:pgMar w:top="1361" w:right="1021" w:bottom="1361" w:left="1021" w:header="851" w:footer="992" w:gutter="0"/>
          <w:cols w:space="720" w:num="1"/>
          <w:docGrid w:type="lines" w:linePitch="312" w:charSpace="0"/>
        </w:sectPr>
      </w:pPr>
    </w:p>
    <w:p>
      <w:pPr>
        <w:autoSpaceDE w:val="0"/>
        <w:autoSpaceDN w:val="0"/>
        <w:adjustRightInd w:val="0"/>
        <w:ind w:firstLine="640" w:firstLineChars="200"/>
        <w:jc w:val="lef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七、国有资产信息</w:t>
      </w:r>
    </w:p>
    <w:p>
      <w:pPr>
        <w:ind w:firstLine="640"/>
        <w:rPr>
          <w:rFonts w:ascii="Times New Roman" w:hAnsi="Times New Roman" w:eastAsia="仿宋" w:cs="Times New Roman"/>
          <w:color w:val="000000" w:themeColor="text1"/>
          <w:sz w:val="32"/>
          <w:szCs w:val="32"/>
          <w14:textFill>
            <w14:solidFill>
              <w14:schemeClr w14:val="tx1"/>
            </w14:solidFill>
          </w14:textFill>
        </w:rPr>
      </w:pPr>
      <w:r>
        <w:rPr>
          <w:rFonts w:hint="eastAsia" w:ascii="Times New Roman" w:hAnsi="Times New Roman" w:eastAsia="仿宋" w:cs="Times New Roman"/>
          <w:color w:val="000000" w:themeColor="text1"/>
          <w:sz w:val="32"/>
          <w:szCs w:val="32"/>
          <w14:textFill>
            <w14:solidFill>
              <w14:schemeClr w14:val="tx1"/>
            </w14:solidFill>
          </w14:textFill>
        </w:rPr>
        <w:t>隆尧县发展和改革局</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2020</w:t>
      </w:r>
      <w:r>
        <w:rPr>
          <w:rFonts w:ascii="Times New Roman" w:hAnsi="Times New Roman" w:eastAsia="仿宋" w:cs="Times New Roman"/>
          <w:color w:val="000000" w:themeColor="text1"/>
          <w:sz w:val="32"/>
          <w:szCs w:val="32"/>
          <w14:textFill>
            <w14:solidFill>
              <w14:schemeClr w14:val="tx1"/>
            </w14:solidFill>
          </w14:textFill>
        </w:rPr>
        <w:t>年末固定资产金额为</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116.09</w:t>
      </w:r>
      <w:r>
        <w:rPr>
          <w:rFonts w:ascii="Times New Roman" w:hAnsi="Times New Roman" w:eastAsia="仿宋" w:cs="Times New Roman"/>
          <w:color w:val="000000" w:themeColor="text1"/>
          <w:sz w:val="32"/>
          <w:szCs w:val="32"/>
          <w14:textFill>
            <w14:solidFill>
              <w14:schemeClr w14:val="tx1"/>
            </w14:solidFill>
          </w14:textFill>
        </w:rPr>
        <w:t>万元（详见下表），本年度拟购置固定资产</w:t>
      </w:r>
      <w:r>
        <w:rPr>
          <w:rFonts w:hint="eastAsia" w:ascii="Times New Roman" w:hAnsi="Times New Roman" w:eastAsia="仿宋" w:cs="Times New Roman"/>
          <w:color w:val="000000" w:themeColor="text1"/>
          <w:sz w:val="32"/>
          <w:szCs w:val="32"/>
          <w14:textFill>
            <w14:solidFill>
              <w14:schemeClr w14:val="tx1"/>
            </w14:solidFill>
          </w14:textFill>
        </w:rPr>
        <w:t>总额为</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3</w:t>
      </w:r>
      <w:r>
        <w:rPr>
          <w:rFonts w:ascii="Times New Roman" w:hAnsi="Times New Roman" w:eastAsia="仿宋"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lang w:eastAsia="zh-CN"/>
          <w14:textFill>
            <w14:solidFill>
              <w14:schemeClr w14:val="tx1"/>
            </w14:solidFill>
          </w14:textFill>
        </w:rPr>
        <w:t>，</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主要为2台台式机、3台激光打印机、2台空调、1台液晶显示器和2张桌子</w:t>
      </w:r>
      <w:r>
        <w:rPr>
          <w:rFonts w:hint="eastAsia" w:ascii="Times New Roman" w:hAnsi="Times New Roman" w:eastAsia="仿宋" w:cs="Times New Roman"/>
          <w:color w:val="000000" w:themeColor="text1"/>
          <w:sz w:val="32"/>
          <w:szCs w:val="32"/>
          <w14:textFill>
            <w14:solidFill>
              <w14:schemeClr w14:val="tx1"/>
            </w14:solidFill>
          </w14:textFill>
        </w:rPr>
        <w:t>。</w:t>
      </w:r>
    </w:p>
    <w:tbl>
      <w:tblPr>
        <w:tblStyle w:val="7"/>
        <w:tblW w:w="13482" w:type="dxa"/>
        <w:tblInd w:w="93" w:type="dxa"/>
        <w:tblLayout w:type="fixed"/>
        <w:tblCellMar>
          <w:top w:w="0" w:type="dxa"/>
          <w:left w:w="108" w:type="dxa"/>
          <w:bottom w:w="0" w:type="dxa"/>
          <w:right w:w="108" w:type="dxa"/>
        </w:tblCellMar>
      </w:tblPr>
      <w:tblGrid>
        <w:gridCol w:w="5224"/>
        <w:gridCol w:w="3155"/>
        <w:gridCol w:w="5103"/>
      </w:tblGrid>
      <w:tr>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vAlign w:val="center"/>
          </w:tcPr>
          <w:p>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隆尧县发展和改革局固定资产占用情况表</w:t>
            </w:r>
          </w:p>
        </w:tc>
      </w:tr>
      <w:tr>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pPr>
              <w:widowControl/>
              <w:jc w:val="left"/>
              <w:rPr>
                <w:rFonts w:ascii="Times New Roman" w:hAnsi="Times New Roman" w:eastAsia="仿宋" w:cs="Times New Roman"/>
                <w:color w:val="000000" w:themeColor="text1"/>
                <w:kern w:val="0"/>
                <w:sz w:val="22"/>
                <w14:textFill>
                  <w14:solidFill>
                    <w14:schemeClr w14:val="tx1"/>
                  </w14:solidFill>
                </w14:textFill>
              </w:rPr>
            </w:pPr>
            <w:r>
              <w:rPr>
                <w:rFonts w:ascii="Times New Roman" w:hAnsi="Times New Roman" w:eastAsia="仿宋" w:cs="Times New Roman"/>
                <w:color w:val="000000" w:themeColor="text1"/>
                <w:kern w:val="0"/>
                <w:sz w:val="22"/>
                <w14:textFill>
                  <w14:solidFill>
                    <w14:schemeClr w14:val="tx1"/>
                  </w14:solidFill>
                </w14:textFill>
              </w:rPr>
              <w:t>编制部门：</w:t>
            </w:r>
            <w:r>
              <w:rPr>
                <w:rFonts w:hint="eastAsia" w:ascii="Times New Roman" w:hAnsi="Times New Roman" w:eastAsia="仿宋" w:cs="Times New Roman"/>
                <w:color w:val="000000" w:themeColor="text1"/>
                <w:kern w:val="0"/>
                <w:sz w:val="22"/>
                <w14:textFill>
                  <w14:solidFill>
                    <w14:schemeClr w14:val="tx1"/>
                  </w14:solidFill>
                </w14:textFill>
              </w:rPr>
              <w:t>隆尧县发展和改革局</w:t>
            </w:r>
          </w:p>
        </w:tc>
        <w:tc>
          <w:tcPr>
            <w:tcW w:w="5103" w:type="dxa"/>
            <w:tcBorders>
              <w:top w:val="nil"/>
              <w:left w:val="nil"/>
              <w:bottom w:val="nil"/>
              <w:right w:val="nil"/>
            </w:tcBorders>
            <w:vAlign w:val="center"/>
          </w:tcPr>
          <w:p>
            <w:pPr>
              <w:widowControl/>
              <w:ind w:firstLine="1320" w:firstLineChars="600"/>
              <w:jc w:val="left"/>
              <w:rPr>
                <w:rFonts w:ascii="Times New Roman" w:hAnsi="Times New Roman" w:eastAsia="仿宋" w:cs="Times New Roman"/>
                <w:color w:val="000000" w:themeColor="text1"/>
                <w:kern w:val="0"/>
                <w:sz w:val="22"/>
                <w14:textFill>
                  <w14:solidFill>
                    <w14:schemeClr w14:val="tx1"/>
                  </w14:solidFill>
                </w14:textFill>
              </w:rPr>
            </w:pPr>
            <w:r>
              <w:rPr>
                <w:rFonts w:ascii="Times New Roman" w:hAnsi="Times New Roman" w:eastAsia="仿宋" w:cs="Times New Roman"/>
                <w:color w:val="000000" w:themeColor="text1"/>
                <w:kern w:val="0"/>
                <w:sz w:val="22"/>
                <w14:textFill>
                  <w14:solidFill>
                    <w14:schemeClr w14:val="tx1"/>
                  </w14:solidFill>
                </w14:textFill>
              </w:rPr>
              <w:t>截止时间：20</w:t>
            </w:r>
            <w:r>
              <w:rPr>
                <w:rFonts w:hint="eastAsia" w:ascii="Times New Roman" w:hAnsi="Times New Roman" w:eastAsia="仿宋" w:cs="Times New Roman"/>
                <w:color w:val="000000" w:themeColor="text1"/>
                <w:kern w:val="0"/>
                <w:sz w:val="22"/>
                <w:lang w:val="en-US" w:eastAsia="zh-CN"/>
                <w14:textFill>
                  <w14:solidFill>
                    <w14:schemeClr w14:val="tx1"/>
                  </w14:solidFill>
                </w14:textFill>
              </w:rPr>
              <w:t>20</w:t>
            </w:r>
            <w:r>
              <w:rPr>
                <w:rFonts w:ascii="Times New Roman" w:hAnsi="Times New Roman" w:eastAsia="仿宋" w:cs="Times New Roman"/>
                <w:color w:val="000000" w:themeColor="text1"/>
                <w:kern w:val="0"/>
                <w:sz w:val="22"/>
                <w14:textFill>
                  <w14:solidFill>
                    <w14:schemeClr w14:val="tx1"/>
                  </w14:solidFill>
                </w14:textFill>
              </w:rPr>
              <w:t>年12月31日</w:t>
            </w:r>
          </w:p>
        </w:tc>
      </w:tr>
      <w:tr>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themeColor="text1"/>
                <w:kern w:val="0"/>
                <w:sz w:val="22"/>
                <w14:textFill>
                  <w14:solidFill>
                    <w14:schemeClr w14:val="tx1"/>
                  </w14:solidFill>
                </w14:textFill>
              </w:rPr>
            </w:pPr>
            <w:r>
              <w:rPr>
                <w:rFonts w:hint="eastAsia" w:ascii="宋体" w:hAnsi="宋体" w:cs="宋体"/>
                <w:b/>
                <w:bCs/>
                <w:color w:val="000000" w:themeColor="text1"/>
                <w:kern w:val="0"/>
                <w:sz w:val="22"/>
                <w14:textFill>
                  <w14:solidFill>
                    <w14:schemeClr w14:val="tx1"/>
                  </w14:solidFill>
                </w14:textFill>
              </w:rPr>
              <w:t>项目</w:t>
            </w:r>
          </w:p>
        </w:tc>
        <w:tc>
          <w:tcPr>
            <w:tcW w:w="315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themeColor="text1"/>
                <w:kern w:val="0"/>
                <w:sz w:val="22"/>
                <w14:textFill>
                  <w14:solidFill>
                    <w14:schemeClr w14:val="tx1"/>
                  </w14:solidFill>
                </w14:textFill>
              </w:rPr>
            </w:pPr>
            <w:r>
              <w:rPr>
                <w:rFonts w:hint="eastAsia" w:ascii="宋体" w:hAnsi="宋体" w:cs="宋体"/>
                <w:b/>
                <w:bCs/>
                <w:color w:val="000000" w:themeColor="text1"/>
                <w:kern w:val="0"/>
                <w:sz w:val="22"/>
                <w14:textFill>
                  <w14:solidFill>
                    <w14:schemeClr w14:val="tx1"/>
                  </w14:solidFill>
                </w14:textFill>
              </w:rPr>
              <w:t>数量</w:t>
            </w:r>
          </w:p>
        </w:tc>
        <w:tc>
          <w:tcPr>
            <w:tcW w:w="510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themeColor="text1"/>
                <w:kern w:val="0"/>
                <w:sz w:val="22"/>
                <w14:textFill>
                  <w14:solidFill>
                    <w14:schemeClr w14:val="tx1"/>
                  </w14:solidFill>
                </w14:textFill>
              </w:rPr>
            </w:pPr>
            <w:r>
              <w:rPr>
                <w:rFonts w:hint="eastAsia" w:ascii="宋体" w:hAnsi="宋体" w:cs="宋体"/>
                <w:b/>
                <w:bCs/>
                <w:color w:val="000000" w:themeColor="text1"/>
                <w:kern w:val="0"/>
                <w:sz w:val="22"/>
                <w14:textFill>
                  <w14:solidFill>
                    <w14:schemeClr w14:val="tx1"/>
                  </w14:solidFill>
                </w14:textFill>
              </w:rPr>
              <w:t>价值（金额单位：万元）</w:t>
            </w:r>
          </w:p>
        </w:tc>
      </w:tr>
      <w:tr>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ascii="Times New Roman" w:hAnsi="Times New Roman" w:eastAsia="仿宋" w:cs="Times New Roman"/>
                <w:color w:val="000000" w:themeColor="text1"/>
                <w:kern w:val="0"/>
                <w:sz w:val="22"/>
                <w14:textFill>
                  <w14:solidFill>
                    <w14:schemeClr w14:val="tx1"/>
                  </w14:solidFill>
                </w14:textFill>
              </w:rPr>
              <w:t>资产总额</w:t>
            </w:r>
          </w:p>
        </w:tc>
        <w:tc>
          <w:tcPr>
            <w:tcW w:w="3155" w:type="dxa"/>
            <w:tcBorders>
              <w:top w:val="nil"/>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ascii="Times New Roman" w:hAnsi="Times New Roman" w:eastAsia="仿宋" w:cs="Times New Roman"/>
                <w:color w:val="000000" w:themeColor="text1"/>
                <w:kern w:val="0"/>
                <w:sz w:val="22"/>
                <w14:textFill>
                  <w14:solidFill>
                    <w14:schemeClr w14:val="tx1"/>
                  </w14:solidFill>
                </w14:textFill>
              </w:rPr>
              <w:t>——</w:t>
            </w:r>
          </w:p>
        </w:tc>
        <w:tc>
          <w:tcPr>
            <w:tcW w:w="5103"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 w:cs="Times New Roman"/>
                <w:color w:val="000000" w:themeColor="text1"/>
                <w:kern w:val="0"/>
                <w:sz w:val="22"/>
                <w:lang w:val="en-US" w:eastAsia="zh-CN"/>
                <w14:textFill>
                  <w14:solidFill>
                    <w14:schemeClr w14:val="tx1"/>
                  </w14:solidFill>
                </w14:textFill>
              </w:rPr>
            </w:pPr>
            <w:r>
              <w:rPr>
                <w:rFonts w:hint="eastAsia" w:ascii="Times New Roman" w:hAnsi="Times New Roman" w:eastAsia="仿宋" w:cs="Times New Roman"/>
                <w:color w:val="000000" w:themeColor="text1"/>
                <w:kern w:val="0"/>
                <w:sz w:val="22"/>
                <w:lang w:val="en-US" w:eastAsia="zh-CN"/>
                <w14:textFill>
                  <w14:solidFill>
                    <w14:schemeClr w14:val="tx1"/>
                  </w14:solidFill>
                </w14:textFill>
              </w:rPr>
              <w:t>116.09</w:t>
            </w:r>
          </w:p>
        </w:tc>
      </w:tr>
      <w:tr>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1</w:t>
            </w:r>
            <w:r>
              <w:rPr>
                <w:rFonts w:ascii="Times New Roman" w:hAnsi="Times New Roman" w:eastAsia="仿宋" w:cs="Times New Roman"/>
                <w:color w:val="000000" w:themeColor="text1"/>
                <w:kern w:val="0"/>
                <w:sz w:val="22"/>
                <w14:textFill>
                  <w14:solidFill>
                    <w14:schemeClr w14:val="tx1"/>
                  </w14:solidFill>
                </w14:textFill>
              </w:rPr>
              <w:t>、</w:t>
            </w:r>
            <w:r>
              <w:rPr>
                <w:rFonts w:hint="eastAsia" w:ascii="Times New Roman" w:hAnsi="Times New Roman" w:eastAsia="仿宋" w:cs="Times New Roman"/>
                <w:color w:val="000000" w:themeColor="text1"/>
                <w:kern w:val="0"/>
                <w:sz w:val="22"/>
                <w14:textFill>
                  <w14:solidFill>
                    <w14:schemeClr w14:val="tx1"/>
                  </w14:solidFill>
                </w14:textFill>
              </w:rPr>
              <w:t>房屋（平方米）</w:t>
            </w:r>
          </w:p>
        </w:tc>
        <w:tc>
          <w:tcPr>
            <w:tcW w:w="3155" w:type="dxa"/>
            <w:tcBorders>
              <w:top w:val="nil"/>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0</w:t>
            </w:r>
          </w:p>
        </w:tc>
        <w:tc>
          <w:tcPr>
            <w:tcW w:w="5103" w:type="dxa"/>
            <w:tcBorders>
              <w:top w:val="nil"/>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0</w:t>
            </w:r>
          </w:p>
        </w:tc>
      </w:tr>
      <w:tr>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其中：办公用房（平方米）</w:t>
            </w:r>
          </w:p>
        </w:tc>
        <w:tc>
          <w:tcPr>
            <w:tcW w:w="3155" w:type="dxa"/>
            <w:tcBorders>
              <w:top w:val="nil"/>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0</w:t>
            </w:r>
          </w:p>
        </w:tc>
        <w:tc>
          <w:tcPr>
            <w:tcW w:w="5103" w:type="dxa"/>
            <w:tcBorders>
              <w:top w:val="nil"/>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0</w:t>
            </w:r>
          </w:p>
        </w:tc>
      </w:tr>
      <w:tr>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2</w:t>
            </w:r>
            <w:r>
              <w:rPr>
                <w:rFonts w:ascii="Times New Roman" w:hAnsi="Times New Roman" w:eastAsia="仿宋" w:cs="Times New Roman"/>
                <w:color w:val="000000" w:themeColor="text1"/>
                <w:kern w:val="0"/>
                <w:sz w:val="22"/>
                <w14:textFill>
                  <w14:solidFill>
                    <w14:schemeClr w14:val="tx1"/>
                  </w14:solidFill>
                </w14:textFill>
              </w:rPr>
              <w:t>、车辆（台、辆）</w:t>
            </w:r>
          </w:p>
        </w:tc>
        <w:tc>
          <w:tcPr>
            <w:tcW w:w="3155"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仿宋" w:cs="Times New Roman"/>
                <w:color w:val="000000" w:themeColor="text1"/>
                <w:kern w:val="0"/>
                <w:sz w:val="22"/>
                <w:lang w:eastAsia="zh-CN"/>
                <w14:textFill>
                  <w14:solidFill>
                    <w14:schemeClr w14:val="tx1"/>
                  </w14:solidFill>
                </w14:textFill>
              </w:rPr>
            </w:pPr>
            <w:r>
              <w:rPr>
                <w:rFonts w:hint="eastAsia" w:ascii="Times New Roman" w:hAnsi="Times New Roman" w:eastAsia="仿宋" w:cs="Times New Roman"/>
                <w:color w:val="000000" w:themeColor="text1"/>
                <w:kern w:val="0"/>
                <w:sz w:val="22"/>
                <w:lang w:val="en-US" w:eastAsia="zh-CN"/>
                <w14:textFill>
                  <w14:solidFill>
                    <w14:schemeClr w14:val="tx1"/>
                  </w14:solidFill>
                </w14:textFill>
              </w:rPr>
              <w:t>0</w:t>
            </w:r>
          </w:p>
        </w:tc>
        <w:tc>
          <w:tcPr>
            <w:tcW w:w="5103"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仿宋" w:cs="Times New Roman"/>
                <w:color w:val="000000" w:themeColor="text1"/>
                <w:kern w:val="0"/>
                <w:sz w:val="22"/>
                <w:lang w:eastAsia="zh-CN"/>
                <w14:textFill>
                  <w14:solidFill>
                    <w14:schemeClr w14:val="tx1"/>
                  </w14:solidFill>
                </w14:textFill>
              </w:rPr>
            </w:pPr>
            <w:r>
              <w:rPr>
                <w:rFonts w:hint="eastAsia" w:ascii="Times New Roman" w:hAnsi="Times New Roman" w:eastAsia="仿宋" w:cs="Times New Roman"/>
                <w:color w:val="000000" w:themeColor="text1"/>
                <w:kern w:val="0"/>
                <w:sz w:val="22"/>
                <w:lang w:val="en-US" w:eastAsia="zh-CN"/>
                <w14:textFill>
                  <w14:solidFill>
                    <w14:schemeClr w14:val="tx1"/>
                  </w14:solidFill>
                </w14:textFill>
              </w:rPr>
              <w:t>0</w:t>
            </w:r>
          </w:p>
        </w:tc>
      </w:tr>
      <w:tr>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pPr>
              <w:widowControl/>
              <w:jc w:val="left"/>
              <w:rPr>
                <w:rFonts w:hint="eastAsia"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3、其他设备</w:t>
            </w:r>
          </w:p>
        </w:tc>
        <w:tc>
          <w:tcPr>
            <w:tcW w:w="3155"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仿宋" w:cs="Times New Roman"/>
                <w:color w:val="000000" w:themeColor="text1"/>
                <w:kern w:val="0"/>
                <w:sz w:val="22"/>
                <w14:textFill>
                  <w14:solidFill>
                    <w14:schemeClr w14:val="tx1"/>
                  </w14:solidFill>
                </w14:textFill>
              </w:rPr>
            </w:pPr>
            <w:r>
              <w:rPr>
                <w:rFonts w:ascii="Times New Roman" w:hAnsi="Times New Roman" w:eastAsia="仿宋" w:cs="Times New Roman"/>
                <w:color w:val="000000" w:themeColor="text1"/>
                <w:kern w:val="0"/>
                <w:sz w:val="22"/>
                <w14:textFill>
                  <w14:solidFill>
                    <w14:schemeClr w14:val="tx1"/>
                  </w14:solidFill>
                </w14:textFill>
              </w:rPr>
              <w:t>——</w:t>
            </w:r>
          </w:p>
        </w:tc>
        <w:tc>
          <w:tcPr>
            <w:tcW w:w="5103"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0</w:t>
            </w:r>
          </w:p>
        </w:tc>
      </w:tr>
      <w:tr>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 w:val="22"/>
                <w14:textFill>
                  <w14:solidFill>
                    <w14:schemeClr w14:val="tx1"/>
                  </w14:solidFill>
                </w14:textFill>
              </w:rPr>
            </w:pPr>
            <w:r>
              <w:rPr>
                <w:rFonts w:hint="eastAsia" w:ascii="Times New Roman" w:hAnsi="Times New Roman" w:eastAsia="仿宋" w:cs="Times New Roman"/>
                <w:color w:val="000000" w:themeColor="text1"/>
                <w:kern w:val="0"/>
                <w:sz w:val="22"/>
                <w14:textFill>
                  <w14:solidFill>
                    <w14:schemeClr w14:val="tx1"/>
                  </w14:solidFill>
                </w14:textFill>
              </w:rPr>
              <w:t>4</w:t>
            </w:r>
            <w:r>
              <w:rPr>
                <w:rFonts w:ascii="Times New Roman" w:hAnsi="Times New Roman" w:eastAsia="仿宋" w:cs="Times New Roman"/>
                <w:color w:val="000000" w:themeColor="text1"/>
                <w:kern w:val="0"/>
                <w:sz w:val="22"/>
                <w14:textFill>
                  <w14:solidFill>
                    <w14:schemeClr w14:val="tx1"/>
                  </w14:solidFill>
                </w14:textFill>
              </w:rPr>
              <w:t>、</w:t>
            </w:r>
            <w:r>
              <w:rPr>
                <w:rFonts w:hint="eastAsia" w:ascii="Times New Roman" w:hAnsi="Times New Roman" w:eastAsia="仿宋" w:cs="Times New Roman"/>
                <w:color w:val="000000" w:themeColor="text1"/>
                <w:kern w:val="0"/>
                <w:sz w:val="22"/>
                <w14:textFill>
                  <w14:solidFill>
                    <w14:schemeClr w14:val="tx1"/>
                  </w14:solidFill>
                </w14:textFill>
              </w:rPr>
              <w:t>其他固定资产</w:t>
            </w:r>
          </w:p>
        </w:tc>
        <w:tc>
          <w:tcPr>
            <w:tcW w:w="3155" w:type="dxa"/>
            <w:tcBorders>
              <w:top w:val="nil"/>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 w:val="22"/>
                <w14:textFill>
                  <w14:solidFill>
                    <w14:schemeClr w14:val="tx1"/>
                  </w14:solidFill>
                </w14:textFill>
              </w:rPr>
            </w:pPr>
            <w:r>
              <w:rPr>
                <w:rFonts w:ascii="Times New Roman" w:hAnsi="Times New Roman" w:eastAsia="仿宋" w:cs="Times New Roman"/>
                <w:color w:val="000000" w:themeColor="text1"/>
                <w:kern w:val="0"/>
                <w:sz w:val="22"/>
                <w14:textFill>
                  <w14:solidFill>
                    <w14:schemeClr w14:val="tx1"/>
                  </w14:solidFill>
                </w14:textFill>
              </w:rPr>
              <w:t>——</w:t>
            </w:r>
          </w:p>
        </w:tc>
        <w:tc>
          <w:tcPr>
            <w:tcW w:w="5103"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 w:cs="Times New Roman"/>
                <w:color w:val="000000" w:themeColor="text1"/>
                <w:kern w:val="0"/>
                <w:sz w:val="22"/>
                <w:lang w:val="en-US" w:eastAsia="zh-CN"/>
                <w14:textFill>
                  <w14:solidFill>
                    <w14:schemeClr w14:val="tx1"/>
                  </w14:solidFill>
                </w14:textFill>
              </w:rPr>
            </w:pPr>
            <w:r>
              <w:rPr>
                <w:rFonts w:hint="eastAsia" w:ascii="Times New Roman" w:hAnsi="Times New Roman" w:eastAsia="仿宋" w:cs="Times New Roman"/>
                <w:color w:val="000000" w:themeColor="text1"/>
                <w:kern w:val="0"/>
                <w:sz w:val="22"/>
                <w:lang w:val="en-US" w:eastAsia="zh-CN"/>
                <w14:textFill>
                  <w14:solidFill>
                    <w14:schemeClr w14:val="tx1"/>
                  </w14:solidFill>
                </w14:textFill>
              </w:rPr>
              <w:t>116.09</w:t>
            </w:r>
          </w:p>
        </w:tc>
      </w:tr>
    </w:tbl>
    <w:p>
      <w:pPr>
        <w:autoSpaceDE w:val="0"/>
        <w:autoSpaceDN w:val="0"/>
        <w:adjustRightInd w:val="0"/>
        <w:ind w:firstLine="640" w:firstLineChars="200"/>
        <w:jc w:val="left"/>
        <w:rPr>
          <w:rFonts w:hint="eastAsia" w:ascii="黑体" w:hAnsi="黑体" w:eastAsia="黑体" w:cs="Times New Roman"/>
          <w:color w:val="000000" w:themeColor="text1"/>
          <w:sz w:val="32"/>
          <w:szCs w:val="32"/>
          <w14:textFill>
            <w14:solidFill>
              <w14:schemeClr w14:val="tx1"/>
            </w14:solidFill>
          </w14:textFill>
        </w:rPr>
      </w:pPr>
    </w:p>
    <w:p>
      <w:pPr>
        <w:autoSpaceDE w:val="0"/>
        <w:autoSpaceDN w:val="0"/>
        <w:adjustRightInd w:val="0"/>
        <w:ind w:firstLine="640" w:firstLineChars="200"/>
        <w:jc w:val="lef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八、名词解释</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1、一般公共预算拨款收入：指</w:t>
      </w:r>
      <w:r>
        <w:rPr>
          <w:rFonts w:hint="eastAsia" w:ascii="Times New Roman" w:hAnsi="Times New Roman" w:eastAsia="仿宋" w:cs="Times New Roman"/>
          <w:sz w:val="32"/>
          <w:szCs w:val="32"/>
          <w:lang w:val="en-US" w:eastAsia="zh-CN"/>
        </w:rPr>
        <w:t>县</w:t>
      </w:r>
      <w:r>
        <w:rPr>
          <w:rFonts w:hint="eastAsia" w:ascii="Times New Roman" w:hAnsi="Times New Roman" w:eastAsia="仿宋" w:cs="Times New Roman"/>
          <w:sz w:val="32"/>
          <w:szCs w:val="32"/>
        </w:rPr>
        <w:t>级财政当年拨付的资金。</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2、事业收入：指事业单位开展专业业务活动及辅助活动所取得的收入。</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3、其他收入：指除“一般公共预算拨款收入”、“事业收入”等以外的收入。主要是按规定动用的租房收入、存款利息收入等。</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4、基本支出：指为保障机构正常运转、完成日常工作任务而发生的人员支出和公用支出。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5、项目支出：指在基本支出之外为完成特定行政任务和事业发展目标所发生的支出。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6、上缴上级支出：指下级单位上缴上级的支出。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7、“三公”经费：纳入</w:t>
      </w:r>
      <w:r>
        <w:rPr>
          <w:rFonts w:hint="eastAsia" w:ascii="Times New Roman" w:hAnsi="Times New Roman" w:eastAsia="仿宋" w:cs="Times New Roman"/>
          <w:sz w:val="32"/>
          <w:szCs w:val="32"/>
          <w:lang w:val="en-US" w:eastAsia="zh-CN"/>
        </w:rPr>
        <w:t>县</w:t>
      </w:r>
      <w:r>
        <w:rPr>
          <w:rFonts w:hint="eastAsia" w:ascii="Times New Roman" w:hAnsi="Times New Roman" w:eastAsia="仿宋" w:cs="Times New Roman"/>
          <w:sz w:val="32"/>
          <w:szCs w:val="32"/>
        </w:rPr>
        <w:t>级财政预算管理的“三公”经费，是指</w:t>
      </w:r>
      <w:r>
        <w:rPr>
          <w:rFonts w:hint="eastAsia" w:ascii="Times New Roman" w:hAnsi="Times New Roman" w:eastAsia="仿宋" w:cs="Times New Roman"/>
          <w:sz w:val="32"/>
          <w:szCs w:val="32"/>
          <w:lang w:val="en-US" w:eastAsia="zh-CN"/>
        </w:rPr>
        <w:t>县</w:t>
      </w:r>
      <w:r>
        <w:rPr>
          <w:rFonts w:hint="eastAsia" w:ascii="Times New Roman" w:hAnsi="Times New Roman" w:eastAsia="仿宋" w:cs="Times New Roman"/>
          <w:sz w:val="32"/>
          <w:szCs w:val="32"/>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9、上年结转：指以前年度尚未完成、结转到本年仍按原规定用途继续使用的资金。</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10、事业单位经营支出：指事业单位在专业业务活动及其辅助活动之外开展非独立核算经营活动发生的支出。</w:t>
      </w:r>
    </w:p>
    <w:p>
      <w:pPr>
        <w:ind w:firstLine="643" w:firstLineChars="200"/>
        <w:rPr>
          <w:rFonts w:ascii="宋体-方正超大字符集" w:hAnsi="宋体-方正超大字符集" w:eastAsia="宋体-方正超大字符集" w:cs="宋体-方正超大字符集"/>
          <w:b/>
          <w:bCs/>
          <w:sz w:val="32"/>
          <w:szCs w:val="32"/>
        </w:rPr>
      </w:pPr>
      <w:r>
        <w:rPr>
          <w:rFonts w:hint="eastAsia" w:ascii="宋体-方正超大字符集" w:hAnsi="宋体-方正超大字符集" w:eastAsia="宋体-方正超大字符集" w:cs="宋体-方正超大字符集"/>
          <w:b/>
          <w:bCs/>
          <w:sz w:val="32"/>
          <w:szCs w:val="32"/>
        </w:rPr>
        <w:t>九、其他需要说明的事项</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我部门无其他需要说明的事项。</w:t>
      </w:r>
    </w:p>
    <w:sectPr>
      <w:footerReference r:id="rId4"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宋体-方正超大字符集">
    <w:altName w:val="宋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pPr>
    <w:r>
      <w:fldChar w:fldCharType="begin"/>
    </w:r>
    <w:r>
      <w:rPr>
        <w:rStyle w:val="10"/>
      </w:rPr>
      <w:instrText xml:space="preserve"> PAGE  </w:instrText>
    </w:r>
    <w:r>
      <w:fldChar w:fldCharType="separate"/>
    </w:r>
    <w:r>
      <w:rPr>
        <w:rStyle w:val="10"/>
      </w:rPr>
      <w:t>9</w:t>
    </w:r>
    <w: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13"/>
      </w:rPr>
    </w:pPr>
    <w:r>
      <w:fldChar w:fldCharType="begin"/>
    </w:r>
    <w:r>
      <w:rPr>
        <w:rStyle w:val="13"/>
      </w:rPr>
      <w:instrText xml:space="preserve">PAGE  </w:instrText>
    </w:r>
    <w:r>
      <w:fldChar w:fldCharType="separate"/>
    </w:r>
    <w:r>
      <w:rPr>
        <w:rStyle w:val="13"/>
      </w:rPr>
      <w:t>32</w:t>
    </w:r>
    <w:r>
      <w:fldChar w:fldCharType="end"/>
    </w:r>
  </w:p>
  <w:p>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CE782C"/>
    <w:multiLevelType w:val="singleLevel"/>
    <w:tmpl w:val="94CE782C"/>
    <w:lvl w:ilvl="0" w:tentative="0">
      <w:start w:val="4"/>
      <w:numFmt w:val="decimal"/>
      <w:suff w:val="nothing"/>
      <w:lvlText w:val="%1、"/>
      <w:lvlJc w:val="left"/>
      <w:pPr>
        <w:ind w:left="-140"/>
      </w:pPr>
    </w:lvl>
  </w:abstractNum>
  <w:abstractNum w:abstractNumId="1">
    <w:nsid w:val="F69ADDE9"/>
    <w:multiLevelType w:val="singleLevel"/>
    <w:tmpl w:val="F69ADDE9"/>
    <w:lvl w:ilvl="0" w:tentative="0">
      <w:start w:val="7"/>
      <w:numFmt w:val="decimal"/>
      <w:suff w:val="nothing"/>
      <w:lvlText w:val="%1、"/>
      <w:lvlJc w:val="left"/>
    </w:lvl>
  </w:abstractNum>
  <w:abstractNum w:abstractNumId="2">
    <w:nsid w:val="F7B9879B"/>
    <w:multiLevelType w:val="singleLevel"/>
    <w:tmpl w:val="F7B9879B"/>
    <w:lvl w:ilvl="0" w:tentative="0">
      <w:start w:val="11"/>
      <w:numFmt w:val="decimal"/>
      <w:suff w:val="nothing"/>
      <w:lvlText w:val="%1、"/>
      <w:lvlJc w:val="left"/>
    </w:lvl>
  </w:abstractNum>
  <w:abstractNum w:abstractNumId="3">
    <w:nsid w:val="380C8B0B"/>
    <w:multiLevelType w:val="singleLevel"/>
    <w:tmpl w:val="380C8B0B"/>
    <w:lvl w:ilvl="0" w:tentative="0">
      <w:start w:val="14"/>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zZDU3MWJkNzE1NDQzYmQ0ZWQwZDdkMmFhYTU0Y2MifQ=="/>
  </w:docVars>
  <w:rsids>
    <w:rsidRoot w:val="00EE71BA"/>
    <w:rsid w:val="00022837"/>
    <w:rsid w:val="000C7140"/>
    <w:rsid w:val="000C7F0E"/>
    <w:rsid w:val="00103E37"/>
    <w:rsid w:val="0014787C"/>
    <w:rsid w:val="001E514F"/>
    <w:rsid w:val="001F1233"/>
    <w:rsid w:val="002231D5"/>
    <w:rsid w:val="00233980"/>
    <w:rsid w:val="00245654"/>
    <w:rsid w:val="00267ED4"/>
    <w:rsid w:val="00272E7D"/>
    <w:rsid w:val="002944F9"/>
    <w:rsid w:val="002E6516"/>
    <w:rsid w:val="00323B29"/>
    <w:rsid w:val="003422E3"/>
    <w:rsid w:val="003461A2"/>
    <w:rsid w:val="00363C81"/>
    <w:rsid w:val="0039059E"/>
    <w:rsid w:val="003E177C"/>
    <w:rsid w:val="00404CBE"/>
    <w:rsid w:val="0043376A"/>
    <w:rsid w:val="00435FDD"/>
    <w:rsid w:val="004555A0"/>
    <w:rsid w:val="004A6F88"/>
    <w:rsid w:val="004B4392"/>
    <w:rsid w:val="004D19C4"/>
    <w:rsid w:val="0057616A"/>
    <w:rsid w:val="005C0EB6"/>
    <w:rsid w:val="005F540E"/>
    <w:rsid w:val="00666A70"/>
    <w:rsid w:val="006922F7"/>
    <w:rsid w:val="006A57D5"/>
    <w:rsid w:val="0070344E"/>
    <w:rsid w:val="00705075"/>
    <w:rsid w:val="00770DC4"/>
    <w:rsid w:val="00783329"/>
    <w:rsid w:val="007C4B25"/>
    <w:rsid w:val="007D58CA"/>
    <w:rsid w:val="007E104E"/>
    <w:rsid w:val="007E44C1"/>
    <w:rsid w:val="007F025B"/>
    <w:rsid w:val="007F0341"/>
    <w:rsid w:val="00823F75"/>
    <w:rsid w:val="008B0E29"/>
    <w:rsid w:val="008C73E0"/>
    <w:rsid w:val="008F6643"/>
    <w:rsid w:val="00920C20"/>
    <w:rsid w:val="009833BF"/>
    <w:rsid w:val="009A521C"/>
    <w:rsid w:val="00A14C5B"/>
    <w:rsid w:val="00A53AFF"/>
    <w:rsid w:val="00AB0936"/>
    <w:rsid w:val="00AE5FD5"/>
    <w:rsid w:val="00AF5AE9"/>
    <w:rsid w:val="00B0024C"/>
    <w:rsid w:val="00B458A6"/>
    <w:rsid w:val="00B6040A"/>
    <w:rsid w:val="00B8360D"/>
    <w:rsid w:val="00BE501D"/>
    <w:rsid w:val="00BE6952"/>
    <w:rsid w:val="00C116A2"/>
    <w:rsid w:val="00C528E4"/>
    <w:rsid w:val="00C92572"/>
    <w:rsid w:val="00CA7A43"/>
    <w:rsid w:val="00CB349B"/>
    <w:rsid w:val="00CE6AAE"/>
    <w:rsid w:val="00CF1CC4"/>
    <w:rsid w:val="00D10927"/>
    <w:rsid w:val="00D1597A"/>
    <w:rsid w:val="00D607DA"/>
    <w:rsid w:val="00D67F0A"/>
    <w:rsid w:val="00DB53F0"/>
    <w:rsid w:val="00DB64AD"/>
    <w:rsid w:val="00DC6EE5"/>
    <w:rsid w:val="00DE0C69"/>
    <w:rsid w:val="00DF33DE"/>
    <w:rsid w:val="00E17D05"/>
    <w:rsid w:val="00E265CB"/>
    <w:rsid w:val="00E32AD6"/>
    <w:rsid w:val="00E33BC7"/>
    <w:rsid w:val="00E53791"/>
    <w:rsid w:val="00E54BE7"/>
    <w:rsid w:val="00E93AF0"/>
    <w:rsid w:val="00ED4F6B"/>
    <w:rsid w:val="00EE71BA"/>
    <w:rsid w:val="00F02073"/>
    <w:rsid w:val="00F07789"/>
    <w:rsid w:val="00F505D4"/>
    <w:rsid w:val="00F867E4"/>
    <w:rsid w:val="00FB2533"/>
    <w:rsid w:val="00FC6409"/>
    <w:rsid w:val="00FD3FA8"/>
    <w:rsid w:val="01402DFC"/>
    <w:rsid w:val="016B1472"/>
    <w:rsid w:val="018207C5"/>
    <w:rsid w:val="01C653ED"/>
    <w:rsid w:val="01CD42C5"/>
    <w:rsid w:val="01F3521E"/>
    <w:rsid w:val="025871B9"/>
    <w:rsid w:val="02A46519"/>
    <w:rsid w:val="03082115"/>
    <w:rsid w:val="039C1885"/>
    <w:rsid w:val="039F1DCC"/>
    <w:rsid w:val="03AE3A19"/>
    <w:rsid w:val="03C230FA"/>
    <w:rsid w:val="03FD4132"/>
    <w:rsid w:val="04205104"/>
    <w:rsid w:val="05171224"/>
    <w:rsid w:val="05776DEE"/>
    <w:rsid w:val="05B62D6E"/>
    <w:rsid w:val="05D05771"/>
    <w:rsid w:val="06A0494E"/>
    <w:rsid w:val="06DF293E"/>
    <w:rsid w:val="070C7BAE"/>
    <w:rsid w:val="07443281"/>
    <w:rsid w:val="07493A59"/>
    <w:rsid w:val="075D226C"/>
    <w:rsid w:val="08191373"/>
    <w:rsid w:val="08737FAC"/>
    <w:rsid w:val="0879246C"/>
    <w:rsid w:val="08966904"/>
    <w:rsid w:val="09812537"/>
    <w:rsid w:val="09B23C00"/>
    <w:rsid w:val="09BD7854"/>
    <w:rsid w:val="0A22118F"/>
    <w:rsid w:val="0A801ED3"/>
    <w:rsid w:val="0B6C7F2C"/>
    <w:rsid w:val="0BDE0755"/>
    <w:rsid w:val="0CD35354"/>
    <w:rsid w:val="0CF43314"/>
    <w:rsid w:val="0DDB1D4C"/>
    <w:rsid w:val="0E376861"/>
    <w:rsid w:val="0E466829"/>
    <w:rsid w:val="0E6F0AFE"/>
    <w:rsid w:val="0EB13427"/>
    <w:rsid w:val="0ED06B62"/>
    <w:rsid w:val="0FD30A98"/>
    <w:rsid w:val="10344268"/>
    <w:rsid w:val="110628CE"/>
    <w:rsid w:val="11C064AF"/>
    <w:rsid w:val="12244F80"/>
    <w:rsid w:val="12524F41"/>
    <w:rsid w:val="126B3142"/>
    <w:rsid w:val="128E4EA9"/>
    <w:rsid w:val="12ED591F"/>
    <w:rsid w:val="14B35287"/>
    <w:rsid w:val="158C09E2"/>
    <w:rsid w:val="1592709F"/>
    <w:rsid w:val="15DB5505"/>
    <w:rsid w:val="162C6AF9"/>
    <w:rsid w:val="16C26204"/>
    <w:rsid w:val="16F7233F"/>
    <w:rsid w:val="16FC0CC9"/>
    <w:rsid w:val="16FD497E"/>
    <w:rsid w:val="173E4D36"/>
    <w:rsid w:val="17E702AF"/>
    <w:rsid w:val="184314DF"/>
    <w:rsid w:val="186606BB"/>
    <w:rsid w:val="18732981"/>
    <w:rsid w:val="19543825"/>
    <w:rsid w:val="195E521C"/>
    <w:rsid w:val="19710EA3"/>
    <w:rsid w:val="1A9F54E7"/>
    <w:rsid w:val="1ACB68E1"/>
    <w:rsid w:val="1AD51118"/>
    <w:rsid w:val="1BB508B9"/>
    <w:rsid w:val="1C715D62"/>
    <w:rsid w:val="1CE03114"/>
    <w:rsid w:val="1CE56CF0"/>
    <w:rsid w:val="1D1167AF"/>
    <w:rsid w:val="1D7F7634"/>
    <w:rsid w:val="1DBE483A"/>
    <w:rsid w:val="1DC222BF"/>
    <w:rsid w:val="1E6474E8"/>
    <w:rsid w:val="20106833"/>
    <w:rsid w:val="20276178"/>
    <w:rsid w:val="20F621DE"/>
    <w:rsid w:val="210F48F6"/>
    <w:rsid w:val="221C27AD"/>
    <w:rsid w:val="22810CB3"/>
    <w:rsid w:val="2288308F"/>
    <w:rsid w:val="238056C3"/>
    <w:rsid w:val="238507E8"/>
    <w:rsid w:val="24202243"/>
    <w:rsid w:val="24637BAD"/>
    <w:rsid w:val="24E32A79"/>
    <w:rsid w:val="24F47BA3"/>
    <w:rsid w:val="25237016"/>
    <w:rsid w:val="2527391D"/>
    <w:rsid w:val="2531226B"/>
    <w:rsid w:val="256D2108"/>
    <w:rsid w:val="257E3C3A"/>
    <w:rsid w:val="25BC7511"/>
    <w:rsid w:val="25C21162"/>
    <w:rsid w:val="25EC1B9E"/>
    <w:rsid w:val="26402A61"/>
    <w:rsid w:val="264F6618"/>
    <w:rsid w:val="26751ED0"/>
    <w:rsid w:val="26975EE2"/>
    <w:rsid w:val="26C65E30"/>
    <w:rsid w:val="26FE2633"/>
    <w:rsid w:val="281C742E"/>
    <w:rsid w:val="28227030"/>
    <w:rsid w:val="28823125"/>
    <w:rsid w:val="28C52D2D"/>
    <w:rsid w:val="295D6FCA"/>
    <w:rsid w:val="2A0677A5"/>
    <w:rsid w:val="2A3769A3"/>
    <w:rsid w:val="2AAB70CF"/>
    <w:rsid w:val="2CD81717"/>
    <w:rsid w:val="2D46629B"/>
    <w:rsid w:val="2DCA3B7E"/>
    <w:rsid w:val="2E6B0F8D"/>
    <w:rsid w:val="2E8C2DB6"/>
    <w:rsid w:val="2ECB586A"/>
    <w:rsid w:val="2F7366F2"/>
    <w:rsid w:val="2FE36AA1"/>
    <w:rsid w:val="30111C08"/>
    <w:rsid w:val="3067535B"/>
    <w:rsid w:val="30BE4D6B"/>
    <w:rsid w:val="314B624D"/>
    <w:rsid w:val="318F2E57"/>
    <w:rsid w:val="31C70D42"/>
    <w:rsid w:val="32E9707D"/>
    <w:rsid w:val="33226E62"/>
    <w:rsid w:val="33296D14"/>
    <w:rsid w:val="3378759A"/>
    <w:rsid w:val="340C0533"/>
    <w:rsid w:val="343C6A43"/>
    <w:rsid w:val="344C1307"/>
    <w:rsid w:val="34583ED8"/>
    <w:rsid w:val="34796F56"/>
    <w:rsid w:val="349873DC"/>
    <w:rsid w:val="34C0466F"/>
    <w:rsid w:val="34E50B04"/>
    <w:rsid w:val="34F01296"/>
    <w:rsid w:val="357F3774"/>
    <w:rsid w:val="35831959"/>
    <w:rsid w:val="362D39BF"/>
    <w:rsid w:val="363972F3"/>
    <w:rsid w:val="36AF7730"/>
    <w:rsid w:val="37305FF2"/>
    <w:rsid w:val="37631054"/>
    <w:rsid w:val="377170EA"/>
    <w:rsid w:val="3787313F"/>
    <w:rsid w:val="37BF1123"/>
    <w:rsid w:val="381A4E46"/>
    <w:rsid w:val="381E521F"/>
    <w:rsid w:val="38A547BD"/>
    <w:rsid w:val="3A6372CD"/>
    <w:rsid w:val="3C4A4D0E"/>
    <w:rsid w:val="3D0701CB"/>
    <w:rsid w:val="3DC72AE0"/>
    <w:rsid w:val="3DEB4997"/>
    <w:rsid w:val="3E5A1BA6"/>
    <w:rsid w:val="3E5E0E49"/>
    <w:rsid w:val="3E795FFD"/>
    <w:rsid w:val="400E460E"/>
    <w:rsid w:val="40B966F1"/>
    <w:rsid w:val="40D14C74"/>
    <w:rsid w:val="41271A1A"/>
    <w:rsid w:val="417161DB"/>
    <w:rsid w:val="417E18B1"/>
    <w:rsid w:val="41B04E00"/>
    <w:rsid w:val="41BC77E7"/>
    <w:rsid w:val="41DE367F"/>
    <w:rsid w:val="42A21F54"/>
    <w:rsid w:val="432664FB"/>
    <w:rsid w:val="43686046"/>
    <w:rsid w:val="437B7607"/>
    <w:rsid w:val="442B1E02"/>
    <w:rsid w:val="4530540F"/>
    <w:rsid w:val="45803B95"/>
    <w:rsid w:val="45B24076"/>
    <w:rsid w:val="45F3720C"/>
    <w:rsid w:val="45F7685C"/>
    <w:rsid w:val="463765E9"/>
    <w:rsid w:val="476D46F8"/>
    <w:rsid w:val="478629DD"/>
    <w:rsid w:val="47A4029F"/>
    <w:rsid w:val="47AD71EA"/>
    <w:rsid w:val="47C003C0"/>
    <w:rsid w:val="47DE5576"/>
    <w:rsid w:val="47ED5839"/>
    <w:rsid w:val="48D02F84"/>
    <w:rsid w:val="48D14F11"/>
    <w:rsid w:val="48EA3B26"/>
    <w:rsid w:val="49084C74"/>
    <w:rsid w:val="492A665D"/>
    <w:rsid w:val="499E7184"/>
    <w:rsid w:val="49DC0DF5"/>
    <w:rsid w:val="49DE7906"/>
    <w:rsid w:val="49EA5F77"/>
    <w:rsid w:val="49EB7B56"/>
    <w:rsid w:val="49F27AF8"/>
    <w:rsid w:val="4A201EF6"/>
    <w:rsid w:val="4A3C271C"/>
    <w:rsid w:val="4AEB42B2"/>
    <w:rsid w:val="4AFA0F1A"/>
    <w:rsid w:val="4B5552B1"/>
    <w:rsid w:val="4BF136A5"/>
    <w:rsid w:val="4BF57B5D"/>
    <w:rsid w:val="4C431ECB"/>
    <w:rsid w:val="4C5264C3"/>
    <w:rsid w:val="4C5B7E59"/>
    <w:rsid w:val="4C5E1567"/>
    <w:rsid w:val="4CB143E9"/>
    <w:rsid w:val="4DC24A43"/>
    <w:rsid w:val="4DEF639A"/>
    <w:rsid w:val="4E6F2BBE"/>
    <w:rsid w:val="4EA21B34"/>
    <w:rsid w:val="4EF66F37"/>
    <w:rsid w:val="4F637738"/>
    <w:rsid w:val="4FD20012"/>
    <w:rsid w:val="500111EB"/>
    <w:rsid w:val="50F814D6"/>
    <w:rsid w:val="51917235"/>
    <w:rsid w:val="522E13BC"/>
    <w:rsid w:val="525805E6"/>
    <w:rsid w:val="52AA30D9"/>
    <w:rsid w:val="534A6EC5"/>
    <w:rsid w:val="53D855EF"/>
    <w:rsid w:val="53DA1086"/>
    <w:rsid w:val="53E61936"/>
    <w:rsid w:val="541B5F18"/>
    <w:rsid w:val="544E60A8"/>
    <w:rsid w:val="549F027D"/>
    <w:rsid w:val="54BC6CBF"/>
    <w:rsid w:val="5508036B"/>
    <w:rsid w:val="559A3BA5"/>
    <w:rsid w:val="5600175A"/>
    <w:rsid w:val="56AB6FEB"/>
    <w:rsid w:val="56D273D5"/>
    <w:rsid w:val="577A65EB"/>
    <w:rsid w:val="57C85F04"/>
    <w:rsid w:val="57E67E53"/>
    <w:rsid w:val="585236C0"/>
    <w:rsid w:val="58FB0C14"/>
    <w:rsid w:val="590B3D71"/>
    <w:rsid w:val="592A2449"/>
    <w:rsid w:val="59606A42"/>
    <w:rsid w:val="59E32432"/>
    <w:rsid w:val="5A2A6479"/>
    <w:rsid w:val="5A8D759B"/>
    <w:rsid w:val="5BA73232"/>
    <w:rsid w:val="5C1C6A7E"/>
    <w:rsid w:val="5C29288D"/>
    <w:rsid w:val="5D074725"/>
    <w:rsid w:val="5E3B28C7"/>
    <w:rsid w:val="5E540850"/>
    <w:rsid w:val="5E9647DD"/>
    <w:rsid w:val="5EBB5D3B"/>
    <w:rsid w:val="5EC50EAF"/>
    <w:rsid w:val="600F4268"/>
    <w:rsid w:val="60193217"/>
    <w:rsid w:val="605C0092"/>
    <w:rsid w:val="60AF711A"/>
    <w:rsid w:val="6209504B"/>
    <w:rsid w:val="623536C6"/>
    <w:rsid w:val="6244134C"/>
    <w:rsid w:val="626A0681"/>
    <w:rsid w:val="62DF32D0"/>
    <w:rsid w:val="62ED7C17"/>
    <w:rsid w:val="633B5D56"/>
    <w:rsid w:val="640D5DE2"/>
    <w:rsid w:val="647629E6"/>
    <w:rsid w:val="649F3FE4"/>
    <w:rsid w:val="64DE24BA"/>
    <w:rsid w:val="64E41021"/>
    <w:rsid w:val="65524C4D"/>
    <w:rsid w:val="658A40E0"/>
    <w:rsid w:val="65A7377D"/>
    <w:rsid w:val="65DF1922"/>
    <w:rsid w:val="66794B34"/>
    <w:rsid w:val="66FC36DF"/>
    <w:rsid w:val="670E75E9"/>
    <w:rsid w:val="67346F3C"/>
    <w:rsid w:val="675B4115"/>
    <w:rsid w:val="681D30E9"/>
    <w:rsid w:val="685C5F74"/>
    <w:rsid w:val="68601E4A"/>
    <w:rsid w:val="68BC292E"/>
    <w:rsid w:val="693002FC"/>
    <w:rsid w:val="695A74DB"/>
    <w:rsid w:val="6977193D"/>
    <w:rsid w:val="6AC7235F"/>
    <w:rsid w:val="6B2F4BF3"/>
    <w:rsid w:val="6B9C550B"/>
    <w:rsid w:val="6C496912"/>
    <w:rsid w:val="6C992253"/>
    <w:rsid w:val="6CA17A4D"/>
    <w:rsid w:val="6D06067F"/>
    <w:rsid w:val="6E096679"/>
    <w:rsid w:val="6E0C2452"/>
    <w:rsid w:val="6E7470DD"/>
    <w:rsid w:val="6EBF555C"/>
    <w:rsid w:val="6F484F7F"/>
    <w:rsid w:val="6F6C7EB0"/>
    <w:rsid w:val="6FF668B6"/>
    <w:rsid w:val="6FF94361"/>
    <w:rsid w:val="7004021D"/>
    <w:rsid w:val="70AE3508"/>
    <w:rsid w:val="71272B7F"/>
    <w:rsid w:val="72007D93"/>
    <w:rsid w:val="72A40B5C"/>
    <w:rsid w:val="73152D6C"/>
    <w:rsid w:val="741834E0"/>
    <w:rsid w:val="741D7175"/>
    <w:rsid w:val="74682A3E"/>
    <w:rsid w:val="751260A7"/>
    <w:rsid w:val="75C175F6"/>
    <w:rsid w:val="75E41344"/>
    <w:rsid w:val="76182F7F"/>
    <w:rsid w:val="76460BC5"/>
    <w:rsid w:val="765F1D12"/>
    <w:rsid w:val="76890771"/>
    <w:rsid w:val="76CD1ED3"/>
    <w:rsid w:val="770A6128"/>
    <w:rsid w:val="7717161A"/>
    <w:rsid w:val="778B6351"/>
    <w:rsid w:val="77AD1F4E"/>
    <w:rsid w:val="78D40969"/>
    <w:rsid w:val="78DB1470"/>
    <w:rsid w:val="791358B8"/>
    <w:rsid w:val="79AD2D81"/>
    <w:rsid w:val="79F41CA3"/>
    <w:rsid w:val="7ADB6CB5"/>
    <w:rsid w:val="7B10117D"/>
    <w:rsid w:val="7B203564"/>
    <w:rsid w:val="7B51340D"/>
    <w:rsid w:val="7B89740F"/>
    <w:rsid w:val="7B900FA5"/>
    <w:rsid w:val="7CC12815"/>
    <w:rsid w:val="7CCD4D16"/>
    <w:rsid w:val="7D8D4449"/>
    <w:rsid w:val="7D9F071E"/>
    <w:rsid w:val="7DBC0B9B"/>
    <w:rsid w:val="7DD0216F"/>
    <w:rsid w:val="7E0B1F99"/>
    <w:rsid w:val="7E7A5CA6"/>
    <w:rsid w:val="7E8A1593"/>
    <w:rsid w:val="7F6528BC"/>
    <w:rsid w:val="7FF80E9D"/>
    <w:rsid w:val="EF610A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4"/>
    <w:qFormat/>
    <w:uiPriority w:val="0"/>
    <w:pPr>
      <w:tabs>
        <w:tab w:val="center" w:pos="4153"/>
        <w:tab w:val="right" w:pos="8306"/>
      </w:tabs>
      <w:snapToGrid w:val="0"/>
      <w:jc w:val="left"/>
    </w:pPr>
    <w:rPr>
      <w:rFonts w:ascii="Times New Roman" w:hAnsi="Times New Roman" w:cs="Times New Roman"/>
      <w:sz w:val="18"/>
      <w:szCs w:val="18"/>
    </w:rPr>
  </w:style>
  <w:style w:type="paragraph" w:styleId="3">
    <w:name w:val="header"/>
    <w:basedOn w:val="1"/>
    <w:link w:val="15"/>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4">
    <w:name w:val="toc 1"/>
    <w:basedOn w:val="1"/>
    <w:next w:val="1"/>
    <w:qFormat/>
    <w:uiPriority w:val="0"/>
    <w:rPr>
      <w:rFonts w:ascii="Times New Roman" w:hAnsi="Times New Roman" w:cs="Times New Roman"/>
      <w:szCs w:val="24"/>
    </w:rPr>
  </w:style>
  <w:style w:type="paragraph" w:styleId="5">
    <w:name w:val="footnote text"/>
    <w:basedOn w:val="1"/>
    <w:qFormat/>
    <w:uiPriority w:val="0"/>
    <w:pPr>
      <w:snapToGrid w:val="0"/>
      <w:jc w:val="left"/>
    </w:pPr>
    <w:rPr>
      <w:sz w:val="18"/>
      <w:szCs w:val="18"/>
    </w:rPr>
  </w:style>
  <w:style w:type="paragraph" w:styleId="6">
    <w:name w:val="toc 2"/>
    <w:basedOn w:val="1"/>
    <w:next w:val="1"/>
    <w:qFormat/>
    <w:uiPriority w:val="0"/>
    <w:pPr>
      <w:ind w:left="420" w:leftChars="200"/>
    </w:pPr>
    <w:rPr>
      <w:rFonts w:ascii="Times New Roman" w:hAnsi="Times New Roman" w:cs="Times New Roman"/>
      <w:szCs w:val="24"/>
    </w:rPr>
  </w:style>
  <w:style w:type="table" w:styleId="8">
    <w:name w:val="Table Grid"/>
    <w:basedOn w:val="7"/>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styleId="11">
    <w:name w:val="footnote reference"/>
    <w:qFormat/>
    <w:uiPriority w:val="0"/>
    <w:rPr>
      <w:vertAlign w:val="superscript"/>
    </w:rPr>
  </w:style>
  <w:style w:type="paragraph" w:customStyle="1" w:styleId="12">
    <w:name w:val="Char"/>
    <w:basedOn w:val="1"/>
    <w:qFormat/>
    <w:uiPriority w:val="0"/>
    <w:rPr>
      <w:rFonts w:ascii="Times New Roman" w:hAnsi="Times New Roman" w:cs="Times New Roman"/>
      <w:szCs w:val="24"/>
    </w:rPr>
  </w:style>
  <w:style w:type="character" w:customStyle="1" w:styleId="13">
    <w:name w:val="页码1"/>
    <w:qFormat/>
    <w:uiPriority w:val="0"/>
  </w:style>
  <w:style w:type="character" w:customStyle="1" w:styleId="14">
    <w:name w:val="页脚 Char"/>
    <w:link w:val="2"/>
    <w:qFormat/>
    <w:uiPriority w:val="2"/>
    <w:rPr>
      <w:rFonts w:ascii="Times New Roman" w:hAnsi="Times New Roman" w:eastAsia="宋体" w:cs="Times New Roman"/>
      <w:sz w:val="18"/>
      <w:szCs w:val="18"/>
    </w:rPr>
  </w:style>
  <w:style w:type="character" w:customStyle="1" w:styleId="15">
    <w:name w:val="页眉 Char"/>
    <w:link w:val="3"/>
    <w:qFormat/>
    <w:uiPriority w:val="2"/>
    <w:rPr>
      <w:rFonts w:ascii="Times New Roman" w:hAnsi="Times New Roman" w:eastAsia="宋体" w:cs="Times New Roman"/>
      <w:sz w:val="18"/>
      <w:szCs w:val="18"/>
    </w:rPr>
  </w:style>
  <w:style w:type="paragraph" w:customStyle="1" w:styleId="16">
    <w:name w:val="[Normal]"/>
    <w:qFormat/>
    <w:uiPriority w:val="6"/>
    <w:rPr>
      <w:rFonts w:ascii="宋体" w:hAnsi="宋体" w:eastAsia="宋体" w:cs="Times New Roman"/>
      <w:sz w:val="24"/>
      <w:lang w:val="en-US" w:eastAsia="en-US" w:bidi="ar-SA"/>
    </w:rPr>
  </w:style>
  <w:style w:type="paragraph" w:customStyle="1" w:styleId="17">
    <w:name w:val="页脚1"/>
    <w:basedOn w:val="1"/>
    <w:qFormat/>
    <w:uiPriority w:val="0"/>
    <w:pPr>
      <w:widowControl/>
      <w:tabs>
        <w:tab w:val="center" w:pos="4153"/>
        <w:tab w:val="right" w:pos="8306"/>
      </w:tabs>
      <w:jc w:val="left"/>
    </w:pPr>
    <w:rPr>
      <w:rFonts w:ascii="Times New Roman" w:hAnsi="Times New Roman" w:eastAsia="Times New Roman" w:cs="Times New Roman"/>
      <w:kern w:val="0"/>
      <w:sz w:val="18"/>
      <w:szCs w:val="20"/>
      <w:lang w:eastAsia="en-US"/>
    </w:rPr>
  </w:style>
  <w:style w:type="paragraph" w:customStyle="1" w:styleId="18">
    <w:name w:val="页眉1"/>
    <w:basedOn w:val="1"/>
    <w:qFormat/>
    <w:uiPriority w:val="0"/>
    <w:pPr>
      <w:widowControl/>
      <w:pBdr>
        <w:bottom w:val="single" w:color="auto" w:sz="6" w:space="1"/>
      </w:pBdr>
      <w:tabs>
        <w:tab w:val="center" w:pos="4153"/>
        <w:tab w:val="right" w:pos="8306"/>
      </w:tabs>
      <w:jc w:val="center"/>
    </w:pPr>
    <w:rPr>
      <w:rFonts w:ascii="Times New Roman" w:hAnsi="Times New Roman" w:eastAsia="Times New Roman" w:cs="Times New Roman"/>
      <w:kern w:val="0"/>
      <w:sz w:val="18"/>
      <w:szCs w:val="20"/>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94DF5-A5D5-4C60-9ED9-1D3343F3F57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12522</Words>
  <Characters>14044</Characters>
  <Lines>113</Lines>
  <Paragraphs>31</Paragraphs>
  <TotalTime>3</TotalTime>
  <ScaleCrop>false</ScaleCrop>
  <LinksUpToDate>false</LinksUpToDate>
  <CharactersWithSpaces>14139</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2017-01-24T01:29:00Z</dcterms:created>
  <dc:creator>guest</dc:creator>
  <cp:lastModifiedBy>Administrator</cp:lastModifiedBy>
  <cp:lastPrinted>2020-01-10T23:53:00Z</cp:lastPrinted>
  <dcterms:modified xsi:type="dcterms:W3CDTF">2026-09-01T09:37:23Z</dcterms:modified>
  <dc:title>o</dc:title>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294EB991BE6041F8998DE9A1C5500524</vt:lpwstr>
  </property>
</Properties>
</file>