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华文中宋" w:cs="Times New Roman"/>
          <w:sz w:val="44"/>
          <w:szCs w:val="44"/>
        </w:rPr>
      </w:pPr>
      <w:r>
        <w:rPr>
          <w:rFonts w:ascii="Times New Roman" w:hAnsi="Times New Roman" w:eastAsia="华文中宋" w:cs="Times New Roman"/>
          <w:sz w:val="44"/>
          <w:szCs w:val="44"/>
        </w:rPr>
        <w:t>隆尧县发展和改革局</w:t>
      </w:r>
    </w:p>
    <w:p>
      <w:pPr>
        <w:jc w:val="center"/>
        <w:rPr>
          <w:rFonts w:ascii="Times New Roman" w:hAnsi="Times New Roman" w:eastAsia="华文中宋" w:cs="Times New Roman"/>
          <w:sz w:val="44"/>
          <w:szCs w:val="44"/>
        </w:rPr>
      </w:pPr>
      <w:r>
        <w:rPr>
          <w:rFonts w:ascii="Times New Roman" w:hAnsi="Times New Roman" w:eastAsia="华文中宋" w:cs="Times New Roman"/>
          <w:sz w:val="44"/>
          <w:szCs w:val="44"/>
        </w:rPr>
        <w:t>关于</w:t>
      </w:r>
      <w:r>
        <w:rPr>
          <w:rFonts w:hint="eastAsia" w:ascii="Times New Roman" w:hAnsi="Times New Roman" w:eastAsia="华文中宋" w:cs="Times New Roman"/>
          <w:sz w:val="44"/>
          <w:szCs w:val="44"/>
        </w:rPr>
        <w:t>2021年</w:t>
      </w:r>
      <w:r>
        <w:rPr>
          <w:rFonts w:ascii="Times New Roman" w:hAnsi="Times New Roman" w:eastAsia="华文中宋" w:cs="Times New Roman"/>
          <w:sz w:val="44"/>
          <w:szCs w:val="44"/>
        </w:rPr>
        <w:t>法治政府建设工作开展情况的</w:t>
      </w:r>
    </w:p>
    <w:p>
      <w:pPr>
        <w:jc w:val="center"/>
        <w:rPr>
          <w:rFonts w:ascii="Times New Roman" w:hAnsi="Times New Roman" w:eastAsia="华文中宋" w:cs="Times New Roman"/>
          <w:sz w:val="44"/>
          <w:szCs w:val="44"/>
        </w:rPr>
      </w:pPr>
      <w:r>
        <w:rPr>
          <w:rFonts w:hint="eastAsia" w:ascii="Times New Roman" w:hAnsi="Times New Roman" w:eastAsia="华文中宋" w:cs="Times New Roman"/>
          <w:sz w:val="44"/>
          <w:szCs w:val="44"/>
        </w:rPr>
        <w:t>报    告</w:t>
      </w:r>
    </w:p>
    <w:p>
      <w:pPr>
        <w:widowControl w:val="0"/>
        <w:ind w:firstLine="640" w:firstLineChars="200"/>
        <w:rPr>
          <w:rFonts w:ascii="Times New Roman" w:hAnsi="Times New Roman" w:cs="Times New Roman"/>
        </w:rPr>
      </w:pPr>
      <w:r>
        <w:rPr>
          <w:rFonts w:hint="eastAsia"/>
        </w:rPr>
        <w:t>今年以来，发改局在县委、县政府的领导下，认真贯彻中共中央办公厅、国务院办公厅《法治政府建设与责任落实督查工作规定》和法治政府建设年度工作报告相关要求，全面推进法治政府建设工作。</w:t>
      </w:r>
      <w:r>
        <w:rPr>
          <w:rFonts w:hint="eastAsia" w:ascii="Times New Roman" w:hAnsi="Times New Roman" w:cs="Times New Roman"/>
        </w:rPr>
        <w:t>按照法治政府建设领导小组工作安排</w:t>
      </w:r>
      <w:r>
        <w:rPr>
          <w:rFonts w:ascii="Times New Roman" w:hAnsi="Times New Roman" w:cs="Times New Roman"/>
        </w:rPr>
        <w:t>，</w:t>
      </w:r>
      <w:r>
        <w:rPr>
          <w:rFonts w:hint="eastAsia" w:ascii="Times New Roman" w:hAnsi="Times New Roman" w:cs="Times New Roman"/>
        </w:rPr>
        <w:t>结合我单位承担工作职能，</w:t>
      </w:r>
      <w:r>
        <w:rPr>
          <w:rFonts w:ascii="Times New Roman" w:hAnsi="Times New Roman" w:cs="Times New Roman"/>
        </w:rPr>
        <w:t>现将</w:t>
      </w:r>
      <w:r>
        <w:rPr>
          <w:rFonts w:hint="eastAsia" w:ascii="Times New Roman" w:hAnsi="Times New Roman" w:cs="Times New Roman"/>
        </w:rPr>
        <w:t>发改</w:t>
      </w:r>
      <w:r>
        <w:rPr>
          <w:rFonts w:ascii="Times New Roman" w:hAnsi="Times New Roman" w:cs="Times New Roman"/>
        </w:rPr>
        <w:t>局承担法治政府建设相关工作开展情况</w:t>
      </w:r>
      <w:r>
        <w:rPr>
          <w:rFonts w:hint="eastAsia" w:ascii="Times New Roman" w:hAnsi="Times New Roman" w:cs="Times New Roman"/>
        </w:rPr>
        <w:t>报告</w:t>
      </w:r>
      <w:r>
        <w:rPr>
          <w:rFonts w:ascii="Times New Roman" w:hAnsi="Times New Roman" w:cs="Times New Roman"/>
        </w:rPr>
        <w:t>如下：</w:t>
      </w:r>
    </w:p>
    <w:p>
      <w:pPr>
        <w:widowControl w:val="0"/>
        <w:ind w:firstLine="64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一、2021年度推进法治政府建设的主要举措和成效</w:t>
      </w:r>
    </w:p>
    <w:p>
      <w:pPr>
        <w:widowControl w:val="0"/>
        <w:numPr>
          <w:ilvl w:val="0"/>
          <w:numId w:val="1"/>
        </w:num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深入学习宣传贯彻习近平法治思想</w:t>
      </w:r>
    </w:p>
    <w:p>
      <w:pPr>
        <w:widowControl w:val="0"/>
        <w:ind w:firstLine="640" w:firstLineChars="200"/>
      </w:pPr>
      <w:r>
        <w:rPr>
          <w:rFonts w:hint="eastAsia"/>
        </w:rPr>
        <w:t>全面贯彻落实法治政府建设有关要求，把习近平法治思想作为全局干部职工培训学习的重点内容，结合实际采取多种形式深入学习习近平法治思想及其生动实践，从把握新阶段、贯彻新理念、融入新格局出发，吃透基本精神，把握核心要义，对标对表习近平总书记提出的“十一个坚持”，切实把各项事业纳入法治化轨道，全面提升运用法治思维和法治方式深化改革、推动发展、化解矛盾、维护稳定、应对风险的能力和水平，为加快建设“一区一城”提供坚强法治保障。不断提升干部职工学法、守法、用法意识，强化法律法规在实际工作中的应用，提高干部职工运用法治思维和法治方式解决问题的能力和水平。</w:t>
      </w:r>
    </w:p>
    <w:p>
      <w:pPr>
        <w:pStyle w:val="2"/>
        <w:numPr>
          <w:ilvl w:val="0"/>
          <w:numId w:val="1"/>
        </w:num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稳步推进法治政府建设</w:t>
      </w:r>
    </w:p>
    <w:p>
      <w:pPr>
        <w:pStyle w:val="2"/>
        <w:ind w:firstLine="640" w:firstLineChars="200"/>
      </w:pPr>
      <w:r>
        <w:rPr>
          <w:rFonts w:hint="eastAsia"/>
        </w:rPr>
        <w:t>一是全面依法行政。进一步转变政府职能，创新思路，落实举措，充分发挥市场在资源配置中的决定性作用，更好发挥政府作用，逐步建立投资主体自主决策、政府调控有力有效、市场环境公平开放的体制机制。进一步强化企业投资主体地位，贯彻“企业自主决策、自担风险”的原则，落实企业投资自主权，切实优化营商环境，促进产业结构转型升级和经济稳定健康发展。对应上级行政权力指导目录，全面认领和公布职权范围内行权事项，进一步提升行政审批效率，确保权力事项公开公平、廉洁高效运行。基本形成以信用监管为基础，行政监管、行业自律、社会监督、公众参与为手段的权力运行机制和监管格局</w:t>
      </w:r>
    </w:p>
    <w:p>
      <w:pPr>
        <w:widowControl w:val="0"/>
        <w:ind w:firstLine="643" w:firstLineChars="200"/>
        <w:rPr>
          <w:rFonts w:hAnsi="仿宋_GB2312" w:cs="仿宋_GB2312"/>
          <w:b/>
          <w:bCs/>
        </w:rPr>
      </w:pPr>
      <w:r>
        <w:rPr>
          <w:rFonts w:hint="eastAsia" w:hAnsi="仿宋_GB2312" w:cs="仿宋_GB2312"/>
          <w:b/>
          <w:bCs/>
        </w:rPr>
        <w:t>（三）优化营商环境</w:t>
      </w:r>
    </w:p>
    <w:p>
      <w:pPr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1. 强化服务和要素保障，加快推进项目落地。</w:t>
      </w:r>
      <w:r>
        <w:rPr>
          <w:rFonts w:hint="eastAsia" w:hAnsi="仿宋_GB2312" w:cs="仿宋_GB2312"/>
          <w:b/>
          <w:bCs/>
        </w:rPr>
        <w:t>一是</w:t>
      </w:r>
      <w:r>
        <w:rPr>
          <w:rFonts w:hint="eastAsia" w:hAnsi="仿宋_GB2312" w:cs="仿宋_GB2312"/>
        </w:rPr>
        <w:t>把“双进双产”作为重中之重，围绕食品制造、装备制造以及灰铸铁（绿色铸造）等特色产业，鼓励支持今麦郎、远大、三厦等本土优质企业增投资，扩规模，上项目。截至目前，今麦郎公司先后实施了非油炸蒸煮面、方便面配套调味料包等项目；三厦公司先后实施了搪瓷炊具炉架及精铁锅旋压料片、植物油锅具等项目；远大集团先后实施了阀门技改扩能、研发中心项目。</w:t>
      </w:r>
      <w:r>
        <w:rPr>
          <w:rFonts w:hint="eastAsia" w:hAnsi="仿宋_GB2312" w:cs="仿宋_GB2312"/>
          <w:b/>
          <w:bCs/>
        </w:rPr>
        <w:t>二是</w:t>
      </w:r>
      <w:r>
        <w:rPr>
          <w:rFonts w:hint="eastAsia" w:hAnsi="仿宋_GB2312" w:cs="仿宋_GB2312"/>
        </w:rPr>
        <w:t>提高服务项目水平，持续深化领导干部包联制度，制定出台了《关于加快推进“双进双产”实行重点项目县级领导干部承包制的通知》，对重点项目逐一建立包联工作专班，由县级领导任组长，有关部门负责人，项目所在地部门负责人及相关科室负责人为成员，从建设开槽、基础完工到主体竣工等各个环节主动对接帮扶，及时解决项目单位反映的问题。</w:t>
      </w:r>
      <w:r>
        <w:rPr>
          <w:rFonts w:hAnsi="仿宋_GB2312" w:cs="仿宋_GB2312"/>
        </w:rPr>
        <w:t>2022</w:t>
      </w:r>
      <w:r>
        <w:rPr>
          <w:rFonts w:hint="eastAsia" w:hAnsi="仿宋_GB2312" w:cs="仿宋_GB2312"/>
        </w:rPr>
        <w:t>年，结合项目动态变化和领导调整情况，又及时对包联台账进行了完善，确保每个重点项目都有领导包联帮扶。</w:t>
      </w:r>
      <w:r>
        <w:rPr>
          <w:rFonts w:hint="eastAsia" w:hAnsi="仿宋_GB2312" w:cs="仿宋_GB2312"/>
          <w:b/>
          <w:bCs/>
        </w:rPr>
        <w:t>三是</w:t>
      </w:r>
      <w:r>
        <w:rPr>
          <w:rFonts w:hint="eastAsia" w:hAnsi="仿宋_GB2312" w:cs="仿宋_GB2312"/>
        </w:rPr>
        <w:t>提升土地要素保障能力，对符合我县产业发展方向的优质项目，积极申报省市重点项目计划，有序保障项目用地需求。分别为今麦郎食品公司、饮品公司拟建项目供地220亩、130亩，保障了项目用地需求。2022年1月，宽衍隧道检测设备项目新获批省重点前期项目。</w:t>
      </w:r>
      <w:r>
        <w:rPr>
          <w:rFonts w:hint="eastAsia" w:hAnsi="仿宋_GB2312" w:cs="仿宋_GB2312"/>
          <w:b/>
          <w:bCs/>
        </w:rPr>
        <w:t>四是</w:t>
      </w:r>
      <w:r>
        <w:rPr>
          <w:rFonts w:hint="eastAsia" w:hAnsi="仿宋_GB2312" w:cs="仿宋_GB2312"/>
        </w:rPr>
        <w:t>积极开展项目代办，对入驻园区的项目，设立了绿色通道流程问效卡，实行一名县级领导包联，一个代办小组负责，一个标准流程推进，一张流程卡问效“四个一”标准代办，着力解决项目审批过程中的卡点和堵点，显著提高审批效率和质量。自代办制度实行以来，先后为三厦植物油锅具、华翱洁净门窗等多个项目代办了各项审批手续，为项目早开工创造了有利条件。</w:t>
      </w:r>
    </w:p>
    <w:p>
      <w:pPr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2. 推进行政审批制度改革，提高政务服务便利化水平。</w:t>
      </w:r>
      <w:r>
        <w:rPr>
          <w:rFonts w:hint="eastAsia" w:hAnsi="仿宋_GB2312" w:cs="仿宋_GB2312"/>
          <w:b/>
          <w:bCs/>
          <w:kern w:val="0"/>
        </w:rPr>
        <w:t>一是</w:t>
      </w:r>
      <w:r>
        <w:rPr>
          <w:rFonts w:hint="eastAsia" w:hAnsi="仿宋_GB2312" w:cs="仿宋_GB2312"/>
        </w:rPr>
        <w:t>深化“放管服”改革，推进政务服务事项网上审批效能提升，目前全县共有1047个事项实现网上可办，乡村两级共有5085事项实现网上可办，网上可办率均达到100%，进一步方便了企业和群众办事。</w:t>
      </w:r>
      <w:r>
        <w:rPr>
          <w:rFonts w:hint="eastAsia" w:hAnsi="仿宋_GB2312" w:cs="仿宋_GB2312"/>
          <w:b/>
          <w:bCs/>
        </w:rPr>
        <w:t>二是</w:t>
      </w:r>
      <w:r>
        <w:rPr>
          <w:rFonts w:hint="eastAsia" w:hAnsi="仿宋_GB2312" w:cs="仿宋_GB2312"/>
        </w:rPr>
        <w:t>大力推进“减证便民”“最多跑一次”改革，设立了企业开办专区，实施“进一个门办全部事”，工商登记、公章刻制、税务事项、银行开户、全流程在线一体化办理，企业开办时间压缩至1个工作日内。</w:t>
      </w:r>
      <w:r>
        <w:rPr>
          <w:rFonts w:hint="eastAsia" w:hAnsi="仿宋_GB2312" w:cs="仿宋_GB2312"/>
          <w:b/>
          <w:bCs/>
        </w:rPr>
        <w:t>三是</w:t>
      </w:r>
      <w:r>
        <w:rPr>
          <w:rFonts w:hint="eastAsia" w:hAnsi="仿宋_GB2312" w:cs="仿宋_GB2312"/>
        </w:rPr>
        <w:t>大力推进投资项目承诺制改革。按照“政府定标准、企业作承诺、过程强监管、失信严惩戒”的新型企业投资项目管理模式，推进重点项目实现“拿地即可开工”，最大限度减少审批时限，助力企业项目建设。华翱洁净材料项目拿地后第二天即开工建设，当年建成投产，成为隆尧历史上从签约到投产用时最短的独立选址工业项目。</w:t>
      </w:r>
      <w:r>
        <w:rPr>
          <w:rFonts w:hint="eastAsia" w:hAnsi="仿宋_GB2312" w:cs="仿宋_GB2312"/>
          <w:b/>
          <w:bCs/>
        </w:rPr>
        <w:t>四是</w:t>
      </w:r>
      <w:r>
        <w:rPr>
          <w:rFonts w:hint="eastAsia" w:hAnsi="仿宋_GB2312" w:cs="仿宋_GB2312"/>
          <w:lang w:val="zh-CN"/>
        </w:rPr>
        <w:t>持续优化纳税服务，</w:t>
      </w:r>
      <w:r>
        <w:rPr>
          <w:rFonts w:hint="eastAsia" w:hAnsi="仿宋_GB2312" w:cs="仿宋_GB2312"/>
        </w:rPr>
        <w:t>在全国首次把智慧云厅布局到全县四家大企业—今麦郎、三厦、奎山、远大阀门，实现了远程企业端的全程智慧办税；创新采用“1+4+N”分流的理念，让纳税人就近到所属乡镇或到专项办税机构办理各项涉税费事宜，有效提升了纳税人和缴费人的获得感和满意度。</w:t>
      </w:r>
    </w:p>
    <w:p>
      <w:pPr>
        <w:widowControl w:val="0"/>
        <w:ind w:firstLine="643" w:firstLineChars="200"/>
        <w:rPr>
          <w:rFonts w:hAnsi="仿宋_GB2312" w:cs="仿宋_GB2312"/>
          <w:b/>
          <w:bCs/>
        </w:rPr>
      </w:pPr>
      <w:r>
        <w:rPr>
          <w:rFonts w:hint="eastAsia" w:hAnsi="仿宋_GB2312" w:cs="仿宋_GB2312"/>
          <w:b/>
          <w:bCs/>
        </w:rPr>
        <w:t>（四）加强和规范事中事后监管工作</w:t>
      </w:r>
    </w:p>
    <w:p>
      <w:pPr>
        <w:widowControl w:val="0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依据职责分工，我局主要负责政府投资项目督导检查和招标投标指导协调监管工作。在项目督查方面，2021年我局抽查政府投资项目60个，发现不规范问题15个，完成整改15个。在招投标监管方面，查处招投标不规范问题2个，均进行了相应处理，完成了整改。为了巩固整改成果，我局以省委巡视工程建设领域招投标专项整治为契机，制定出台印发了《关于进一步加强招标投标管理工作的通知》。从建章立制着手，建立长效机制，堵死问题源头。</w:t>
      </w:r>
    </w:p>
    <w:p>
      <w:pPr>
        <w:widowControl w:val="0"/>
        <w:ind w:firstLine="643" w:firstLineChars="200"/>
        <w:rPr>
          <w:rFonts w:hAnsi="仿宋_GB2312" w:cs="仿宋_GB2312"/>
          <w:b/>
          <w:bCs/>
        </w:rPr>
      </w:pPr>
      <w:r>
        <w:rPr>
          <w:rFonts w:hint="eastAsia" w:hAnsi="仿宋_GB2312" w:cs="仿宋_GB2312"/>
          <w:b/>
          <w:bCs/>
        </w:rPr>
        <w:t>（五）负面清单制度执行情况</w:t>
      </w:r>
    </w:p>
    <w:p>
      <w:pPr>
        <w:pStyle w:val="6"/>
        <w:widowControl w:val="0"/>
        <w:spacing w:beforeAutospacing="0" w:afterAutospacing="0"/>
        <w:ind w:firstLine="640" w:firstLineChars="200"/>
        <w:rPr>
          <w:rFonts w:hAnsi="仿宋_GB2312" w:cs="仿宋_GB2312"/>
          <w:color w:val="000000" w:themeColor="text1"/>
          <w:kern w:val="2"/>
          <w:sz w:val="32"/>
        </w:rPr>
      </w:pPr>
      <w:r>
        <w:rPr>
          <w:rFonts w:hint="eastAsia" w:hAnsi="仿宋_GB2312" w:cs="仿宋_GB2312"/>
          <w:color w:val="000000" w:themeColor="text1"/>
          <w:kern w:val="2"/>
          <w:sz w:val="32"/>
        </w:rPr>
        <w:t>全面落实并严格执行国家发改委2020年版《市场准入负面负面清单制度》，及时在隆尧县人民政府网站</w:t>
      </w:r>
      <w:r>
        <w:rPr>
          <w:rFonts w:hint="eastAsia" w:hAnsi="仿宋_GB2312" w:cs="仿宋_GB2312"/>
          <w:color w:val="000000" w:themeColor="text1"/>
          <w:sz w:val="32"/>
        </w:rPr>
        <w:t>公示2020年版市场准入负面清单，2021年公示市场准入负面清单123条，涉及二十一个行业领域。对负面清单之外的行业、领域和业务，各类市场主体均可依法平等进入，切实发挥好</w:t>
      </w:r>
      <w:r>
        <w:rPr>
          <w:rFonts w:hint="eastAsia" w:hAnsi="仿宋_GB2312" w:cs="仿宋_GB2312"/>
          <w:color w:val="000000" w:themeColor="text1"/>
          <w:kern w:val="2"/>
          <w:sz w:val="32"/>
        </w:rPr>
        <w:t>市场在资源配置中的决定性作用。</w:t>
      </w:r>
    </w:p>
    <w:p>
      <w:pPr>
        <w:widowControl w:val="0"/>
        <w:ind w:firstLine="640" w:firstLineChars="200"/>
        <w:rPr>
          <w:rFonts w:ascii="黑体" w:hAnsi="黑体" w:eastAsia="黑体" w:cs="黑体"/>
          <w:color w:val="000000" w:themeColor="text1"/>
        </w:rPr>
      </w:pPr>
      <w:r>
        <w:rPr>
          <w:rFonts w:hint="eastAsia" w:ascii="黑体" w:hAnsi="黑体" w:eastAsia="黑体" w:cs="黑体"/>
          <w:color w:val="000000" w:themeColor="text1"/>
        </w:rPr>
        <w:t>二、主要存在问题</w:t>
      </w:r>
    </w:p>
    <w:p>
      <w:pPr>
        <w:ind w:firstLine="640" w:firstLineChars="200"/>
        <w:rPr>
          <w:rFonts w:hAnsi="仿宋_GB2312" w:cs="仿宋_GB2312"/>
          <w:color w:val="000000"/>
          <w:kern w:val="0"/>
        </w:rPr>
      </w:pPr>
      <w:r>
        <w:rPr>
          <w:rFonts w:hint="eastAsia" w:hAnsi="仿宋_GB2312" w:cs="仿宋_GB2312"/>
        </w:rPr>
        <w:t>在2021年法治政府建设工作中，我们取得了一定的成绩，但同时也还存在着一些不足和问题，主要表现为法制宣传教育工作开展得还不广泛，深度不够。一是法治工作人员力量配备不足，由于人员编制有限，缺乏专业法治工作人员，难以适应实际工作需要。二是会前学法还不够深入，由于时间和业务工作关系，在学法过程中只能对少数重点条款进行解读，不能系统学习，导致学习效果不理想，</w:t>
      </w:r>
      <w:r>
        <w:rPr>
          <w:rFonts w:hint="eastAsia" w:hAnsi="仿宋_GB2312" w:cs="仿宋_GB2312"/>
          <w:color w:val="000000" w:themeColor="text1"/>
        </w:rPr>
        <w:t>理论学习不够深入，</w:t>
      </w:r>
      <w:r>
        <w:rPr>
          <w:rFonts w:hint="eastAsia" w:hAnsi="仿宋_GB2312" w:cs="仿宋_GB2312"/>
          <w:color w:val="000000"/>
          <w:kern w:val="0"/>
        </w:rPr>
        <w:t>法治宣传不够好，普法次数不够多，法律制度落实不够到位，行政调解方式较少，依法行政能力不够高等。</w:t>
      </w:r>
    </w:p>
    <w:p>
      <w:pPr>
        <w:ind w:firstLine="640" w:firstLineChars="200"/>
        <w:rPr>
          <w:rFonts w:hAnsi="仿宋_GB2312" w:eastAsia="黑体" w:cs="仿宋_GB2312"/>
          <w:kern w:val="0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kern w:val="0"/>
        </w:rPr>
        <w:t>三、</w:t>
      </w:r>
      <w:r>
        <w:rPr>
          <w:rFonts w:hint="eastAsia" w:ascii="黑体" w:hAnsi="黑体" w:eastAsia="黑体" w:cs="黑体"/>
          <w:kern w:val="0"/>
          <w:shd w:val="clear" w:color="auto" w:fill="FFFFFF"/>
        </w:rPr>
        <w:t>今后工作计划</w:t>
      </w:r>
    </w:p>
    <w:p>
      <w:pPr>
        <w:pStyle w:val="2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  <w:color w:val="000000"/>
          <w:kern w:val="0"/>
        </w:rPr>
        <w:t>在今后工作中，</w:t>
      </w:r>
      <w:r>
        <w:rPr>
          <w:rFonts w:hint="eastAsia" w:hAnsi="仿宋_GB2312" w:cs="仿宋_GB2312"/>
        </w:rPr>
        <w:t>继续深化依法行政工作，持续深化“放管服”改革，做好行政权力清单动态调整工作，进一步完善法律顾问机制。同时加强法治工作队伍建设，推进法治专门队伍革命化、正规化、专业化、职业化建设。认真落实法治宣传教育工作，落实“谁执法、谁普法”责任制，做好国家工作人员宪法学习宣传，积极预防化解矛盾纠纷，做好调解疏导工作。</w:t>
      </w:r>
    </w:p>
    <w:p>
      <w:pPr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  <w:color w:val="000000"/>
          <w:kern w:val="0"/>
        </w:rPr>
        <w:t>我局将努力做好以下三项工作，</w:t>
      </w:r>
      <w:r>
        <w:rPr>
          <w:rFonts w:hint="eastAsia" w:hAnsi="仿宋_GB2312" w:cs="仿宋_GB2312"/>
          <w:b/>
          <w:color w:val="000000"/>
          <w:kern w:val="0"/>
        </w:rPr>
        <w:t>一是</w:t>
      </w:r>
      <w:r>
        <w:rPr>
          <w:rFonts w:hint="eastAsia" w:hAnsi="仿宋_GB2312" w:cs="仿宋_GB2312"/>
          <w:color w:val="000000"/>
          <w:kern w:val="0"/>
        </w:rPr>
        <w:t>加强法治培训制度化。除了每年参加司法部门组织的执法人员培训考试外，还要结合工作实际，每年至少组织两次全员法治培训。</w:t>
      </w:r>
      <w:r>
        <w:rPr>
          <w:rFonts w:hint="eastAsia" w:hAnsi="仿宋_GB2312" w:cs="仿宋_GB2312"/>
          <w:b/>
          <w:color w:val="000000"/>
          <w:kern w:val="0"/>
        </w:rPr>
        <w:t>二是</w:t>
      </w:r>
      <w:r>
        <w:rPr>
          <w:rFonts w:hint="eastAsia" w:hAnsi="仿宋_GB2312" w:cs="仿宋_GB2312"/>
          <w:color w:val="000000"/>
          <w:kern w:val="0"/>
        </w:rPr>
        <w:t>严格落实行政执法</w:t>
      </w:r>
      <w:r>
        <w:rPr>
          <w:rFonts w:hint="eastAsia" w:hAnsi="仿宋_GB2312" w:cs="仿宋_GB2312"/>
          <w:color w:val="000000"/>
          <w:kern w:val="0"/>
          <w:lang w:eastAsia="zh-CN"/>
        </w:rPr>
        <w:t>“</w:t>
      </w:r>
      <w:bookmarkStart w:id="0" w:name="_GoBack"/>
      <w:r>
        <w:rPr>
          <w:rFonts w:hint="eastAsia" w:hAnsi="仿宋_GB2312" w:cs="仿宋_GB2312"/>
          <w:color w:val="000000"/>
          <w:kern w:val="0"/>
        </w:rPr>
        <w:t>三项制度</w:t>
      </w:r>
      <w:bookmarkEnd w:id="0"/>
      <w:r>
        <w:rPr>
          <w:rFonts w:hint="eastAsia" w:hAnsi="仿宋_GB2312" w:cs="仿宋_GB2312"/>
          <w:color w:val="000000"/>
          <w:kern w:val="0"/>
          <w:lang w:eastAsia="zh-CN"/>
        </w:rPr>
        <w:t>”</w:t>
      </w:r>
      <w:r>
        <w:rPr>
          <w:rFonts w:hint="eastAsia" w:hAnsi="仿宋_GB2312" w:cs="仿宋_GB2312"/>
          <w:color w:val="000000"/>
          <w:kern w:val="0"/>
        </w:rPr>
        <w:t>，各个执法事项严格按照流程办理，加强执法监督，确保严格规范公正文明执法，全面提高执法人员的法治思维和依法行政能力。</w:t>
      </w:r>
      <w:r>
        <w:rPr>
          <w:rFonts w:hint="eastAsia" w:hAnsi="仿宋_GB2312" w:cs="仿宋_GB2312"/>
          <w:b/>
          <w:color w:val="000000"/>
          <w:kern w:val="0"/>
        </w:rPr>
        <w:t>三是</w:t>
      </w:r>
      <w:r>
        <w:rPr>
          <w:rFonts w:hint="eastAsia" w:hAnsi="仿宋_GB2312" w:cs="仿宋_GB2312"/>
          <w:color w:val="000000"/>
          <w:kern w:val="0"/>
        </w:rPr>
        <w:t>认真做好行政复议和行政应诉工作，坚持严格依法办案，有错必纠，努力使行政复议和应诉的过程成为化解矛盾和规范行政行为的过程，同时加强与上级机关、机关内部的法治工作机构与业务工作机构的沟通、协调和配合，不断提高行政复议、行政应诉工作的质量和水平。</w:t>
      </w:r>
    </w:p>
    <w:p>
      <w:pPr>
        <w:widowControl w:val="0"/>
        <w:ind w:firstLine="640" w:firstLineChars="200"/>
        <w:rPr>
          <w:rFonts w:hAnsi="仿宋_GB2312" w:cs="仿宋_GB2312"/>
        </w:rPr>
      </w:pPr>
    </w:p>
    <w:p>
      <w:pPr>
        <w:widowControl w:val="0"/>
        <w:ind w:firstLine="640" w:firstLineChars="200"/>
        <w:rPr>
          <w:rFonts w:hAnsi="仿宋_GB2312" w:cs="仿宋_GB2312"/>
        </w:rPr>
      </w:pPr>
    </w:p>
    <w:p>
      <w:pPr>
        <w:widowControl w:val="0"/>
        <w:ind w:firstLine="640" w:firstLineChars="200"/>
        <w:rPr>
          <w:rFonts w:hAnsi="仿宋_GB2312" w:cs="仿宋_GB2312"/>
        </w:rPr>
      </w:pPr>
    </w:p>
    <w:p>
      <w:pPr>
        <w:widowControl w:val="0"/>
        <w:ind w:firstLine="640" w:firstLineChars="200"/>
        <w:rPr>
          <w:rFonts w:hAnsi="仿宋_GB2312" w:cs="仿宋_GB2312"/>
        </w:rPr>
      </w:pPr>
    </w:p>
    <w:p>
      <w:pPr>
        <w:widowControl w:val="0"/>
        <w:ind w:firstLine="5760" w:firstLineChars="1800"/>
        <w:rPr>
          <w:rFonts w:hAnsi="仿宋_GB2312" w:cs="仿宋_GB2312"/>
        </w:rPr>
      </w:pPr>
      <w:r>
        <w:rPr>
          <w:rFonts w:hint="eastAsia" w:hAnsi="仿宋_GB2312" w:cs="仿宋_GB2312"/>
        </w:rPr>
        <w:t>2022年2月16日</w:t>
      </w:r>
    </w:p>
    <w:p>
      <w:pPr>
        <w:pStyle w:val="2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 xml:space="preserve">  　  　</w:t>
      </w:r>
    </w:p>
    <w:sectPr>
      <w:footerReference r:id="rId5" w:type="default"/>
      <w:pgSz w:w="11906" w:h="16838"/>
      <w:pgMar w:top="2098" w:right="1474" w:bottom="1474" w:left="1474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99540670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4"/>
          <w:jc w:val="center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1C7190"/>
    <w:multiLevelType w:val="singleLevel"/>
    <w:tmpl w:val="3E1C719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E09C2"/>
    <w:rsid w:val="00007FB7"/>
    <w:rsid w:val="0001788F"/>
    <w:rsid w:val="00037ED8"/>
    <w:rsid w:val="00064008"/>
    <w:rsid w:val="00065D28"/>
    <w:rsid w:val="00096AC2"/>
    <w:rsid w:val="000A7ED7"/>
    <w:rsid w:val="000B2EC0"/>
    <w:rsid w:val="000C5FEE"/>
    <w:rsid w:val="000C6970"/>
    <w:rsid w:val="000D4F86"/>
    <w:rsid w:val="001134DA"/>
    <w:rsid w:val="00122471"/>
    <w:rsid w:val="00132D05"/>
    <w:rsid w:val="00136F81"/>
    <w:rsid w:val="001450DA"/>
    <w:rsid w:val="001A27FB"/>
    <w:rsid w:val="001D53D1"/>
    <w:rsid w:val="002022D3"/>
    <w:rsid w:val="00202DCA"/>
    <w:rsid w:val="002152B7"/>
    <w:rsid w:val="00216DC0"/>
    <w:rsid w:val="00275078"/>
    <w:rsid w:val="002E09C2"/>
    <w:rsid w:val="003174D8"/>
    <w:rsid w:val="003307D7"/>
    <w:rsid w:val="00337A5A"/>
    <w:rsid w:val="003812EF"/>
    <w:rsid w:val="00395EF9"/>
    <w:rsid w:val="003C65EC"/>
    <w:rsid w:val="004809C2"/>
    <w:rsid w:val="00485585"/>
    <w:rsid w:val="004A4176"/>
    <w:rsid w:val="004A7D97"/>
    <w:rsid w:val="004D0641"/>
    <w:rsid w:val="004F5D60"/>
    <w:rsid w:val="00505775"/>
    <w:rsid w:val="00514B81"/>
    <w:rsid w:val="00532BBB"/>
    <w:rsid w:val="0053460A"/>
    <w:rsid w:val="0054291C"/>
    <w:rsid w:val="005E5BA0"/>
    <w:rsid w:val="006622CD"/>
    <w:rsid w:val="00670AC6"/>
    <w:rsid w:val="006A1970"/>
    <w:rsid w:val="006C5095"/>
    <w:rsid w:val="006C7908"/>
    <w:rsid w:val="006D3D5E"/>
    <w:rsid w:val="006E325C"/>
    <w:rsid w:val="006E4AEB"/>
    <w:rsid w:val="0070670F"/>
    <w:rsid w:val="00715A9C"/>
    <w:rsid w:val="007162C0"/>
    <w:rsid w:val="00724D7C"/>
    <w:rsid w:val="00726C96"/>
    <w:rsid w:val="00730B60"/>
    <w:rsid w:val="00760510"/>
    <w:rsid w:val="00765C4C"/>
    <w:rsid w:val="007940F5"/>
    <w:rsid w:val="007A4588"/>
    <w:rsid w:val="007C39C0"/>
    <w:rsid w:val="007E234A"/>
    <w:rsid w:val="007F3504"/>
    <w:rsid w:val="007F4C02"/>
    <w:rsid w:val="00801B57"/>
    <w:rsid w:val="00835FDC"/>
    <w:rsid w:val="00861224"/>
    <w:rsid w:val="0086231E"/>
    <w:rsid w:val="008773E8"/>
    <w:rsid w:val="00882ECE"/>
    <w:rsid w:val="008B4774"/>
    <w:rsid w:val="008F5FD5"/>
    <w:rsid w:val="00914F10"/>
    <w:rsid w:val="00921134"/>
    <w:rsid w:val="009418A7"/>
    <w:rsid w:val="00942FDF"/>
    <w:rsid w:val="00967508"/>
    <w:rsid w:val="009708A3"/>
    <w:rsid w:val="00983877"/>
    <w:rsid w:val="009A0BDB"/>
    <w:rsid w:val="009A4C95"/>
    <w:rsid w:val="009A6F33"/>
    <w:rsid w:val="009B6AF2"/>
    <w:rsid w:val="00A15D3F"/>
    <w:rsid w:val="00A46873"/>
    <w:rsid w:val="00AD43D8"/>
    <w:rsid w:val="00B25A51"/>
    <w:rsid w:val="00B31692"/>
    <w:rsid w:val="00B430B0"/>
    <w:rsid w:val="00B81425"/>
    <w:rsid w:val="00B87B75"/>
    <w:rsid w:val="00BB1B54"/>
    <w:rsid w:val="00BB4D60"/>
    <w:rsid w:val="00BC17CB"/>
    <w:rsid w:val="00BC2914"/>
    <w:rsid w:val="00BF7ECF"/>
    <w:rsid w:val="00C03F7F"/>
    <w:rsid w:val="00C169A8"/>
    <w:rsid w:val="00C2338C"/>
    <w:rsid w:val="00C45799"/>
    <w:rsid w:val="00C45E78"/>
    <w:rsid w:val="00C70F4F"/>
    <w:rsid w:val="00C8126D"/>
    <w:rsid w:val="00C934D9"/>
    <w:rsid w:val="00CA0BA4"/>
    <w:rsid w:val="00CA32CA"/>
    <w:rsid w:val="00CA422B"/>
    <w:rsid w:val="00CC3059"/>
    <w:rsid w:val="00CD33DA"/>
    <w:rsid w:val="00CE2A7C"/>
    <w:rsid w:val="00D121CC"/>
    <w:rsid w:val="00D320FA"/>
    <w:rsid w:val="00D34BD7"/>
    <w:rsid w:val="00D577BB"/>
    <w:rsid w:val="00D724BE"/>
    <w:rsid w:val="00D802C0"/>
    <w:rsid w:val="00D903A1"/>
    <w:rsid w:val="00D91962"/>
    <w:rsid w:val="00D96166"/>
    <w:rsid w:val="00E26D9A"/>
    <w:rsid w:val="00E634C5"/>
    <w:rsid w:val="00E95433"/>
    <w:rsid w:val="00F01D24"/>
    <w:rsid w:val="00F03E6E"/>
    <w:rsid w:val="00F061A6"/>
    <w:rsid w:val="00F17BFF"/>
    <w:rsid w:val="00F46684"/>
    <w:rsid w:val="00F5162D"/>
    <w:rsid w:val="00F627F9"/>
    <w:rsid w:val="00F65BDC"/>
    <w:rsid w:val="00F73FEE"/>
    <w:rsid w:val="00F8255C"/>
    <w:rsid w:val="00F9349E"/>
    <w:rsid w:val="00FA1A21"/>
    <w:rsid w:val="00FA50E0"/>
    <w:rsid w:val="00FA76E8"/>
    <w:rsid w:val="00FB56E3"/>
    <w:rsid w:val="00FB7DA9"/>
    <w:rsid w:val="00FC4880"/>
    <w:rsid w:val="00FE3D0B"/>
    <w:rsid w:val="05D215EF"/>
    <w:rsid w:val="06CE50BF"/>
    <w:rsid w:val="06D33870"/>
    <w:rsid w:val="0A9E78D0"/>
    <w:rsid w:val="0D2D75A5"/>
    <w:rsid w:val="11D121DC"/>
    <w:rsid w:val="12BD2099"/>
    <w:rsid w:val="143C5E43"/>
    <w:rsid w:val="17236A2D"/>
    <w:rsid w:val="1A22300A"/>
    <w:rsid w:val="2E2A16DA"/>
    <w:rsid w:val="31945827"/>
    <w:rsid w:val="32F916F0"/>
    <w:rsid w:val="34D45079"/>
    <w:rsid w:val="37E50231"/>
    <w:rsid w:val="43880F63"/>
    <w:rsid w:val="439121B5"/>
    <w:rsid w:val="46C421A1"/>
    <w:rsid w:val="4F331BC0"/>
    <w:rsid w:val="56741CA8"/>
    <w:rsid w:val="5A24333C"/>
    <w:rsid w:val="5E653F23"/>
    <w:rsid w:val="5EE66E12"/>
    <w:rsid w:val="6320666B"/>
    <w:rsid w:val="63C60E6D"/>
    <w:rsid w:val="6E9E10D8"/>
    <w:rsid w:val="7092016C"/>
    <w:rsid w:val="747D6B45"/>
    <w:rsid w:val="75306BF3"/>
    <w:rsid w:val="79425135"/>
    <w:rsid w:val="79AD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600" w:lineRule="exact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1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uiPriority w:val="99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455</Words>
  <Characters>2599</Characters>
  <Lines>21</Lines>
  <Paragraphs>6</Paragraphs>
  <TotalTime>21</TotalTime>
  <ScaleCrop>false</ScaleCrop>
  <LinksUpToDate>false</LinksUpToDate>
  <CharactersWithSpaces>3048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2019-12-15T08:26:00Z</dcterms:created>
  <dc:creator>马旺兴</dc:creator>
  <cp:lastModifiedBy>Administrator</cp:lastModifiedBy>
  <dcterms:modified xsi:type="dcterms:W3CDTF">2026-08-18T02:17:23Z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2467F9330B4C42A3ABA1BD1B20F0EECC</vt:lpwstr>
  </property>
</Properties>
</file>