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4CC66">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Cs/>
          <w:color w:val="auto"/>
          <w:spacing w:val="-6"/>
          <w:sz w:val="44"/>
          <w:szCs w:val="44"/>
          <w:highlight w:val="none"/>
          <w:lang w:val="en-US" w:eastAsia="zh-CN"/>
        </w:rPr>
      </w:pPr>
      <w:r>
        <w:rPr>
          <w:rFonts w:hint="eastAsia" w:ascii="方正小标宋简体" w:hAnsi="方正小标宋简体" w:eastAsia="方正小标宋简体" w:cs="方正小标宋简体"/>
          <w:bCs/>
          <w:color w:val="auto"/>
          <w:spacing w:val="-6"/>
          <w:sz w:val="44"/>
          <w:szCs w:val="44"/>
          <w:highlight w:val="none"/>
          <w:lang w:val="en-US" w:eastAsia="zh-CN"/>
        </w:rPr>
        <w:t>关于分布式光伏可开放容量的报告</w:t>
      </w:r>
    </w:p>
    <w:p w14:paraId="0D2F233E">
      <w:pPr>
        <w:keepNext w:val="0"/>
        <w:keepLines w:val="0"/>
        <w:pageBreakBefore w:val="0"/>
        <w:widowControl w:val="0"/>
        <w:kinsoku/>
        <w:wordWrap/>
        <w:overflowPunct/>
        <w:topLinePunct w:val="0"/>
        <w:autoSpaceDE/>
        <w:autoSpaceDN/>
        <w:bidi w:val="0"/>
        <w:adjustRightInd/>
        <w:snapToGrid/>
        <w:spacing w:line="600" w:lineRule="exact"/>
        <w:jc w:val="left"/>
        <w:textAlignment w:val="auto"/>
        <w:outlineLvl w:val="9"/>
        <w:rPr>
          <w:rFonts w:hint="eastAsia" w:ascii="方正小标宋简体" w:hAnsi="方正小标宋简体" w:eastAsia="方正小标宋简体" w:cs="方正小标宋简体"/>
          <w:bCs/>
          <w:color w:val="auto"/>
          <w:spacing w:val="-6"/>
          <w:sz w:val="44"/>
          <w:szCs w:val="44"/>
          <w:highlight w:val="none"/>
          <w:lang w:val="en-US" w:eastAsia="zh-CN"/>
        </w:rPr>
      </w:pPr>
      <w:bookmarkStart w:id="0" w:name="_GoBack"/>
      <w:bookmarkEnd w:id="0"/>
    </w:p>
    <w:p w14:paraId="52E46EBB">
      <w:pPr>
        <w:keepNext w:val="0"/>
        <w:keepLines w:val="0"/>
        <w:pageBreakBefore w:val="0"/>
        <w:widowControl w:val="0"/>
        <w:kinsoku/>
        <w:wordWrap/>
        <w:overflowPunct/>
        <w:topLinePunct w:val="0"/>
        <w:autoSpaceDE/>
        <w:autoSpaceDN/>
        <w:bidi w:val="0"/>
        <w:adjustRightInd/>
        <w:snapToGrid/>
        <w:spacing w:line="600" w:lineRule="exact"/>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楷体_GB2312" w:hAnsi="楷体_GB2312" w:eastAsia="楷体_GB2312" w:cs="楷体_GB2312"/>
          <w:bCs/>
          <w:color w:val="auto"/>
          <w:spacing w:val="-6"/>
          <w:sz w:val="32"/>
          <w:szCs w:val="32"/>
          <w:highlight w:val="none"/>
          <w:lang w:val="en-US" w:eastAsia="zh-CN"/>
        </w:rPr>
        <w:t>隆尧县发展和改革局</w:t>
      </w:r>
      <w:r>
        <w:rPr>
          <w:rFonts w:hint="eastAsia" w:ascii="仿宋" w:hAnsi="仿宋" w:eastAsia="仿宋" w:cs="仿宋"/>
          <w:bCs/>
          <w:color w:val="auto"/>
          <w:spacing w:val="-6"/>
          <w:sz w:val="32"/>
          <w:szCs w:val="32"/>
          <w:highlight w:val="none"/>
          <w:lang w:val="en-US" w:eastAsia="zh-CN"/>
        </w:rPr>
        <w:t>：</w:t>
      </w:r>
    </w:p>
    <w:p w14:paraId="6275E4EA">
      <w:pPr>
        <w:keepNext w:val="0"/>
        <w:keepLines w:val="0"/>
        <w:pageBreakBefore w:val="0"/>
        <w:widowControl w:val="0"/>
        <w:kinsoku/>
        <w:wordWrap/>
        <w:overflowPunct/>
        <w:topLinePunct w:val="0"/>
        <w:autoSpaceDE/>
        <w:autoSpaceDN/>
        <w:bidi w:val="0"/>
        <w:adjustRightInd/>
        <w:snapToGrid/>
        <w:spacing w:line="600" w:lineRule="exact"/>
        <w:ind w:left="0" w:leftChars="0" w:firstLine="616" w:firstLineChars="2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为落实冀发改能源规〔2025〕3号文件要求，进一步引导分布式光伏规范开发，保障电力系统安全运行和可靠供应，现将本县域内新能源已并网容量及分布式光伏可开发容量情况进行报备，为后续开发分布式光伏提供参考，具体内容如下：</w:t>
      </w:r>
    </w:p>
    <w:p w14:paraId="4757C7A7">
      <w:pPr>
        <w:keepNext w:val="0"/>
        <w:keepLines w:val="0"/>
        <w:pageBreakBefore w:val="0"/>
        <w:widowControl w:val="0"/>
        <w:kinsoku/>
        <w:wordWrap/>
        <w:overflowPunct/>
        <w:topLinePunct w:val="0"/>
        <w:autoSpaceDE/>
        <w:autoSpaceDN/>
        <w:bidi w:val="0"/>
        <w:adjustRightInd/>
        <w:snapToGrid/>
        <w:spacing w:line="600" w:lineRule="exact"/>
        <w:ind w:left="0" w:leftChars="0" w:firstLine="616" w:firstLineChars="2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一、已并网容量情况</w:t>
      </w:r>
    </w:p>
    <w:p w14:paraId="773AC609">
      <w:pPr>
        <w:keepNext w:val="0"/>
        <w:keepLines w:val="0"/>
        <w:pageBreakBefore w:val="0"/>
        <w:widowControl w:val="0"/>
        <w:kinsoku/>
        <w:wordWrap/>
        <w:overflowPunct/>
        <w:topLinePunct w:val="0"/>
        <w:autoSpaceDE/>
        <w:autoSpaceDN/>
        <w:bidi w:val="0"/>
        <w:adjustRightInd/>
        <w:snapToGrid/>
        <w:spacing w:line="600" w:lineRule="exact"/>
        <w:ind w:left="0" w:leftChars="0" w:firstLine="616" w:firstLineChars="200"/>
        <w:jc w:val="left"/>
        <w:textAlignment w:val="auto"/>
        <w:outlineLvl w:val="9"/>
        <w:rPr>
          <w:rFonts w:hint="eastAsia" w:ascii="仿宋" w:hAnsi="仿宋" w:eastAsia="仿宋" w:cs="仿宋"/>
          <w:bCs/>
          <w:color w:val="auto"/>
          <w:spacing w:val="-6"/>
          <w:sz w:val="32"/>
          <w:szCs w:val="32"/>
          <w:highlight w:val="none"/>
          <w:lang w:val="zh-CN" w:eastAsia="zh-CN"/>
        </w:rPr>
      </w:pPr>
      <w:r>
        <w:rPr>
          <w:rFonts w:hint="eastAsia" w:ascii="仿宋" w:hAnsi="仿宋" w:eastAsia="仿宋" w:cs="仿宋"/>
          <w:bCs/>
          <w:color w:val="auto"/>
          <w:spacing w:val="-6"/>
          <w:sz w:val="32"/>
          <w:szCs w:val="32"/>
          <w:highlight w:val="none"/>
          <w:lang w:val="zh-CN" w:eastAsia="zh-CN"/>
        </w:rPr>
        <w:t>截止202</w:t>
      </w:r>
      <w:r>
        <w:rPr>
          <w:rFonts w:hint="eastAsia" w:ascii="仿宋" w:hAnsi="仿宋" w:eastAsia="仿宋" w:cs="仿宋"/>
          <w:bCs/>
          <w:color w:val="auto"/>
          <w:spacing w:val="-6"/>
          <w:sz w:val="32"/>
          <w:szCs w:val="32"/>
          <w:highlight w:val="none"/>
          <w:lang w:val="en-US" w:eastAsia="zh-CN"/>
        </w:rPr>
        <w:t>6</w:t>
      </w:r>
      <w:r>
        <w:rPr>
          <w:rFonts w:hint="eastAsia" w:ascii="仿宋" w:hAnsi="仿宋" w:eastAsia="仿宋" w:cs="仿宋"/>
          <w:bCs/>
          <w:color w:val="auto"/>
          <w:spacing w:val="-6"/>
          <w:sz w:val="32"/>
          <w:szCs w:val="32"/>
          <w:highlight w:val="none"/>
          <w:lang w:val="zh-CN" w:eastAsia="zh-CN"/>
        </w:rPr>
        <w:t>年</w:t>
      </w:r>
      <w:r>
        <w:rPr>
          <w:rFonts w:hint="eastAsia" w:ascii="仿宋" w:hAnsi="仿宋" w:eastAsia="仿宋" w:cs="仿宋"/>
          <w:bCs/>
          <w:color w:val="auto"/>
          <w:spacing w:val="-6"/>
          <w:sz w:val="32"/>
          <w:szCs w:val="32"/>
          <w:highlight w:val="none"/>
          <w:lang w:val="en-US" w:eastAsia="zh-CN"/>
        </w:rPr>
        <w:t>7</w:t>
      </w:r>
      <w:r>
        <w:rPr>
          <w:rFonts w:hint="eastAsia" w:ascii="仿宋" w:hAnsi="仿宋" w:eastAsia="仿宋" w:cs="仿宋"/>
          <w:bCs/>
          <w:color w:val="auto"/>
          <w:spacing w:val="-6"/>
          <w:sz w:val="32"/>
          <w:szCs w:val="32"/>
          <w:highlight w:val="none"/>
          <w:lang w:val="zh-CN" w:eastAsia="zh-CN"/>
        </w:rPr>
        <w:t>月</w:t>
      </w:r>
      <w:r>
        <w:rPr>
          <w:rFonts w:hint="eastAsia" w:ascii="仿宋" w:hAnsi="仿宋" w:eastAsia="仿宋" w:cs="仿宋"/>
          <w:bCs/>
          <w:color w:val="auto"/>
          <w:spacing w:val="-6"/>
          <w:sz w:val="32"/>
          <w:szCs w:val="32"/>
          <w:highlight w:val="none"/>
          <w:lang w:val="en-US" w:eastAsia="zh-CN"/>
        </w:rPr>
        <w:t>1日</w:t>
      </w:r>
      <w:r>
        <w:rPr>
          <w:rFonts w:hint="eastAsia" w:ascii="仿宋" w:hAnsi="仿宋" w:eastAsia="仿宋" w:cs="仿宋"/>
          <w:bCs/>
          <w:color w:val="auto"/>
          <w:spacing w:val="-6"/>
          <w:sz w:val="32"/>
          <w:szCs w:val="32"/>
          <w:highlight w:val="none"/>
          <w:lang w:val="zh-CN" w:eastAsia="zh-CN"/>
        </w:rPr>
        <w:t>，本县域内已并网分布式光伏9</w:t>
      </w:r>
      <w:r>
        <w:rPr>
          <w:rFonts w:hint="eastAsia" w:ascii="仿宋" w:hAnsi="仿宋" w:eastAsia="仿宋" w:cs="仿宋"/>
          <w:bCs/>
          <w:color w:val="auto"/>
          <w:spacing w:val="-6"/>
          <w:sz w:val="32"/>
          <w:szCs w:val="32"/>
          <w:highlight w:val="none"/>
          <w:lang w:val="en-US" w:eastAsia="zh-CN"/>
        </w:rPr>
        <w:t>742</w:t>
      </w:r>
      <w:r>
        <w:rPr>
          <w:rFonts w:hint="eastAsia" w:ascii="仿宋" w:hAnsi="仿宋" w:eastAsia="仿宋" w:cs="仿宋"/>
          <w:bCs/>
          <w:color w:val="auto"/>
          <w:spacing w:val="-6"/>
          <w:sz w:val="32"/>
          <w:szCs w:val="32"/>
          <w:highlight w:val="none"/>
          <w:lang w:val="zh-CN" w:eastAsia="zh-CN"/>
        </w:rPr>
        <w:t>户、装机容量总计</w:t>
      </w:r>
      <w:r>
        <w:rPr>
          <w:rFonts w:hint="eastAsia" w:ascii="仿宋" w:hAnsi="仿宋" w:eastAsia="仿宋" w:cs="仿宋"/>
          <w:bCs/>
          <w:color w:val="auto"/>
          <w:spacing w:val="-6"/>
          <w:sz w:val="32"/>
          <w:szCs w:val="32"/>
          <w:highlight w:val="none"/>
          <w:lang w:val="en-US" w:eastAsia="zh-CN"/>
        </w:rPr>
        <w:t>28.9353</w:t>
      </w:r>
      <w:r>
        <w:rPr>
          <w:rFonts w:hint="eastAsia" w:ascii="仿宋" w:hAnsi="仿宋" w:eastAsia="仿宋" w:cs="仿宋"/>
          <w:bCs/>
          <w:color w:val="auto"/>
          <w:spacing w:val="-6"/>
          <w:sz w:val="32"/>
          <w:szCs w:val="32"/>
          <w:highlight w:val="none"/>
          <w:lang w:val="zh-CN" w:eastAsia="zh-CN"/>
        </w:rPr>
        <w:t>万千瓦，在途分布式光伏</w:t>
      </w:r>
      <w:r>
        <w:rPr>
          <w:rFonts w:hint="eastAsia" w:ascii="仿宋" w:hAnsi="仿宋" w:eastAsia="仿宋" w:cs="仿宋"/>
          <w:bCs/>
          <w:color w:val="auto"/>
          <w:spacing w:val="-6"/>
          <w:sz w:val="32"/>
          <w:szCs w:val="32"/>
          <w:highlight w:val="none"/>
          <w:lang w:val="en-US" w:eastAsia="zh-CN"/>
        </w:rPr>
        <w:t>200</w:t>
      </w:r>
      <w:r>
        <w:rPr>
          <w:rFonts w:hint="eastAsia" w:ascii="仿宋" w:hAnsi="仿宋" w:eastAsia="仿宋" w:cs="仿宋"/>
          <w:bCs/>
          <w:color w:val="auto"/>
          <w:spacing w:val="-6"/>
          <w:sz w:val="32"/>
          <w:szCs w:val="32"/>
          <w:highlight w:val="none"/>
          <w:lang w:val="zh-CN" w:eastAsia="zh-CN"/>
        </w:rPr>
        <w:t>户、容量</w:t>
      </w:r>
      <w:r>
        <w:rPr>
          <w:rFonts w:hint="eastAsia" w:ascii="仿宋" w:hAnsi="仿宋" w:eastAsia="仿宋" w:cs="仿宋"/>
          <w:bCs/>
          <w:color w:val="auto"/>
          <w:spacing w:val="-6"/>
          <w:sz w:val="32"/>
          <w:szCs w:val="32"/>
          <w:highlight w:val="none"/>
          <w:lang w:val="en-US" w:eastAsia="zh-CN"/>
        </w:rPr>
        <w:t>3.8478</w:t>
      </w:r>
      <w:r>
        <w:rPr>
          <w:rFonts w:hint="eastAsia" w:ascii="仿宋" w:hAnsi="仿宋" w:eastAsia="仿宋" w:cs="仿宋"/>
          <w:bCs/>
          <w:color w:val="auto"/>
          <w:spacing w:val="-6"/>
          <w:sz w:val="32"/>
          <w:szCs w:val="32"/>
          <w:highlight w:val="none"/>
          <w:lang w:val="zh-CN" w:eastAsia="zh-CN"/>
        </w:rPr>
        <w:t>万千瓦。</w:t>
      </w:r>
    </w:p>
    <w:p w14:paraId="5CAFDB57">
      <w:pPr>
        <w:keepNext w:val="0"/>
        <w:keepLines w:val="0"/>
        <w:pageBreakBefore w:val="0"/>
        <w:widowControl w:val="0"/>
        <w:kinsoku/>
        <w:wordWrap/>
        <w:overflowPunct/>
        <w:topLinePunct w:val="0"/>
        <w:autoSpaceDE/>
        <w:autoSpaceDN/>
        <w:bidi w:val="0"/>
        <w:adjustRightInd/>
        <w:snapToGrid/>
        <w:spacing w:line="600" w:lineRule="exact"/>
        <w:ind w:left="0" w:leftChars="0" w:firstLine="616" w:firstLineChars="2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二、可开发容量情况</w:t>
      </w:r>
    </w:p>
    <w:p w14:paraId="7A62CAD6">
      <w:pPr>
        <w:keepNext w:val="0"/>
        <w:keepLines w:val="0"/>
        <w:pageBreakBefore w:val="0"/>
        <w:widowControl w:val="0"/>
        <w:kinsoku/>
        <w:wordWrap/>
        <w:overflowPunct/>
        <w:topLinePunct w:val="0"/>
        <w:autoSpaceDE/>
        <w:autoSpaceDN/>
        <w:bidi w:val="0"/>
        <w:adjustRightInd/>
        <w:snapToGrid/>
        <w:spacing w:line="600" w:lineRule="exact"/>
        <w:ind w:left="0" w:leftChars="0" w:firstLine="616" w:firstLineChars="2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为统筹推动分布式光伏发电项目持续健康有序发展，隆尧县供电公司按照河北省发展和改革委员会、国家能源局华北监管局关于印发《河北省分布式光伏发电开发建设管理实施细则（试行）》（冀发改能源规〔2025〕3号）的通知要求，按照</w:t>
      </w:r>
      <w:r>
        <w:rPr>
          <w:rFonts w:hint="eastAsia" w:ascii="仿宋" w:hAnsi="仿宋" w:eastAsia="仿宋" w:cs="仿宋"/>
          <w:bCs/>
          <w:color w:val="auto"/>
          <w:spacing w:val="-6"/>
          <w:w w:val="99"/>
          <w:sz w:val="32"/>
          <w:szCs w:val="32"/>
          <w:highlight w:val="none"/>
          <w:lang w:val="en-US" w:eastAsia="zh-CN"/>
        </w:rPr>
        <w:t>《分布式电源接入电力系统承载力评估导则（DL/T2041-2025）》</w:t>
      </w:r>
      <w:r>
        <w:rPr>
          <w:rFonts w:hint="eastAsia" w:ascii="仿宋" w:hAnsi="仿宋" w:eastAsia="仿宋" w:cs="仿宋"/>
          <w:bCs/>
          <w:color w:val="auto"/>
          <w:spacing w:val="-6"/>
          <w:sz w:val="32"/>
          <w:szCs w:val="32"/>
          <w:highlight w:val="none"/>
          <w:lang w:val="en-US" w:eastAsia="zh-CN"/>
        </w:rPr>
        <w:t>的算法细则，并经计算：隆尧县县域三季度分布式光伏可开放容量为59.09 兆瓦。具体可开放容量详见附表。</w:t>
      </w:r>
    </w:p>
    <w:p w14:paraId="277218AD">
      <w:pPr>
        <w:keepNext w:val="0"/>
        <w:keepLines w:val="0"/>
        <w:pageBreakBefore w:val="0"/>
        <w:widowControl w:val="0"/>
        <w:kinsoku/>
        <w:wordWrap/>
        <w:overflowPunct/>
        <w:topLinePunct w:val="0"/>
        <w:autoSpaceDE/>
        <w:autoSpaceDN/>
        <w:bidi w:val="0"/>
        <w:adjustRightInd/>
        <w:snapToGrid/>
        <w:spacing w:line="600" w:lineRule="exact"/>
        <w:ind w:left="1870" w:leftChars="304" w:hanging="1232" w:hangingChars="4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附件：1.邢台市隆尧县2026年三季度县域分布式光伏可开放容量公示表</w:t>
      </w:r>
    </w:p>
    <w:p w14:paraId="2E8F0CF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1540" w:firstLineChars="5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2.邢台市隆尧县2026年三季度220千伏主变分布式</w:t>
      </w:r>
    </w:p>
    <w:p w14:paraId="452A324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1848" w:firstLineChars="600"/>
        <w:jc w:val="left"/>
        <w:textAlignment w:val="auto"/>
        <w:outlineLvl w:val="9"/>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光伏可开放容量公示表</w:t>
      </w:r>
    </w:p>
    <w:p w14:paraId="25A5EBE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16" w:firstLineChars="200"/>
        <w:jc w:val="left"/>
        <w:textAlignment w:val="auto"/>
        <w:outlineLvl w:val="9"/>
        <w:rPr>
          <w:rFonts w:hint="eastAsia" w:ascii="仿宋" w:hAnsi="仿宋" w:eastAsia="仿宋" w:cs="仿宋"/>
          <w:bCs/>
          <w:color w:val="auto"/>
          <w:spacing w:val="-6"/>
          <w:sz w:val="32"/>
          <w:szCs w:val="32"/>
          <w:highlight w:val="none"/>
          <w:lang w:val="en-US" w:eastAsia="zh-CN"/>
        </w:rPr>
      </w:pPr>
    </w:p>
    <w:p w14:paraId="739EEA75">
      <w:pPr>
        <w:keepNext w:val="0"/>
        <w:keepLines w:val="0"/>
        <w:pageBreakBefore w:val="0"/>
        <w:widowControl w:val="0"/>
        <w:kinsoku/>
        <w:wordWrap/>
        <w:overflowPunct/>
        <w:topLinePunct w:val="0"/>
        <w:autoSpaceDE/>
        <w:autoSpaceDN/>
        <w:bidi w:val="0"/>
        <w:adjustRightInd/>
        <w:snapToGrid/>
        <w:spacing w:line="600" w:lineRule="exact"/>
        <w:ind w:firstLine="616" w:firstLineChars="200"/>
        <w:jc w:val="center"/>
        <w:textAlignment w:val="auto"/>
        <w:rPr>
          <w:rFonts w:hint="eastAsia" w:ascii="仿宋" w:hAnsi="仿宋" w:eastAsia="仿宋" w:cs="仿宋"/>
          <w:bCs/>
          <w:color w:val="auto"/>
          <w:spacing w:val="-6"/>
          <w:sz w:val="32"/>
          <w:szCs w:val="32"/>
          <w:highlight w:val="none"/>
          <w:lang w:val="en-US" w:eastAsia="zh-CN"/>
        </w:rPr>
      </w:pPr>
      <w:r>
        <w:rPr>
          <w:rFonts w:hint="eastAsia" w:ascii="仿宋" w:hAnsi="仿宋" w:eastAsia="仿宋" w:cs="仿宋"/>
          <w:bCs/>
          <w:color w:val="auto"/>
          <w:spacing w:val="-6"/>
          <w:sz w:val="32"/>
          <w:szCs w:val="32"/>
          <w:highlight w:val="none"/>
          <w:lang w:val="en-US" w:eastAsia="zh-CN"/>
        </w:rPr>
        <w:t xml:space="preserve">              国网隆尧县供电公司</w:t>
      </w:r>
    </w:p>
    <w:p w14:paraId="33768B35">
      <w:pPr>
        <w:keepNext w:val="0"/>
        <w:keepLines w:val="0"/>
        <w:pageBreakBefore w:val="0"/>
        <w:widowControl w:val="0"/>
        <w:kinsoku/>
        <w:wordWrap/>
        <w:overflowPunct/>
        <w:topLinePunct w:val="0"/>
        <w:autoSpaceDE/>
        <w:autoSpaceDN/>
        <w:bidi w:val="0"/>
        <w:adjustRightInd/>
        <w:snapToGrid/>
        <w:spacing w:line="600" w:lineRule="exact"/>
        <w:ind w:firstLine="616" w:firstLineChars="200"/>
        <w:jc w:val="center"/>
        <w:textAlignment w:val="auto"/>
        <w:rPr>
          <w:rFonts w:hint="eastAsia" w:ascii="仿宋" w:hAnsi="仿宋" w:eastAsia="仿宋" w:cs="仿宋"/>
          <w:color w:val="auto"/>
          <w:sz w:val="32"/>
          <w:szCs w:val="32"/>
          <w:highlight w:val="none"/>
        </w:rPr>
      </w:pPr>
      <w:r>
        <w:rPr>
          <w:rFonts w:hint="eastAsia" w:ascii="仿宋" w:hAnsi="仿宋" w:eastAsia="仿宋" w:cs="仿宋"/>
          <w:bCs/>
          <w:color w:val="auto"/>
          <w:spacing w:val="-6"/>
          <w:sz w:val="32"/>
          <w:szCs w:val="32"/>
          <w:highlight w:val="none"/>
          <w:lang w:val="en-US" w:eastAsia="zh-CN"/>
        </w:rPr>
        <w:t xml:space="preserve">              二〇二六年七月十四日</w:t>
      </w:r>
    </w:p>
    <w:p w14:paraId="68F7980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16" w:firstLineChars="200"/>
        <w:jc w:val="left"/>
        <w:textAlignment w:val="auto"/>
        <w:outlineLvl w:val="9"/>
        <w:rPr>
          <w:rFonts w:hint="eastAsia" w:ascii="仿宋" w:hAnsi="仿宋" w:eastAsia="仿宋" w:cs="仿宋"/>
          <w:bCs/>
          <w:color w:val="auto"/>
          <w:spacing w:val="-6"/>
          <w:sz w:val="32"/>
          <w:szCs w:val="32"/>
          <w:highlight w:val="none"/>
          <w:lang w:val="en-US" w:eastAsia="zh-CN"/>
        </w:rPr>
        <w:sectPr>
          <w:pgSz w:w="11906" w:h="16838"/>
          <w:pgMar w:top="1984" w:right="1417" w:bottom="1417" w:left="1417" w:header="851" w:footer="992" w:gutter="0"/>
          <w:cols w:space="720" w:num="1"/>
          <w:docGrid w:type="lines" w:linePitch="312" w:charSpace="0"/>
        </w:sectPr>
      </w:pPr>
    </w:p>
    <w:p w14:paraId="634A092D">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outlineLvl w:val="9"/>
        <w:rPr>
          <w:rFonts w:hint="eastAsia" w:ascii="方正仿宋_GBK" w:hAnsi="方正仿宋_GBK" w:eastAsia="方正仿宋_GBK" w:cs="方正仿宋_GBK"/>
          <w:bCs/>
          <w:color w:val="auto"/>
          <w:spacing w:val="-6"/>
          <w:sz w:val="32"/>
          <w:szCs w:val="32"/>
          <w:highlight w:val="none"/>
          <w:lang w:val="en-US" w:eastAsia="zh-CN"/>
        </w:rPr>
      </w:pPr>
      <w:r>
        <w:rPr>
          <w:rFonts w:hint="eastAsia" w:ascii="方正仿宋_GBK" w:hAnsi="方正仿宋_GBK" w:eastAsia="方正仿宋_GBK" w:cs="方正仿宋_GBK"/>
          <w:bCs/>
          <w:color w:val="auto"/>
          <w:spacing w:val="-6"/>
          <w:sz w:val="32"/>
          <w:szCs w:val="32"/>
          <w:highlight w:val="none"/>
          <w:lang w:val="zh-CN" w:eastAsia="zh-CN"/>
        </w:rPr>
        <w:t>附件</w:t>
      </w:r>
      <w:r>
        <w:rPr>
          <w:rFonts w:hint="eastAsia" w:ascii="方正仿宋_GBK" w:hAnsi="方正仿宋_GBK" w:eastAsia="方正仿宋_GBK" w:cs="方正仿宋_GBK"/>
          <w:bCs/>
          <w:color w:val="auto"/>
          <w:spacing w:val="-6"/>
          <w:sz w:val="32"/>
          <w:szCs w:val="32"/>
          <w:highlight w:val="none"/>
          <w:lang w:val="en-US" w:eastAsia="zh-CN"/>
        </w:rPr>
        <w:t>1</w:t>
      </w:r>
    </w:p>
    <w:tbl>
      <w:tblPr>
        <w:tblStyle w:val="2"/>
        <w:tblW w:w="1363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704"/>
        <w:gridCol w:w="1704"/>
        <w:gridCol w:w="1704"/>
        <w:gridCol w:w="1704"/>
        <w:gridCol w:w="1704"/>
        <w:gridCol w:w="1704"/>
        <w:gridCol w:w="1704"/>
        <w:gridCol w:w="1705"/>
      </w:tblGrid>
      <w:tr w14:paraId="79527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5" w:hRule="atLeast"/>
        </w:trPr>
        <w:tc>
          <w:tcPr>
            <w:tcW w:w="13633" w:type="dxa"/>
            <w:gridSpan w:val="8"/>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5043FA2">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邢台市隆尧县2026年三季度县域分布式光伏可开放容量公示表</w:t>
            </w:r>
          </w:p>
        </w:tc>
      </w:tr>
      <w:tr w14:paraId="3FF1E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61206B">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8B5CBA2">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县域</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40FD9BD">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已接入分布式光伏项目容量（MW）</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405850C">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在途分布式光伏项目容量（MW）</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233B073">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县域可开放并网容量（MW）</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992494">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考虑在途项目后县域可开放容量（MW）</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1011C50">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评估等级</w:t>
            </w:r>
          </w:p>
        </w:tc>
        <w:tc>
          <w:tcPr>
            <w:tcW w:w="170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849EB69">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备注</w:t>
            </w:r>
          </w:p>
        </w:tc>
      </w:tr>
      <w:tr w14:paraId="4B728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704" w:type="dxa"/>
            <w:tcBorders>
              <w:top w:val="single" w:color="000000" w:sz="4" w:space="0"/>
              <w:left w:val="single" w:color="000000" w:sz="4" w:space="0"/>
              <w:bottom w:val="single" w:color="000000" w:sz="4" w:space="0"/>
              <w:right w:val="single" w:color="000000" w:sz="4" w:space="0"/>
            </w:tcBorders>
            <w:shd w:val="clear" w:color="auto" w:fill="auto"/>
            <w:noWrap w:val="0"/>
            <w:tcMar>
              <w:top w:w="12" w:type="dxa"/>
              <w:left w:w="12" w:type="dxa"/>
              <w:right w:w="12" w:type="dxa"/>
            </w:tcMar>
            <w:vAlign w:val="center"/>
          </w:tcPr>
          <w:p w14:paraId="28C2CF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val="0"/>
            <w:tcMar>
              <w:top w:w="12" w:type="dxa"/>
              <w:left w:w="12" w:type="dxa"/>
              <w:right w:w="12" w:type="dxa"/>
            </w:tcMar>
            <w:vAlign w:val="center"/>
          </w:tcPr>
          <w:p w14:paraId="2B4E5FC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隆尧县</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val="0"/>
            <w:tcMar>
              <w:top w:w="12" w:type="dxa"/>
              <w:left w:w="12" w:type="dxa"/>
              <w:right w:w="12" w:type="dxa"/>
            </w:tcMar>
            <w:vAlign w:val="center"/>
          </w:tcPr>
          <w:p w14:paraId="5930FBA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289.35 </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val="0"/>
            <w:tcMar>
              <w:top w:w="12" w:type="dxa"/>
              <w:left w:w="12" w:type="dxa"/>
              <w:right w:w="12" w:type="dxa"/>
            </w:tcMar>
            <w:vAlign w:val="center"/>
          </w:tcPr>
          <w:p w14:paraId="75E0B3F4">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38.48 </w:t>
            </w:r>
          </w:p>
        </w:tc>
        <w:tc>
          <w:tcPr>
            <w:tcW w:w="1704" w:type="dxa"/>
            <w:tcBorders>
              <w:top w:val="single" w:color="000000" w:sz="4" w:space="0"/>
              <w:left w:val="single" w:color="000000" w:sz="4" w:space="0"/>
              <w:bottom w:val="single" w:color="000000" w:sz="4" w:space="0"/>
              <w:right w:val="single" w:color="000000" w:sz="4" w:space="0"/>
            </w:tcBorders>
            <w:shd w:val="clear" w:color="auto" w:fill="FFFFFF"/>
            <w:noWrap/>
            <w:tcMar>
              <w:top w:w="12" w:type="dxa"/>
              <w:left w:w="12" w:type="dxa"/>
              <w:right w:w="12" w:type="dxa"/>
            </w:tcMar>
            <w:vAlign w:val="center"/>
          </w:tcPr>
          <w:p w14:paraId="1847E40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97.57 </w:t>
            </w:r>
          </w:p>
        </w:tc>
        <w:tc>
          <w:tcPr>
            <w:tcW w:w="1704" w:type="dxa"/>
            <w:tcBorders>
              <w:top w:val="single" w:color="000000" w:sz="4" w:space="0"/>
              <w:left w:val="single" w:color="000000" w:sz="4" w:space="0"/>
              <w:bottom w:val="single" w:color="000000" w:sz="4" w:space="0"/>
              <w:right w:val="single" w:color="000000" w:sz="4" w:space="0"/>
            </w:tcBorders>
            <w:shd w:val="clear" w:color="auto" w:fill="FFFFFF"/>
            <w:noWrap/>
            <w:tcMar>
              <w:top w:w="12" w:type="dxa"/>
              <w:left w:w="12" w:type="dxa"/>
              <w:right w:w="12" w:type="dxa"/>
            </w:tcMar>
            <w:vAlign w:val="center"/>
          </w:tcPr>
          <w:p w14:paraId="7028B96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59.09 </w:t>
            </w:r>
          </w:p>
        </w:tc>
        <w:tc>
          <w:tcPr>
            <w:tcW w:w="1704"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FF0C56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绿色</w:t>
            </w:r>
          </w:p>
        </w:tc>
        <w:tc>
          <w:tcPr>
            <w:tcW w:w="170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27567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2198F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02A2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1.按照《分布式电源接入电力系统承载力评估导则（DL/T 2041-2025）》，可开放并网容量指评估时刻（本季度为2026年7月1日），除已并网的分布式电源外，电力系统可新增并网接入的分布式电源装机规模。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2.因暂无渠道获取准确的已备案分布式电源项目数据，暂不开展可开放备案容量测算。 </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3.考虑在途项目后可开放容量，指评估时刻（本季度为2026年7月1日）除已并网及已受理但尚未并网的分布式电源外，电力系统可新增受理的分布式电源装机规模。</w:t>
            </w:r>
          </w:p>
        </w:tc>
      </w:tr>
      <w:tr w14:paraId="69B61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9F96CBD">
            <w:pPr>
              <w:jc w:val="left"/>
              <w:rPr>
                <w:rFonts w:hint="eastAsia" w:ascii="宋体" w:hAnsi="宋体" w:eastAsia="宋体" w:cs="宋体"/>
                <w:i w:val="0"/>
                <w:color w:val="000000"/>
                <w:sz w:val="22"/>
                <w:szCs w:val="22"/>
                <w:u w:val="none"/>
              </w:rPr>
            </w:pPr>
          </w:p>
        </w:tc>
      </w:tr>
      <w:tr w14:paraId="26EDF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44A0FED">
            <w:pPr>
              <w:jc w:val="left"/>
              <w:rPr>
                <w:rFonts w:hint="eastAsia" w:ascii="宋体" w:hAnsi="宋体" w:eastAsia="宋体" w:cs="宋体"/>
                <w:i w:val="0"/>
                <w:color w:val="000000"/>
                <w:sz w:val="22"/>
                <w:szCs w:val="22"/>
                <w:u w:val="none"/>
              </w:rPr>
            </w:pPr>
          </w:p>
        </w:tc>
      </w:tr>
      <w:tr w14:paraId="62312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9B2323">
            <w:pPr>
              <w:jc w:val="left"/>
              <w:rPr>
                <w:rFonts w:hint="eastAsia" w:ascii="宋体" w:hAnsi="宋体" w:eastAsia="宋体" w:cs="宋体"/>
                <w:i w:val="0"/>
                <w:color w:val="000000"/>
                <w:sz w:val="22"/>
                <w:szCs w:val="22"/>
                <w:u w:val="none"/>
              </w:rPr>
            </w:pPr>
          </w:p>
        </w:tc>
      </w:tr>
      <w:tr w14:paraId="1F2D0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F3ACA8B">
            <w:pPr>
              <w:jc w:val="left"/>
              <w:rPr>
                <w:rFonts w:hint="eastAsia" w:ascii="宋体" w:hAnsi="宋体" w:eastAsia="宋体" w:cs="宋体"/>
                <w:i w:val="0"/>
                <w:color w:val="000000"/>
                <w:sz w:val="22"/>
                <w:szCs w:val="22"/>
                <w:u w:val="none"/>
              </w:rPr>
            </w:pPr>
          </w:p>
        </w:tc>
      </w:tr>
      <w:tr w14:paraId="22217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499328">
            <w:pPr>
              <w:jc w:val="left"/>
              <w:rPr>
                <w:rFonts w:hint="eastAsia" w:ascii="宋体" w:hAnsi="宋体" w:eastAsia="宋体" w:cs="宋体"/>
                <w:i w:val="0"/>
                <w:color w:val="000000"/>
                <w:sz w:val="22"/>
                <w:szCs w:val="22"/>
                <w:u w:val="none"/>
              </w:rPr>
            </w:pPr>
          </w:p>
        </w:tc>
      </w:tr>
      <w:tr w14:paraId="15EED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33AFCD">
            <w:pPr>
              <w:jc w:val="left"/>
              <w:rPr>
                <w:rFonts w:hint="eastAsia" w:ascii="宋体" w:hAnsi="宋体" w:eastAsia="宋体" w:cs="宋体"/>
                <w:i w:val="0"/>
                <w:color w:val="000000"/>
                <w:sz w:val="22"/>
                <w:szCs w:val="22"/>
                <w:u w:val="none"/>
              </w:rPr>
            </w:pPr>
          </w:p>
        </w:tc>
      </w:tr>
      <w:tr w14:paraId="2CAFD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EE124F8">
            <w:pPr>
              <w:jc w:val="left"/>
              <w:rPr>
                <w:rFonts w:hint="eastAsia" w:ascii="宋体" w:hAnsi="宋体" w:eastAsia="宋体" w:cs="宋体"/>
                <w:i w:val="0"/>
                <w:color w:val="000000"/>
                <w:sz w:val="22"/>
                <w:szCs w:val="22"/>
                <w:u w:val="none"/>
              </w:rPr>
            </w:pPr>
          </w:p>
        </w:tc>
      </w:tr>
      <w:tr w14:paraId="52668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3633" w:type="dxa"/>
            <w:gridSpan w:val="8"/>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3BD2624">
            <w:pPr>
              <w:jc w:val="left"/>
              <w:rPr>
                <w:rFonts w:hint="eastAsia" w:ascii="宋体" w:hAnsi="宋体" w:eastAsia="宋体" w:cs="宋体"/>
                <w:i w:val="0"/>
                <w:color w:val="000000"/>
                <w:sz w:val="22"/>
                <w:szCs w:val="22"/>
                <w:u w:val="none"/>
              </w:rPr>
            </w:pPr>
          </w:p>
        </w:tc>
      </w:tr>
    </w:tbl>
    <w:p w14:paraId="1EEFFFE1">
      <w:pPr>
        <w:keepNext w:val="0"/>
        <w:keepLines w:val="0"/>
        <w:widowControl/>
        <w:suppressLineNumbers w:val="0"/>
        <w:jc w:val="center"/>
        <w:textAlignment w:val="center"/>
        <w:rPr>
          <w:rFonts w:hint="default" w:ascii="宋体" w:hAnsi="宋体" w:cs="宋体"/>
          <w:b/>
          <w:i w:val="0"/>
          <w:color w:val="000000"/>
          <w:kern w:val="0"/>
          <w:sz w:val="24"/>
          <w:szCs w:val="24"/>
          <w:u w:val="none"/>
          <w:lang w:val="en-US" w:eastAsia="zh-CN" w:bidi="ar"/>
        </w:rPr>
      </w:pPr>
    </w:p>
    <w:p w14:paraId="7FFDF48B">
      <w:pPr>
        <w:keepNext w:val="0"/>
        <w:keepLines w:val="0"/>
        <w:widowControl/>
        <w:suppressLineNumbers w:val="0"/>
        <w:jc w:val="left"/>
        <w:textAlignment w:val="center"/>
        <w:rPr>
          <w:rFonts w:hint="default" w:ascii="宋体" w:hAnsi="宋体" w:eastAsia="宋体" w:cs="宋体"/>
          <w:b/>
          <w:i w:val="0"/>
          <w:color w:val="000000"/>
          <w:kern w:val="0"/>
          <w:sz w:val="24"/>
          <w:szCs w:val="24"/>
          <w:u w:val="none"/>
          <w:lang w:val="en-US" w:eastAsia="zh-CN" w:bidi="ar"/>
        </w:rPr>
      </w:pPr>
      <w:r>
        <w:rPr>
          <w:rFonts w:hint="eastAsia" w:ascii="宋体" w:hAnsi="宋体" w:eastAsia="宋体" w:cs="宋体"/>
          <w:b/>
          <w:i w:val="0"/>
          <w:color w:val="000000"/>
          <w:kern w:val="0"/>
          <w:sz w:val="24"/>
          <w:szCs w:val="24"/>
          <w:u w:val="none"/>
          <w:lang w:val="zh-CN" w:eastAsia="zh-CN" w:bidi="ar"/>
        </w:rPr>
        <w:br w:type="page"/>
      </w:r>
      <w:r>
        <w:rPr>
          <w:rFonts w:hint="eastAsia" w:ascii="方正仿宋_GBK" w:hAnsi="方正仿宋_GBK" w:eastAsia="方正仿宋_GBK" w:cs="方正仿宋_GBK"/>
          <w:bCs/>
          <w:color w:val="auto"/>
          <w:spacing w:val="-6"/>
          <w:sz w:val="32"/>
          <w:szCs w:val="32"/>
          <w:highlight w:val="none"/>
          <w:lang w:val="zh-CN" w:eastAsia="zh-CN"/>
        </w:rPr>
        <w:t>附件</w:t>
      </w:r>
      <w:r>
        <w:rPr>
          <w:rFonts w:hint="eastAsia" w:ascii="方正仿宋_GBK" w:hAnsi="方正仿宋_GBK" w:eastAsia="方正仿宋_GBK" w:cs="方正仿宋_GBK"/>
          <w:bCs/>
          <w:color w:val="auto"/>
          <w:spacing w:val="-6"/>
          <w:sz w:val="32"/>
          <w:szCs w:val="32"/>
          <w:highlight w:val="none"/>
          <w:lang w:val="en-US" w:eastAsia="zh-CN"/>
        </w:rPr>
        <w:t>2</w:t>
      </w:r>
    </w:p>
    <w:tbl>
      <w:tblPr>
        <w:tblStyle w:val="2"/>
        <w:tblpPr w:leftFromText="180" w:rightFromText="180" w:vertAnchor="text" w:horzAnchor="page" w:tblpX="1426" w:tblpY="304"/>
        <w:tblOverlap w:val="never"/>
        <w:tblW w:w="139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03"/>
        <w:gridCol w:w="402"/>
        <w:gridCol w:w="928"/>
        <w:gridCol w:w="5378"/>
        <w:gridCol w:w="1868"/>
        <w:gridCol w:w="1494"/>
        <w:gridCol w:w="1130"/>
        <w:gridCol w:w="1130"/>
        <w:gridCol w:w="846"/>
        <w:gridCol w:w="403"/>
      </w:tblGrid>
      <w:tr w14:paraId="4CEBE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4" w:hRule="atLeast"/>
        </w:trPr>
        <w:tc>
          <w:tcPr>
            <w:tcW w:w="13982" w:type="dxa"/>
            <w:gridSpan w:val="10"/>
            <w:tcBorders>
              <w:top w:val="nil"/>
              <w:left w:val="nil"/>
              <w:bottom w:val="nil"/>
              <w:right w:val="nil"/>
            </w:tcBorders>
            <w:noWrap/>
            <w:tcMar>
              <w:top w:w="12" w:type="dxa"/>
              <w:left w:w="12" w:type="dxa"/>
              <w:right w:w="12" w:type="dxa"/>
            </w:tcMar>
            <w:vAlign w:val="center"/>
          </w:tcPr>
          <w:p w14:paraId="0A41E0A5">
            <w:pPr>
              <w:keepNext w:val="0"/>
              <w:keepLines w:val="0"/>
              <w:widowControl/>
              <w:suppressLineNumbers w:val="0"/>
              <w:jc w:val="center"/>
              <w:textAlignment w:val="center"/>
              <w:rPr>
                <w:rFonts w:hint="eastAsia" w:ascii="宋体" w:hAnsi="宋体" w:eastAsia="宋体" w:cs="宋体"/>
                <w:b/>
                <w:i w:val="0"/>
                <w:color w:val="000000"/>
                <w:kern w:val="0"/>
                <w:sz w:val="24"/>
                <w:szCs w:val="24"/>
                <w:u w:val="none"/>
                <w:lang w:val="en-US" w:eastAsia="zh-CN" w:bidi="ar"/>
              </w:rPr>
            </w:pPr>
            <w:r>
              <w:rPr>
                <w:rFonts w:hint="eastAsia" w:ascii="宋体" w:hAnsi="宋体" w:eastAsia="宋体" w:cs="宋体"/>
                <w:b/>
                <w:i w:val="0"/>
                <w:color w:val="000000"/>
                <w:kern w:val="0"/>
                <w:sz w:val="24"/>
                <w:szCs w:val="24"/>
                <w:u w:val="none"/>
                <w:lang w:val="en-US" w:eastAsia="zh-CN" w:bidi="ar"/>
              </w:rPr>
              <w:t>邢台市隆尧县2026年三季度220千伏主变分布式光伏可开放容量公示表</w:t>
            </w:r>
          </w:p>
        </w:tc>
      </w:tr>
      <w:tr w14:paraId="00910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20" w:hRule="atLeast"/>
        </w:trPr>
        <w:tc>
          <w:tcPr>
            <w:tcW w:w="403"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44B474">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40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761029">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县域</w:t>
            </w:r>
          </w:p>
        </w:tc>
        <w:tc>
          <w:tcPr>
            <w:tcW w:w="92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5E5B47C">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乡镇/街道</w:t>
            </w:r>
          </w:p>
        </w:tc>
        <w:tc>
          <w:tcPr>
            <w:tcW w:w="5378" w:type="dxa"/>
            <w:tcBorders>
              <w:top w:val="single" w:color="000000" w:sz="4" w:space="0"/>
              <w:left w:val="single" w:color="000000" w:sz="4" w:space="0"/>
              <w:bottom w:val="single" w:color="000000" w:sz="4" w:space="0"/>
              <w:right w:val="nil"/>
            </w:tcBorders>
            <w:noWrap/>
            <w:tcMar>
              <w:top w:w="12" w:type="dxa"/>
              <w:left w:w="12" w:type="dxa"/>
              <w:right w:w="12" w:type="dxa"/>
            </w:tcMar>
            <w:vAlign w:val="center"/>
          </w:tcPr>
          <w:p w14:paraId="2BCEB065">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所带村/街道</w:t>
            </w:r>
          </w:p>
        </w:tc>
        <w:tc>
          <w:tcPr>
            <w:tcW w:w="186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0707D27">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供电220千伏变电站</w:t>
            </w:r>
          </w:p>
        </w:tc>
        <w:tc>
          <w:tcPr>
            <w:tcW w:w="1494" w:type="dxa"/>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3BA1D9DB">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该县域供电220千伏主变名称</w:t>
            </w:r>
          </w:p>
        </w:tc>
        <w:tc>
          <w:tcPr>
            <w:tcW w:w="113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866E653">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可开放并网容量（MW）</w:t>
            </w:r>
          </w:p>
        </w:tc>
        <w:tc>
          <w:tcPr>
            <w:tcW w:w="113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21D406F">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考虑在途项目后可开放容量（MW）</w:t>
            </w:r>
          </w:p>
        </w:tc>
        <w:tc>
          <w:tcPr>
            <w:tcW w:w="84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30806E1">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评估等级（仅考虑在途项目）</w:t>
            </w:r>
          </w:p>
        </w:tc>
        <w:tc>
          <w:tcPr>
            <w:tcW w:w="403"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FFADCE">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备注</w:t>
            </w:r>
          </w:p>
        </w:tc>
      </w:tr>
      <w:tr w14:paraId="7123B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80" w:hRule="atLeast"/>
        </w:trPr>
        <w:tc>
          <w:tcPr>
            <w:tcW w:w="403"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99C61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02"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F61A9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928" w:type="dxa"/>
            <w:vMerge w:val="restart"/>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1E8EF607">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双碑乡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尹村镇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山口镇</w:t>
            </w:r>
          </w:p>
          <w:p w14:paraId="61C562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东良镇</w:t>
            </w:r>
          </w:p>
        </w:tc>
        <w:tc>
          <w:tcPr>
            <w:tcW w:w="537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BD69191">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包括双碑乡（北村、城角、大崔庄、东崔庄、东小崔、岗头、里边街、里南庄、里王街、木花、双碑、西崔庄、西良后、西良前、西良中、西小崔、亦城），尹村镇（北小霍、大霍村（非红山站）、大宁铺、东侯、东良（非红山站）、东尹、彭村、田村、屯里、西侯、西良（非红山站）、西王村），山口镇（山口（非红山站）），东良镇（安中、北寺庄、陈庄、大干言、大市口、店头、东霍、东良二、东良三、东良四、东良一、东庄、高村、耿庄、黄家营、南寺庄、南位、石村、西霍、邢村、尹村后、尹村前、泽畔、周村）。山口镇（东董、东齐、东尚、后苏薛、茅山营、南寨子、山口（红山站）、水饭庄、西尚、甄家庄、中苏薛）</w:t>
            </w:r>
            <w:r>
              <w:rPr>
                <w:rFonts w:hint="eastAsia" w:ascii="宋体" w:hAnsi="宋体" w:cs="宋体"/>
                <w:i w:val="0"/>
                <w:color w:val="000000"/>
                <w:kern w:val="0"/>
                <w:sz w:val="22"/>
                <w:szCs w:val="22"/>
                <w:u w:val="none"/>
                <w:lang w:val="en-US" w:eastAsia="zh-CN" w:bidi="ar"/>
              </w:rPr>
              <w:t>，</w:t>
            </w:r>
            <w:r>
              <w:rPr>
                <w:rFonts w:hint="eastAsia" w:ascii="宋体" w:hAnsi="宋体" w:eastAsia="宋体" w:cs="宋体"/>
                <w:i w:val="0"/>
                <w:color w:val="000000"/>
                <w:kern w:val="0"/>
                <w:sz w:val="22"/>
                <w:szCs w:val="22"/>
                <w:u w:val="none"/>
                <w:lang w:val="en-US" w:eastAsia="zh-CN" w:bidi="ar"/>
              </w:rPr>
              <w:t>尹村镇（大霍村（红山站）、东良（红山站）、东杨、后良、后杨、霍庄、南西董、前良、前杨、染红、西良（红山站）、西杨、杨村）无可开放容量。</w:t>
            </w:r>
          </w:p>
        </w:tc>
        <w:tc>
          <w:tcPr>
            <w:tcW w:w="186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E2774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金店220千伏变电站</w:t>
            </w: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DE0FB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金店站#1主变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1202F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49.99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646C3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49.01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57D36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388951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45250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73ACBC0">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00B9133">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01AD88AE">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20E588">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D6C8420">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37EC72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金店站#2主变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A1D18D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49.99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858EBB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49.00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357A12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5B5043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1D89B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6"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D278DC3">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2F144CD">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725FC09F">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F9AA565">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E4227ED">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63A6C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金店站#3主变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B9A22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50.40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57342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49.41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00552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绿色</w:t>
            </w:r>
          </w:p>
        </w:tc>
        <w:tc>
          <w:tcPr>
            <w:tcW w:w="403"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CAFC5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61B9B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0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9D2CFDB">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351312">
            <w:pPr>
              <w:jc w:val="center"/>
              <w:rPr>
                <w:rFonts w:hint="eastAsia" w:ascii="宋体" w:hAnsi="宋体" w:eastAsia="宋体" w:cs="宋体"/>
                <w:i w:val="0"/>
                <w:color w:val="000000"/>
                <w:sz w:val="22"/>
                <w:szCs w:val="22"/>
                <w:u w:val="none"/>
              </w:rPr>
            </w:pPr>
          </w:p>
        </w:tc>
        <w:tc>
          <w:tcPr>
            <w:tcW w:w="928" w:type="dxa"/>
            <w:vMerge w:val="restart"/>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7972C8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固城镇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隆尧镇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w w:val="90"/>
                <w:kern w:val="0"/>
                <w:sz w:val="22"/>
                <w:szCs w:val="22"/>
                <w:u w:val="none"/>
                <w:lang w:val="en-US" w:eastAsia="zh-CN" w:bidi="ar"/>
              </w:rPr>
              <w:t>牛家桥乡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w w:val="90"/>
                <w:kern w:val="0"/>
                <w:sz w:val="22"/>
                <w:szCs w:val="22"/>
                <w:u w:val="none"/>
                <w:lang w:val="en-US" w:eastAsia="zh-CN" w:bidi="ar"/>
              </w:rPr>
              <w:t>魏家庄镇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w w:val="90"/>
                <w:kern w:val="0"/>
                <w:sz w:val="22"/>
                <w:szCs w:val="22"/>
                <w:u w:val="none"/>
                <w:lang w:val="en-US" w:eastAsia="zh-CN" w:bidi="ar"/>
              </w:rPr>
              <w:t>柳行农场</w:t>
            </w:r>
            <w:r>
              <w:rPr>
                <w:rFonts w:hint="eastAsia" w:ascii="宋体" w:hAnsi="宋体" w:eastAsia="宋体" w:cs="宋体"/>
                <w:i w:val="0"/>
                <w:color w:val="000000"/>
                <w:kern w:val="0"/>
                <w:sz w:val="22"/>
                <w:szCs w:val="22"/>
                <w:u w:val="none"/>
                <w:lang w:val="en-US" w:eastAsia="zh-CN" w:bidi="ar"/>
              </w:rPr>
              <w:t>山口镇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莲子镇镇</w:t>
            </w:r>
          </w:p>
        </w:tc>
        <w:tc>
          <w:tcPr>
            <w:tcW w:w="537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9068238">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包括固城镇（北西董、北寨子、大营、东潘村、东王村、固城、火连庄、孟村、王桥、西潘村、乡观、小孟），隆尧镇（白家庄、北柏舍、北甫、北和、陈村、东柏舍、东甫、东关、东河、东张、杜村、韩解、韩庄、虎中、南柏舍、南甫、南关、丘底二、丘底三、丘底一、沙湾、西柏舍、西甫、西关、西河、显化、显化寺、杨河、尧家庄、义丰、永兴），牛家桥乡（北吴町、北杨家楼、大兴庄、菅村、旧城、开河、马头、梅庄、南杨家楼、牛家桥、王盘庄、），魏家庄镇（北牛、东魏、东庄头、多家庄、公子后、公子中、角城、李贾、孟贾、南牛、南丈、牛张、王贯庄、王尹、魏家庄、西魏、西庄头、肖庄东、肖庄后、肖庄前、肖庄西、张汪、赵孟），柳行农场（柳行农场），山口镇（白木、前苏薛、前枣林庄、中苏薛），莲子镇镇（白家寨、北哈口、北闫庄、北盐池、崔家楼、东店马、东范、东闫庄、耿家庄、后辛庄、贾庄、莲东庄、莲辛庄、莲子镇、马栏、南吴町、前辛庄、任村、王家庄、西店子、西范、西哈口、西闫庄、辛庄）</w:t>
            </w:r>
          </w:p>
        </w:tc>
        <w:tc>
          <w:tcPr>
            <w:tcW w:w="186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0D523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隆尧220千伏变电站</w:t>
            </w: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0777F3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隆尧站#1主变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FCE98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38.81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DD0BDA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30.34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9945CD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7637F9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2E94A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0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F951DFB">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22B23F">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001632FA">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22D4F63">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25CD2BB">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5FDFB1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隆尧站#2主变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B96F0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53.09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0449A2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44.63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65167F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7DAFB1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08387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C11B11">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29594D">
            <w:pPr>
              <w:jc w:val="center"/>
              <w:rPr>
                <w:rFonts w:hint="eastAsia" w:ascii="宋体" w:hAnsi="宋体" w:eastAsia="宋体" w:cs="宋体"/>
                <w:i w:val="0"/>
                <w:color w:val="000000"/>
                <w:sz w:val="22"/>
                <w:szCs w:val="22"/>
                <w:u w:val="none"/>
              </w:rPr>
            </w:pPr>
          </w:p>
        </w:tc>
        <w:tc>
          <w:tcPr>
            <w:tcW w:w="928" w:type="dxa"/>
            <w:vMerge w:val="restart"/>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10FF55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w w:val="90"/>
                <w:kern w:val="0"/>
                <w:sz w:val="22"/>
                <w:szCs w:val="22"/>
                <w:u w:val="none"/>
                <w:lang w:val="en-US" w:eastAsia="zh-CN" w:bidi="ar"/>
              </w:rPr>
              <w:t>千户营乡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w w:val="90"/>
                <w:kern w:val="0"/>
                <w:sz w:val="22"/>
                <w:szCs w:val="22"/>
                <w:u w:val="none"/>
                <w:lang w:val="en-US" w:eastAsia="zh-CN" w:bidi="ar"/>
              </w:rPr>
              <w:t>大张庄乡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固城镇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w w:val="90"/>
                <w:kern w:val="0"/>
                <w:sz w:val="22"/>
                <w:szCs w:val="22"/>
                <w:u w:val="none"/>
                <w:lang w:val="en-US" w:eastAsia="zh-CN" w:bidi="ar"/>
              </w:rPr>
              <w:t>牛家桥乡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w w:val="90"/>
                <w:kern w:val="0"/>
                <w:sz w:val="22"/>
                <w:szCs w:val="22"/>
                <w:u w:val="none"/>
                <w:lang w:val="en-US" w:eastAsia="zh-CN" w:bidi="ar"/>
              </w:rPr>
              <w:t>柳行农场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山口镇</w:t>
            </w:r>
          </w:p>
        </w:tc>
        <w:tc>
          <w:tcPr>
            <w:tcW w:w="537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C239623">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包括千户营乡（陈家庄、东毛尔寨、东王庄、杜家庄、国家庄、孔家庄、连仲、南鱼、千户营、舍落口、狮子疙瘩、苏家庄、苏庄、唐家庄、王家场、西毛尔寨、邢家营、徐麻营、岳家庄、枣驼、赵家庄），大张庄乡（霸王营、白家庄、成家庄、大曹庄、大虫营、大张家庄、东刘庄、范庄、郝家庄、胡家疙瘩、黄家庄、焦家庄、刘通庄、马家庄、南王庄、渠家庄、宋家庄、檀家庄、王雄庄、西刘庄、肖张庄、小曹庄、小王庄、羊毛疙瘩、杨家尧、殷家庄、张家口），固城镇（北辛庄、北寨子、大营、东潘村、东王村、固城、后岳、胡家庄、户曹、火连庄、孟村、前岳、西潘村、辛刘庄、新刘庄），牛家桥乡（东清湾、林家庄、梅庄、牛家桥、西清湾、杨家庄），柳行农场（柳行农场），山口镇（佃户、后枣林庄）</w:t>
            </w:r>
          </w:p>
        </w:tc>
        <w:tc>
          <w:tcPr>
            <w:tcW w:w="186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42B4C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唐尧220千伏变电站</w:t>
            </w: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D31C3D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唐尧站#1主变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9F0744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42.09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8208FF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42.09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6B9ADA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2CF92A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1482A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38"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343FE97">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7A2A604">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7A043431">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3CA238">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DCE40F5">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E872F1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唐尧站#2主变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6C12C7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41.69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0E666F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41.69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4966E7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5A4DA3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2C21A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CE7F106">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8A33F4">
            <w:pPr>
              <w:jc w:val="center"/>
              <w:rPr>
                <w:rFonts w:hint="eastAsia" w:ascii="宋体" w:hAnsi="宋体" w:eastAsia="宋体" w:cs="宋体"/>
                <w:i w:val="0"/>
                <w:color w:val="000000"/>
                <w:sz w:val="22"/>
                <w:szCs w:val="22"/>
                <w:u w:val="none"/>
              </w:rPr>
            </w:pPr>
          </w:p>
        </w:tc>
        <w:tc>
          <w:tcPr>
            <w:tcW w:w="928" w:type="dxa"/>
            <w:vMerge w:val="restart"/>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406D66A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隆尧镇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山口镇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北楼乡</w:t>
            </w:r>
          </w:p>
          <w:p w14:paraId="5CFBE1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w w:val="90"/>
                <w:kern w:val="0"/>
                <w:sz w:val="22"/>
                <w:szCs w:val="22"/>
                <w:u w:val="none"/>
                <w:lang w:val="en-US" w:eastAsia="zh-CN" w:bidi="ar"/>
              </w:rPr>
              <w:t>魏家庄镇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东良镇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柳行农场</w:t>
            </w:r>
          </w:p>
        </w:tc>
        <w:tc>
          <w:tcPr>
            <w:tcW w:w="537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04F5CE8">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包括隆尧镇（东河、东里、官庄、郭园、韩解、韩庄、南潘庄、南小河、西甫、西关、尧北里、尧东庄、尧南关），山口镇（北潘庄、东齐、东山南、东尚、茅山营、山口、西齐、西山南、西尚），北楼乡（北楼、东曲底、范贾、河北南汪后、河北南汪前、尚礼、西曲底、小汪、辛贾、周张庄），魏家庄镇（公子后、郭贾、李贾、孟贾、魏家庄），东良镇（大干言、小干言），柳行农场（柳行农场）</w:t>
            </w:r>
          </w:p>
        </w:tc>
        <w:tc>
          <w:tcPr>
            <w:tcW w:w="186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D83F9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尧山220千伏变电站</w:t>
            </w: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DFFE02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尧山站#1主变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771DF6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66.91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E87159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59.09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FDD67C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1D5E6B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31102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455DEF3">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75C986">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5F131A49">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6DD59E">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6EC8FDC">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50AD7D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尧山站#2主变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3F8315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66.91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8ED526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59.09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3CF306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0AF5B9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54180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0"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24C7A9">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85CABF1">
            <w:pPr>
              <w:jc w:val="center"/>
              <w:rPr>
                <w:rFonts w:hint="eastAsia" w:ascii="宋体" w:hAnsi="宋体" w:eastAsia="宋体" w:cs="宋体"/>
                <w:i w:val="0"/>
                <w:color w:val="000000"/>
                <w:sz w:val="22"/>
                <w:szCs w:val="22"/>
                <w:u w:val="none"/>
              </w:rPr>
            </w:pPr>
          </w:p>
        </w:tc>
        <w:tc>
          <w:tcPr>
            <w:tcW w:w="928" w:type="dxa"/>
            <w:vMerge w:val="restart"/>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302A83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北楼乡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隆尧镇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魏家庄镇</w:t>
            </w:r>
          </w:p>
        </w:tc>
        <w:tc>
          <w:tcPr>
            <w:tcW w:w="537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92308D">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包括北楼乡（白家屯、景福、南楼东、南楼后、南楼前、南汪店、南羊、牛庄、尧张庄、重贤），隆尧镇（东张、宋村、西柏舍、西张），魏家庄镇（公子后、公子前、公子中）</w:t>
            </w:r>
          </w:p>
        </w:tc>
        <w:tc>
          <w:tcPr>
            <w:tcW w:w="186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3E343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北张220千伏变电站</w:t>
            </w: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DBF434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北张站#1主变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F8F12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10.89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3E913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9.42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6CCBD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绿色</w:t>
            </w:r>
          </w:p>
        </w:tc>
        <w:tc>
          <w:tcPr>
            <w:tcW w:w="403"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76221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28F0C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65"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5C77C4B">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B92EAD0">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nil"/>
              <w:bottom w:val="single" w:color="000000" w:sz="4" w:space="0"/>
              <w:right w:val="single" w:color="000000" w:sz="4" w:space="0"/>
            </w:tcBorders>
            <w:noWrap w:val="0"/>
            <w:tcMar>
              <w:top w:w="12" w:type="dxa"/>
              <w:left w:w="12" w:type="dxa"/>
              <w:right w:w="12" w:type="dxa"/>
            </w:tcMar>
            <w:vAlign w:val="center"/>
          </w:tcPr>
          <w:p w14:paraId="2F63FF30">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D5C6462">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98A9A6A">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D916E6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北张站#2主变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68556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11.34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824327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9.87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52F8CF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绿色</w:t>
            </w:r>
          </w:p>
        </w:tc>
        <w:tc>
          <w:tcPr>
            <w:tcW w:w="403" w:type="dxa"/>
            <w:tcBorders>
              <w:top w:val="single" w:color="000000" w:sz="4" w:space="0"/>
              <w:left w:val="single" w:color="000000" w:sz="4" w:space="0"/>
              <w:bottom w:val="nil"/>
              <w:right w:val="single" w:color="000000" w:sz="4" w:space="0"/>
            </w:tcBorders>
            <w:noWrap/>
            <w:tcMar>
              <w:top w:w="12" w:type="dxa"/>
              <w:left w:w="12" w:type="dxa"/>
              <w:right w:w="12" w:type="dxa"/>
            </w:tcMar>
            <w:vAlign w:val="center"/>
          </w:tcPr>
          <w:p w14:paraId="36B4EE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4A504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1DBBB91">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A12B95">
            <w:pPr>
              <w:jc w:val="center"/>
              <w:rPr>
                <w:rFonts w:hint="eastAsia" w:ascii="宋体" w:hAnsi="宋体" w:eastAsia="宋体" w:cs="宋体"/>
                <w:i w:val="0"/>
                <w:color w:val="000000"/>
                <w:sz w:val="22"/>
                <w:szCs w:val="22"/>
                <w:u w:val="none"/>
              </w:rPr>
            </w:pPr>
          </w:p>
        </w:tc>
        <w:tc>
          <w:tcPr>
            <w:tcW w:w="92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A3DC6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尹村镇</w:t>
            </w:r>
          </w:p>
        </w:tc>
        <w:tc>
          <w:tcPr>
            <w:tcW w:w="5378"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EC92EAC">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包括尹村镇（西尹、东尹）</w:t>
            </w:r>
          </w:p>
        </w:tc>
        <w:tc>
          <w:tcPr>
            <w:tcW w:w="186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A8F12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临泉220千伏变电站</w:t>
            </w: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C9E14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临泉站#2主变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5A07A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1.48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5A0E4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1.48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A2771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绿色</w:t>
            </w:r>
          </w:p>
        </w:tc>
        <w:tc>
          <w:tcPr>
            <w:tcW w:w="403"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E19DA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46B2B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7"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477CEA3">
            <w:pPr>
              <w:jc w:val="center"/>
              <w:rPr>
                <w:rFonts w:hint="eastAsia" w:ascii="宋体" w:hAnsi="宋体" w:eastAsia="宋体" w:cs="宋体"/>
                <w:i w:val="0"/>
                <w:color w:val="000000"/>
                <w:sz w:val="22"/>
                <w:szCs w:val="22"/>
                <w:u w:val="none"/>
              </w:rPr>
            </w:pPr>
          </w:p>
        </w:tc>
        <w:tc>
          <w:tcPr>
            <w:tcW w:w="402"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95BAE8">
            <w:pPr>
              <w:jc w:val="center"/>
              <w:rPr>
                <w:rFonts w:hint="eastAsia" w:ascii="宋体" w:hAnsi="宋体" w:eastAsia="宋体" w:cs="宋体"/>
                <w:i w:val="0"/>
                <w:color w:val="000000"/>
                <w:sz w:val="22"/>
                <w:szCs w:val="22"/>
                <w:u w:val="none"/>
              </w:rPr>
            </w:pPr>
          </w:p>
        </w:tc>
        <w:tc>
          <w:tcPr>
            <w:tcW w:w="92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9ACFB5">
            <w:pPr>
              <w:jc w:val="center"/>
              <w:rPr>
                <w:rFonts w:hint="eastAsia" w:ascii="宋体" w:hAnsi="宋体" w:eastAsia="宋体" w:cs="宋体"/>
                <w:i w:val="0"/>
                <w:color w:val="000000"/>
                <w:sz w:val="22"/>
                <w:szCs w:val="22"/>
                <w:u w:val="none"/>
              </w:rPr>
            </w:pPr>
          </w:p>
        </w:tc>
        <w:tc>
          <w:tcPr>
            <w:tcW w:w="5378"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05898A">
            <w:pPr>
              <w:jc w:val="both"/>
              <w:rPr>
                <w:rFonts w:hint="eastAsia" w:ascii="宋体" w:hAnsi="宋体" w:eastAsia="宋体" w:cs="宋体"/>
                <w:i w:val="0"/>
                <w:color w:val="000000"/>
                <w:sz w:val="22"/>
                <w:szCs w:val="22"/>
                <w:u w:val="none"/>
              </w:rPr>
            </w:pPr>
          </w:p>
        </w:tc>
        <w:tc>
          <w:tcPr>
            <w:tcW w:w="186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A0793D7">
            <w:pPr>
              <w:jc w:val="center"/>
              <w:rPr>
                <w:rFonts w:hint="eastAsia" w:ascii="宋体" w:hAnsi="宋体" w:eastAsia="宋体" w:cs="宋体"/>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CD8FFE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临泉站#3主变</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63BAC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1.48 </w:t>
            </w:r>
          </w:p>
        </w:tc>
        <w:tc>
          <w:tcPr>
            <w:tcW w:w="113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FCE36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1.48 </w:t>
            </w:r>
          </w:p>
        </w:tc>
        <w:tc>
          <w:tcPr>
            <w:tcW w:w="84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C4D79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绿色</w:t>
            </w:r>
          </w:p>
        </w:tc>
        <w:tc>
          <w:tcPr>
            <w:tcW w:w="403"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FF6E4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14:paraId="133AA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1" w:hRule="atLeast"/>
        </w:trPr>
        <w:tc>
          <w:tcPr>
            <w:tcW w:w="13982" w:type="dxa"/>
            <w:gridSpan w:val="10"/>
            <w:tcBorders>
              <w:top w:val="nil"/>
              <w:left w:val="nil"/>
              <w:bottom w:val="nil"/>
              <w:right w:val="nil"/>
            </w:tcBorders>
            <w:noWrap w:val="0"/>
            <w:tcMar>
              <w:top w:w="12" w:type="dxa"/>
              <w:left w:w="12" w:type="dxa"/>
              <w:right w:w="12" w:type="dxa"/>
            </w:tcMar>
            <w:vAlign w:val="center"/>
          </w:tcPr>
          <w:p w14:paraId="26D02D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1.按照《分布式电源接入电力系统承载力评估导则（DL/T 2041-2025）》，可开放并网容量指评估时刻（本季度为2026年7月1日），除已并网的分布式电源外，电力系统可新增并网接入的分布式电源装机规模。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2.因暂无渠道获取准确的已备案分布式电源项目数据，暂不开展可开放备案容量测算。 </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3.考虑在途项目后可开放容量，指评估时刻（本季度为2026年7月1日）除已并网及已受理但尚未并网的分布式电源外，电力系统可新增受理的分布式电源装机规模。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4.110千伏及以下主配变可开放容量请至所在辖区供电所或营业厅咨询。</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5.可开放容量约束遵循下级服从上级的原则，本县所有220千伏主变供电区域新增的分布式电源并网容量总和不应超过本县考虑在途项目后的县域可开放容量。</w:t>
            </w:r>
          </w:p>
        </w:tc>
      </w:tr>
    </w:tbl>
    <w:p w14:paraId="204873DD">
      <w:pPr>
        <w:ind w:firstLine="4312" w:firstLineChars="1400"/>
        <w:jc w:val="center"/>
        <w:rPr>
          <w:color w:val="auto"/>
          <w:highlight w:val="none"/>
        </w:rPr>
      </w:pPr>
      <w:r>
        <w:rPr>
          <w:rFonts w:hint="eastAsia" w:ascii="方正仿宋_GBK" w:hAnsi="方正仿宋_GBK" w:eastAsia="方正仿宋_GBK" w:cs="方正仿宋_GBK"/>
          <w:bCs/>
          <w:color w:val="auto"/>
          <w:spacing w:val="-6"/>
          <w:sz w:val="32"/>
          <w:szCs w:val="32"/>
          <w:highlight w:val="none"/>
          <w:lang w:val="en-US" w:eastAsia="zh-CN"/>
        </w:rPr>
        <w:t xml:space="preserve">        </w:t>
      </w:r>
    </w:p>
    <w:sectPr>
      <w:type w:val="continuous"/>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237F7"/>
    <w:rsid w:val="011824C8"/>
    <w:rsid w:val="02106E55"/>
    <w:rsid w:val="02FA2299"/>
    <w:rsid w:val="0329135B"/>
    <w:rsid w:val="03AE5C85"/>
    <w:rsid w:val="03C36FA8"/>
    <w:rsid w:val="046C5548"/>
    <w:rsid w:val="048331E5"/>
    <w:rsid w:val="04A80A08"/>
    <w:rsid w:val="05D10AB7"/>
    <w:rsid w:val="05DD3E95"/>
    <w:rsid w:val="062F5934"/>
    <w:rsid w:val="083A618D"/>
    <w:rsid w:val="08605F8A"/>
    <w:rsid w:val="08E539EE"/>
    <w:rsid w:val="09020373"/>
    <w:rsid w:val="09C2350D"/>
    <w:rsid w:val="0A7960B1"/>
    <w:rsid w:val="0B173142"/>
    <w:rsid w:val="0BC00D82"/>
    <w:rsid w:val="0BD07010"/>
    <w:rsid w:val="0BF75DA4"/>
    <w:rsid w:val="0C3B393E"/>
    <w:rsid w:val="0C524218"/>
    <w:rsid w:val="0C7E3C9B"/>
    <w:rsid w:val="0D412961"/>
    <w:rsid w:val="0DE44A0C"/>
    <w:rsid w:val="0DEB1CCA"/>
    <w:rsid w:val="0E5B7070"/>
    <w:rsid w:val="0E746EEA"/>
    <w:rsid w:val="0E9721E1"/>
    <w:rsid w:val="0EC348CE"/>
    <w:rsid w:val="0F553938"/>
    <w:rsid w:val="0F585F90"/>
    <w:rsid w:val="0F7C7EFC"/>
    <w:rsid w:val="0FC25ACF"/>
    <w:rsid w:val="103A3D6B"/>
    <w:rsid w:val="10DF5D73"/>
    <w:rsid w:val="10FC3CEC"/>
    <w:rsid w:val="11214A29"/>
    <w:rsid w:val="11586564"/>
    <w:rsid w:val="11954B40"/>
    <w:rsid w:val="12291A4D"/>
    <w:rsid w:val="12413A02"/>
    <w:rsid w:val="12493B99"/>
    <w:rsid w:val="12D93553"/>
    <w:rsid w:val="13AC5B9F"/>
    <w:rsid w:val="13E61333"/>
    <w:rsid w:val="15817460"/>
    <w:rsid w:val="16087536"/>
    <w:rsid w:val="16E8716B"/>
    <w:rsid w:val="176F618F"/>
    <w:rsid w:val="187349D4"/>
    <w:rsid w:val="1A505152"/>
    <w:rsid w:val="1B111640"/>
    <w:rsid w:val="1BE64AD8"/>
    <w:rsid w:val="1C1D12D6"/>
    <w:rsid w:val="1CF71928"/>
    <w:rsid w:val="1D606AF6"/>
    <w:rsid w:val="1DE9352B"/>
    <w:rsid w:val="1E212971"/>
    <w:rsid w:val="1FCE7DDD"/>
    <w:rsid w:val="208D40C1"/>
    <w:rsid w:val="20E22813"/>
    <w:rsid w:val="211F29BE"/>
    <w:rsid w:val="22034AFE"/>
    <w:rsid w:val="225D2224"/>
    <w:rsid w:val="22FD1704"/>
    <w:rsid w:val="23292355"/>
    <w:rsid w:val="23E25F05"/>
    <w:rsid w:val="24696BA8"/>
    <w:rsid w:val="24E97050"/>
    <w:rsid w:val="255155FF"/>
    <w:rsid w:val="264D35AA"/>
    <w:rsid w:val="26C31FAC"/>
    <w:rsid w:val="27D54DB9"/>
    <w:rsid w:val="28050601"/>
    <w:rsid w:val="28664FC0"/>
    <w:rsid w:val="297C003A"/>
    <w:rsid w:val="29940E8C"/>
    <w:rsid w:val="2A030B52"/>
    <w:rsid w:val="2A4A0890"/>
    <w:rsid w:val="2A4F56D1"/>
    <w:rsid w:val="2A7E0A8A"/>
    <w:rsid w:val="2ACA3361"/>
    <w:rsid w:val="2B93064B"/>
    <w:rsid w:val="2C660547"/>
    <w:rsid w:val="2C8864C2"/>
    <w:rsid w:val="2D021756"/>
    <w:rsid w:val="2E74471C"/>
    <w:rsid w:val="2E991590"/>
    <w:rsid w:val="2EE36012"/>
    <w:rsid w:val="2F1A5F06"/>
    <w:rsid w:val="311B5020"/>
    <w:rsid w:val="322F79A2"/>
    <w:rsid w:val="325434EB"/>
    <w:rsid w:val="325662A3"/>
    <w:rsid w:val="337E1BA8"/>
    <w:rsid w:val="34211065"/>
    <w:rsid w:val="34287878"/>
    <w:rsid w:val="34616FBB"/>
    <w:rsid w:val="348C2709"/>
    <w:rsid w:val="3538508A"/>
    <w:rsid w:val="35F217AA"/>
    <w:rsid w:val="36236256"/>
    <w:rsid w:val="36A21CEC"/>
    <w:rsid w:val="36E74215"/>
    <w:rsid w:val="376E43F8"/>
    <w:rsid w:val="3783090C"/>
    <w:rsid w:val="37A1503C"/>
    <w:rsid w:val="38112E6C"/>
    <w:rsid w:val="3885440F"/>
    <w:rsid w:val="3C480D77"/>
    <w:rsid w:val="3CA93B6B"/>
    <w:rsid w:val="3CAB0E8C"/>
    <w:rsid w:val="3DAD4CFD"/>
    <w:rsid w:val="3DFF3002"/>
    <w:rsid w:val="3E38561B"/>
    <w:rsid w:val="3F100F23"/>
    <w:rsid w:val="3F4E20AD"/>
    <w:rsid w:val="3F7F2668"/>
    <w:rsid w:val="3FA87C4D"/>
    <w:rsid w:val="3FD709B1"/>
    <w:rsid w:val="4042346E"/>
    <w:rsid w:val="406C7118"/>
    <w:rsid w:val="40A603CA"/>
    <w:rsid w:val="40F85396"/>
    <w:rsid w:val="411A5044"/>
    <w:rsid w:val="412B1CE5"/>
    <w:rsid w:val="419C7719"/>
    <w:rsid w:val="4249548F"/>
    <w:rsid w:val="43E94592"/>
    <w:rsid w:val="44236E43"/>
    <w:rsid w:val="45820B4A"/>
    <w:rsid w:val="458E33A4"/>
    <w:rsid w:val="45B474CB"/>
    <w:rsid w:val="46465567"/>
    <w:rsid w:val="46524306"/>
    <w:rsid w:val="4736543B"/>
    <w:rsid w:val="479308BB"/>
    <w:rsid w:val="4835030E"/>
    <w:rsid w:val="49314241"/>
    <w:rsid w:val="494E0EEE"/>
    <w:rsid w:val="495110D6"/>
    <w:rsid w:val="4A4C0DC6"/>
    <w:rsid w:val="4BB84611"/>
    <w:rsid w:val="4BBB425C"/>
    <w:rsid w:val="4BE9269F"/>
    <w:rsid w:val="4C1240CB"/>
    <w:rsid w:val="4D305F70"/>
    <w:rsid w:val="4D463B39"/>
    <w:rsid w:val="4D6249F2"/>
    <w:rsid w:val="4D676A3C"/>
    <w:rsid w:val="4DD014C4"/>
    <w:rsid w:val="4DD860C1"/>
    <w:rsid w:val="4E1A283D"/>
    <w:rsid w:val="4E365EDA"/>
    <w:rsid w:val="4EB71FC4"/>
    <w:rsid w:val="4EF40F72"/>
    <w:rsid w:val="4F20674D"/>
    <w:rsid w:val="4F3E7DEC"/>
    <w:rsid w:val="50421A18"/>
    <w:rsid w:val="5057162D"/>
    <w:rsid w:val="505939F9"/>
    <w:rsid w:val="50801538"/>
    <w:rsid w:val="511A29F4"/>
    <w:rsid w:val="51486233"/>
    <w:rsid w:val="514D7E76"/>
    <w:rsid w:val="519F3DDF"/>
    <w:rsid w:val="52484A38"/>
    <w:rsid w:val="52826F47"/>
    <w:rsid w:val="529F7F7B"/>
    <w:rsid w:val="52D61395"/>
    <w:rsid w:val="53A255EB"/>
    <w:rsid w:val="53FD1485"/>
    <w:rsid w:val="54FE7A4C"/>
    <w:rsid w:val="55123775"/>
    <w:rsid w:val="556B77C3"/>
    <w:rsid w:val="557D0FA8"/>
    <w:rsid w:val="55E773FA"/>
    <w:rsid w:val="56046BBD"/>
    <w:rsid w:val="562734B1"/>
    <w:rsid w:val="562E602A"/>
    <w:rsid w:val="574267B5"/>
    <w:rsid w:val="58FC7A01"/>
    <w:rsid w:val="59711A3B"/>
    <w:rsid w:val="59CC32A5"/>
    <w:rsid w:val="59FA7BDF"/>
    <w:rsid w:val="5A2C795B"/>
    <w:rsid w:val="5A836E5B"/>
    <w:rsid w:val="5B5C58EA"/>
    <w:rsid w:val="5BD10C67"/>
    <w:rsid w:val="5C306A99"/>
    <w:rsid w:val="5CFB0D8F"/>
    <w:rsid w:val="5CFE4C9E"/>
    <w:rsid w:val="5D22618B"/>
    <w:rsid w:val="5D2B0A61"/>
    <w:rsid w:val="5EFD6DFC"/>
    <w:rsid w:val="5F355A3D"/>
    <w:rsid w:val="6027478F"/>
    <w:rsid w:val="60CE5FB2"/>
    <w:rsid w:val="60E4377B"/>
    <w:rsid w:val="60FE1EDF"/>
    <w:rsid w:val="611E3835"/>
    <w:rsid w:val="61355962"/>
    <w:rsid w:val="616A242C"/>
    <w:rsid w:val="61AC3C0D"/>
    <w:rsid w:val="61FB2AC6"/>
    <w:rsid w:val="62477C0D"/>
    <w:rsid w:val="62606D1B"/>
    <w:rsid w:val="62F06A30"/>
    <w:rsid w:val="639D02B9"/>
    <w:rsid w:val="63DB1CF7"/>
    <w:rsid w:val="642B591B"/>
    <w:rsid w:val="643A058F"/>
    <w:rsid w:val="64AD2ED1"/>
    <w:rsid w:val="64FE7025"/>
    <w:rsid w:val="65254812"/>
    <w:rsid w:val="65D43F53"/>
    <w:rsid w:val="65DA24BA"/>
    <w:rsid w:val="65F02544"/>
    <w:rsid w:val="673539FB"/>
    <w:rsid w:val="67AD6291"/>
    <w:rsid w:val="67E456BF"/>
    <w:rsid w:val="6A3E2239"/>
    <w:rsid w:val="6A967843"/>
    <w:rsid w:val="6AFF06C2"/>
    <w:rsid w:val="6B6A05F8"/>
    <w:rsid w:val="6B7A0254"/>
    <w:rsid w:val="6CF7593A"/>
    <w:rsid w:val="6DAE2423"/>
    <w:rsid w:val="6DE56C9C"/>
    <w:rsid w:val="6E882E8C"/>
    <w:rsid w:val="6FCE7D0B"/>
    <w:rsid w:val="702D72D3"/>
    <w:rsid w:val="71A03665"/>
    <w:rsid w:val="71A154B5"/>
    <w:rsid w:val="720707C9"/>
    <w:rsid w:val="724B1585"/>
    <w:rsid w:val="726E356E"/>
    <w:rsid w:val="73A24B27"/>
    <w:rsid w:val="73FD235A"/>
    <w:rsid w:val="74E31515"/>
    <w:rsid w:val="75247FFA"/>
    <w:rsid w:val="75BB67CA"/>
    <w:rsid w:val="75EF1F0A"/>
    <w:rsid w:val="767B78AC"/>
    <w:rsid w:val="773E141D"/>
    <w:rsid w:val="7773464A"/>
    <w:rsid w:val="791F2967"/>
    <w:rsid w:val="79A75625"/>
    <w:rsid w:val="79F97C26"/>
    <w:rsid w:val="79FE5FC8"/>
    <w:rsid w:val="7AA54865"/>
    <w:rsid w:val="7B8778FC"/>
    <w:rsid w:val="7DED76AC"/>
    <w:rsid w:val="7E1B34AB"/>
    <w:rsid w:val="7E60734D"/>
    <w:rsid w:val="7EB21F48"/>
    <w:rsid w:val="7EDA4C94"/>
    <w:rsid w:val="7FA01DB9"/>
    <w:rsid w:val="7FC247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FollowedHyperlink"/>
    <w:basedOn w:val="3"/>
    <w:qFormat/>
    <w:uiPriority w:val="0"/>
    <w:rPr>
      <w:color w:val="0000FF"/>
      <w:u w:val="none"/>
    </w:rPr>
  </w:style>
  <w:style w:type="character" w:styleId="5">
    <w:name w:val="Hyperlink"/>
    <w:basedOn w:val="3"/>
    <w:qFormat/>
    <w:uiPriority w:val="0"/>
    <w:rPr>
      <w:color w:val="0000FF"/>
      <w:u w:val="none"/>
    </w:rPr>
  </w:style>
  <w:style w:type="character" w:customStyle="1" w:styleId="6">
    <w:name w:val="jsfw_window_title"/>
    <w:basedOn w:val="3"/>
    <w:qFormat/>
    <w:uiPriority w:val="0"/>
    <w:rPr>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452</Words>
  <Characters>503</Characters>
  <Lines>0</Lines>
  <Paragraphs>0</Paragraphs>
  <TotalTime>4</TotalTime>
  <ScaleCrop>false</ScaleCrop>
  <LinksUpToDate>false</LinksUpToDate>
  <CharactersWithSpaces>532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隆尧县供电公司</dc:creator>
  <cp:lastModifiedBy>曹战强</cp:lastModifiedBy>
  <cp:lastPrinted>2026-07-15T08:33:00Z</cp:lastPrinted>
  <dcterms:modified xsi:type="dcterms:W3CDTF">2026-07-21T06:13:28Z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05D03C18AD4643A28DE852FCB9F73FB1_13</vt:lpwstr>
  </property>
  <property fmtid="{D5CDD505-2E9C-101B-9397-08002B2CF9AE}" pid="4" name="KSOTemplateDocerSaveRecord">
    <vt:lpwstr>eyJoZGlkIjoiNGY3OThjZjJiMmUzMTQ0ZmFiZDg4MTgxMTNiYmY1NzAiLCJ1c2VySWQiOiIzNTg1OTAzMzIifQ==</vt:lpwstr>
  </property>
</Properties>
</file>