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邢台市隆尧县税务局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2022年政府信息公开工作年度报告</w:t>
      </w:r>
    </w:p>
    <w:p>
      <w: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根据《中华人民共和国政府信息公开条例》《河北省实施（中华人民共和国政府信息公开条例）办法》等规定，发布本年度报告。报告中所列数据统计期限为2022年1月1日至12月31日。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我局以习近平新时代中国特色社会主义思想和党的二十大及十九届七中全会精神为指导，严格落实党中央、国务院关于全面推进政务公开工作的部署，坚持积极主动公开，平衡各方利益诉求，保障社会公众权利，保证国家机密不外泄。把政务公开工作贯穿税务工作始终，建立健全政务公开机制，规范政务公开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（一）进一步推进主动公开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根据政府信息标准化规范化管理要求，严格按照政务公开工作规程及有关文件要求向社会主动公开税收政策、机构职能等信息。及时公开行政许可以及行政处罚信息，截</w:t>
      </w:r>
      <w:r>
        <w:rPr>
          <w:rFonts w:hint="eastAsia" w:ascii="仿宋_GB2312" w:hAnsi="仿宋_GB2312" w:eastAsia="仿宋_GB2312" w:cs="仿宋_GB2312"/>
          <w:sz w:val="32"/>
          <w:szCs w:val="32"/>
          <w:lang w:eastAsia="zh-CN"/>
        </w:rPr>
        <w:t>至</w:t>
      </w:r>
      <w:bookmarkStart w:id="0" w:name="_GoBack"/>
      <w:bookmarkEnd w:id="0"/>
      <w:r>
        <w:rPr>
          <w:rFonts w:hint="eastAsia" w:ascii="仿宋_GB2312" w:hAnsi="仿宋_GB2312" w:eastAsia="仿宋_GB2312" w:cs="仿宋_GB2312"/>
          <w:sz w:val="32"/>
          <w:szCs w:val="32"/>
        </w:rPr>
        <w:t>2022年12月31日，我局处理行政许可数量450件，针对税收违法行为所做出的行政处罚279件。全力做好政策解读和及时更新转发政策文件。不断更新对新出台税费政策的解读，继续加强对基层税务人员的培训，培养基层一线人员政策解答、操作辅导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（二）进一步规范依申请公开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2022年，我局未收到依申请公开事项。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（三）进一步加强政府信息管理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专人每日登录相关网站，了解市委、县委县政府及其他政府部门动态，收集整理民众在平台上关于税务工作的意见建议，呈局领导和相关股室进行研究。可以公开的内容，做到依法公开。健全政府信息公开领导机制，进一步规范平台信息管理，确定专人负责日常信息审核发布，建立健全网站信息审核发布、安全管理等制度，规范信息公开流程、范围、途径，确保政务公开信息及时更新、发布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（四）进一步优化政府信息公开平台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牢牢把握“专栏专姓”的基本定位，聚焦法定主动公开内容，以专门性专业化内容的发布和管理，展现政府信息公开平台的价值。优化功能，做到栏目内容清晰简明，注重加强栏目之间的衔接，做到数据同源。信息发布及时有效，因地制宜，根据实际发布民众真正需要的信息，提高税务部门办事效率，提升税务服务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（五）进一步加强监督保障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结合工作实际，对政府信息公开领导小组及时调整，细化分解工作职责，确保工作扎实，稳步推进，把政务公开纳入严格执行信息发布审核机制范围，全面落实监督岗位责任。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3"/>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2113"/>
        <w:gridCol w:w="2113"/>
        <w:gridCol w:w="2113"/>
        <w:gridCol w:w="21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340" w:hRule="atLeast"/>
          <w:tblCellSpacing w:w="0" w:type="dxa"/>
          <w:jc w:val="center"/>
        </w:trPr>
        <w:tc>
          <w:tcPr>
            <w:tcW w:w="9740" w:type="dxa"/>
            <w:gridSpan w:val="4"/>
            <w:tcBorders>
              <w:top w:val="single" w:color="auto" w:sz="4" w:space="0"/>
              <w:left w:val="single" w:color="000000" w:sz="8" w:space="0"/>
              <w:bottom w:val="single" w:color="000000" w:sz="8" w:space="0"/>
              <w:right w:val="single" w:color="auto" w:sz="4" w:space="0"/>
            </w:tcBorders>
            <w:shd w:val="clear" w:color="auto" w:fill="C6D9F1"/>
            <w:vAlign w:val="center"/>
          </w:tcPr>
          <w:p>
            <w:pPr>
              <w:rPr>
                <w:rFonts w:hint="eastAsia" w:ascii="宋体" w:hAnsi="宋体" w:eastAsia="宋体" w:cs="宋体"/>
                <w:sz w:val="24"/>
                <w:szCs w:val="24"/>
              </w:rPr>
            </w:pPr>
            <w:r>
              <w:rPr>
                <w:rFonts w:hint="eastAsia" w:ascii="宋体" w:hAnsi="宋体" w:eastAsia="宋体" w:cs="宋体"/>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信息内容</w:t>
            </w:r>
          </w:p>
        </w:tc>
        <w:tc>
          <w:tcPr>
            <w:tcW w:w="2435" w:type="dxa"/>
            <w:tcBorders>
              <w:top w:val="single" w:color="000000" w:sz="8" w:space="0"/>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本年制发件数</w:t>
            </w:r>
          </w:p>
        </w:tc>
        <w:tc>
          <w:tcPr>
            <w:tcW w:w="2435" w:type="dxa"/>
            <w:tcBorders>
              <w:top w:val="single" w:color="000000" w:sz="8" w:space="0"/>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本年废止件数</w:t>
            </w:r>
          </w:p>
        </w:tc>
        <w:tc>
          <w:tcPr>
            <w:tcW w:w="2435" w:type="dxa"/>
            <w:tcBorders>
              <w:top w:val="single" w:color="000000" w:sz="8" w:space="0"/>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规章</w:t>
            </w:r>
          </w:p>
        </w:tc>
        <w:tc>
          <w:tcPr>
            <w:tcW w:w="2435" w:type="dxa"/>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c>
          <w:tcPr>
            <w:tcW w:w="2435" w:type="dxa"/>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c>
          <w:tcPr>
            <w:tcW w:w="2435" w:type="dxa"/>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行政规范性文件</w:t>
            </w:r>
          </w:p>
        </w:tc>
        <w:tc>
          <w:tcPr>
            <w:tcW w:w="2435" w:type="dxa"/>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c>
          <w:tcPr>
            <w:tcW w:w="2435" w:type="dxa"/>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c>
          <w:tcPr>
            <w:tcW w:w="2435" w:type="dxa"/>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9740" w:type="dxa"/>
            <w:gridSpan w:val="4"/>
            <w:tcBorders>
              <w:top w:val="nil"/>
              <w:left w:val="single" w:color="auto" w:sz="4" w:space="0"/>
              <w:bottom w:val="single" w:color="000000" w:sz="8" w:space="0"/>
              <w:right w:val="single" w:color="auto" w:sz="4" w:space="0"/>
            </w:tcBorders>
            <w:shd w:val="clear" w:color="auto" w:fill="C6D9F1"/>
            <w:vAlign w:val="center"/>
          </w:tcPr>
          <w:p>
            <w:pPr>
              <w:rPr>
                <w:rFonts w:hint="eastAsia" w:ascii="宋体" w:hAnsi="宋体" w:eastAsia="宋体" w:cs="宋体"/>
                <w:sz w:val="24"/>
                <w:szCs w:val="24"/>
              </w:rPr>
            </w:pPr>
            <w:r>
              <w:rPr>
                <w:rFonts w:hint="eastAsia" w:ascii="宋体" w:hAnsi="宋体" w:eastAsia="宋体" w:cs="宋体"/>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信息内容</w:t>
            </w:r>
          </w:p>
        </w:tc>
        <w:tc>
          <w:tcPr>
            <w:tcW w:w="7305" w:type="dxa"/>
            <w:gridSpan w:val="3"/>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行政许可</w:t>
            </w:r>
          </w:p>
        </w:tc>
        <w:tc>
          <w:tcPr>
            <w:tcW w:w="7305" w:type="dxa"/>
            <w:gridSpan w:val="3"/>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9740" w:type="dxa"/>
            <w:gridSpan w:val="4"/>
            <w:tcBorders>
              <w:top w:val="nil"/>
              <w:left w:val="single" w:color="auto" w:sz="4" w:space="0"/>
              <w:bottom w:val="single" w:color="000000" w:sz="8" w:space="0"/>
              <w:right w:val="single" w:color="auto" w:sz="4" w:space="0"/>
            </w:tcBorders>
            <w:shd w:val="clear" w:color="auto" w:fill="C6D9F1"/>
            <w:vAlign w:val="center"/>
          </w:tcPr>
          <w:p>
            <w:pPr>
              <w:rPr>
                <w:rFonts w:hint="eastAsia" w:ascii="宋体" w:hAnsi="宋体" w:eastAsia="宋体" w:cs="宋体"/>
                <w:sz w:val="24"/>
                <w:szCs w:val="24"/>
              </w:rPr>
            </w:pPr>
            <w:r>
              <w:rPr>
                <w:rFonts w:hint="eastAsia" w:ascii="宋体" w:hAnsi="宋体" w:eastAsia="宋体" w:cs="宋体"/>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信息内容</w:t>
            </w:r>
          </w:p>
        </w:tc>
        <w:tc>
          <w:tcPr>
            <w:tcW w:w="7305" w:type="dxa"/>
            <w:gridSpan w:val="3"/>
            <w:tcBorders>
              <w:top w:val="single" w:color="000000" w:sz="8" w:space="0"/>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行政处罚</w:t>
            </w:r>
          </w:p>
        </w:tc>
        <w:tc>
          <w:tcPr>
            <w:tcW w:w="7305" w:type="dxa"/>
            <w:gridSpan w:val="3"/>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行政强制</w:t>
            </w:r>
          </w:p>
        </w:tc>
        <w:tc>
          <w:tcPr>
            <w:tcW w:w="7305" w:type="dxa"/>
            <w:gridSpan w:val="3"/>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9740" w:type="dxa"/>
            <w:gridSpan w:val="4"/>
            <w:tcBorders>
              <w:top w:val="nil"/>
              <w:left w:val="single" w:color="auto" w:sz="4" w:space="0"/>
              <w:bottom w:val="single" w:color="000000" w:sz="8" w:space="0"/>
              <w:right w:val="single" w:color="auto" w:sz="4" w:space="0"/>
            </w:tcBorders>
            <w:shd w:val="clear" w:color="auto" w:fill="C6D9F1"/>
            <w:vAlign w:val="center"/>
          </w:tcPr>
          <w:p>
            <w:pPr>
              <w:rPr>
                <w:rFonts w:hint="eastAsia" w:ascii="宋体" w:hAnsi="宋体" w:eastAsia="宋体" w:cs="宋体"/>
                <w:sz w:val="24"/>
                <w:szCs w:val="24"/>
              </w:rPr>
            </w:pPr>
            <w:r>
              <w:rPr>
                <w:rFonts w:hint="eastAsia" w:ascii="宋体" w:hAnsi="宋体" w:eastAsia="宋体" w:cs="宋体"/>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000000" w:sz="8"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信息内容</w:t>
            </w:r>
          </w:p>
        </w:tc>
        <w:tc>
          <w:tcPr>
            <w:tcW w:w="7305" w:type="dxa"/>
            <w:gridSpan w:val="3"/>
            <w:tcBorders>
              <w:top w:val="nil"/>
              <w:left w:val="nil"/>
              <w:bottom w:val="single" w:color="000000" w:sz="8"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40" w:hRule="atLeast"/>
          <w:tblCellSpacing w:w="0" w:type="dxa"/>
          <w:jc w:val="center"/>
        </w:trPr>
        <w:tc>
          <w:tcPr>
            <w:tcW w:w="2435" w:type="dxa"/>
            <w:tcBorders>
              <w:top w:val="nil"/>
              <w:left w:val="single" w:color="auto" w:sz="4" w:space="0"/>
              <w:bottom w:val="single" w:color="auto" w:sz="4" w:space="0"/>
              <w:right w:val="single" w:color="000000" w:sz="8"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行政事业性收费</w:t>
            </w:r>
          </w:p>
        </w:tc>
        <w:tc>
          <w:tcPr>
            <w:tcW w:w="7305" w:type="dxa"/>
            <w:gridSpan w:val="3"/>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bl>
    <w:p>
      <w:pPr>
        <w:rPr>
          <w:rFonts w:hint="eastAsia" w:ascii="宋体" w:hAnsi="宋体" w:eastAsia="宋体" w:cs="宋体"/>
          <w:sz w:val="24"/>
          <w:szCs w:val="24"/>
        </w:rPr>
      </w:pPr>
    </w:p>
    <w:p>
      <w:pPr>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收到和处理政府信息公开申请情况</w:t>
      </w:r>
    </w:p>
    <w:p>
      <w:pPr>
        <w:rPr>
          <w:rFonts w:hint="eastAsia" w:ascii="宋体" w:hAnsi="宋体" w:eastAsia="宋体" w:cs="宋体"/>
          <w:sz w:val="24"/>
          <w:szCs w:val="24"/>
        </w:rPr>
      </w:pPr>
    </w:p>
    <w:tbl>
      <w:tblPr>
        <w:tblStyle w:val="3"/>
        <w:tblW w:w="0" w:type="auto"/>
        <w:jc w:val="center"/>
        <w:tblCellSpacing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shd w:val="clear" w:color="auto" w:fill="auto"/>
        <w:tblLayout w:type="autofit"/>
        <w:tblCellMar>
          <w:top w:w="0" w:type="dxa"/>
          <w:left w:w="57" w:type="dxa"/>
          <w:bottom w:w="0" w:type="dxa"/>
          <w:right w:w="57" w:type="dxa"/>
        </w:tblCellMar>
      </w:tblPr>
      <w:tblGrid>
        <w:gridCol w:w="719"/>
        <w:gridCol w:w="917"/>
        <w:gridCol w:w="2412"/>
        <w:gridCol w:w="630"/>
        <w:gridCol w:w="664"/>
        <w:gridCol w:w="664"/>
        <w:gridCol w:w="630"/>
        <w:gridCol w:w="630"/>
        <w:gridCol w:w="630"/>
        <w:gridCol w:w="595"/>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shd w:val="clear" w:color="auto" w:fill="auto"/>
          <w:tblCellMar>
            <w:top w:w="0" w:type="dxa"/>
            <w:left w:w="57" w:type="dxa"/>
            <w:bottom w:w="0" w:type="dxa"/>
            <w:right w:w="57" w:type="dxa"/>
          </w:tblCellMar>
        </w:tblPrEx>
        <w:trPr>
          <w:tblCellSpacing w:w="0" w:type="dxa"/>
          <w:jc w:val="center"/>
        </w:trPr>
        <w:tc>
          <w:tcPr>
            <w:tcW w:w="4903" w:type="dxa"/>
            <w:gridSpan w:val="3"/>
            <w:vMerge w:val="restart"/>
            <w:tcBorders>
              <w:bottom w:val="single" w:color="000000" w:sz="6" w:space="0"/>
              <w:right w:val="single" w:color="000000" w:sz="6" w:space="0"/>
            </w:tcBorders>
            <w:shd w:val="clear" w:color="auto" w:fill="auto"/>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rPr>
              <w:t>（本列数据的勾稽关系为：第一项加第二项之和，等于第三项加第四项之和）</w:t>
            </w:r>
          </w:p>
        </w:tc>
        <w:tc>
          <w:tcPr>
            <w:tcW w:w="4845" w:type="dxa"/>
            <w:gridSpan w:val="7"/>
            <w:tcBorders>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293" w:hRule="atLeast"/>
          <w:tblCellSpacing w:w="0" w:type="dxa"/>
          <w:jc w:val="center"/>
        </w:trPr>
        <w:tc>
          <w:tcPr>
            <w:tcW w:w="4903" w:type="dxa"/>
            <w:gridSpan w:val="3"/>
            <w:vMerge w:val="continue"/>
            <w:tcBorders>
              <w:top w:val="nil"/>
              <w:bottom w:val="single" w:color="000000" w:sz="6" w:space="0"/>
              <w:right w:val="single" w:color="000000" w:sz="6"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6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自然人</w:t>
            </w:r>
          </w:p>
        </w:tc>
        <w:tc>
          <w:tcPr>
            <w:tcW w:w="3523"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法人或其他组织</w:t>
            </w:r>
          </w:p>
        </w:tc>
        <w:tc>
          <w:tcPr>
            <w:tcW w:w="637" w:type="dxa"/>
            <w:vMerge w:val="restart"/>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总计</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4903" w:type="dxa"/>
            <w:gridSpan w:val="3"/>
            <w:vMerge w:val="continue"/>
            <w:tcBorders>
              <w:top w:val="nil"/>
              <w:bottom w:val="single" w:color="000000" w:sz="6" w:space="0"/>
              <w:right w:val="single" w:color="000000" w:sz="6"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6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商业</w:t>
            </w:r>
          </w:p>
          <w:p>
            <w:pPr>
              <w:rPr>
                <w:rFonts w:hint="eastAsia" w:ascii="宋体" w:hAnsi="宋体" w:eastAsia="宋体" w:cs="宋体"/>
                <w:sz w:val="24"/>
                <w:szCs w:val="24"/>
              </w:rPr>
            </w:pPr>
            <w:r>
              <w:rPr>
                <w:rFonts w:hint="eastAsia" w:ascii="宋体" w:hAnsi="宋体" w:eastAsia="宋体" w:cs="宋体"/>
                <w:sz w:val="24"/>
                <w:szCs w:val="24"/>
              </w:rPr>
              <w:t>企业</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科研</w:t>
            </w:r>
          </w:p>
          <w:p>
            <w:pPr>
              <w:rPr>
                <w:rFonts w:hint="eastAsia" w:ascii="宋体" w:hAnsi="宋体" w:eastAsia="宋体" w:cs="宋体"/>
                <w:sz w:val="24"/>
                <w:szCs w:val="24"/>
              </w:rPr>
            </w:pPr>
            <w:r>
              <w:rPr>
                <w:rFonts w:hint="eastAsia" w:ascii="宋体" w:hAnsi="宋体" w:eastAsia="宋体" w:cs="宋体"/>
                <w:sz w:val="24"/>
                <w:szCs w:val="24"/>
              </w:rPr>
              <w:t>机构</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社会公益组织</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法律服务机构</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其他</w:t>
            </w:r>
          </w:p>
        </w:tc>
        <w:tc>
          <w:tcPr>
            <w:tcW w:w="637" w:type="dxa"/>
            <w:vMerge w:val="continue"/>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4903" w:type="dxa"/>
            <w:gridSpan w:val="3"/>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一、本年新收政府信息公开申请数量</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0 </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4903" w:type="dxa"/>
            <w:gridSpan w:val="3"/>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二、上年结转政府信息公开申请数量</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restart"/>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三、本年度办理结果</w:t>
            </w:r>
          </w:p>
        </w:tc>
        <w:tc>
          <w:tcPr>
            <w:tcW w:w="413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（一）予以公开</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413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（二）部分公开（区分处理的，只计这一情形，不计其他情形）</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293" w:hRule="atLeast"/>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（三）不予公开</w:t>
            </w: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1.属于国家秘密</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2.其他法律行政法规禁止公开</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3.危及“三安全一稳定”</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4.保护第三方合法权益</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5.属于三类内部事务信息</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6.属于四类过程性信息</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7.属于行政执法案卷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8.属于行政查询事项</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293" w:hRule="atLeast"/>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（四）无法提供</w:t>
            </w: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1.本机关不掌握相关政府信息</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2.没有现成信息需要另行制作</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3.补正后申请内容仍不明确</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293" w:hRule="atLeast"/>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（五）不予处理</w:t>
            </w: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1.信访举报投诉类申请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2.重复申请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3.要求提供公开出版物</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4.无正当理由大量反复申请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779" w:hRule="atLeast"/>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5.要求行政机关确认或重新出具已获取信息</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rHeight w:val="293" w:hRule="atLeast"/>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（六）其他处理</w:t>
            </w: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1.申请人无正当理由逾期不补正、行政机关不再处理其政府信息公开申请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2.申请人逾期未按收费通知要求缴纳费用、行政机关不再处理其政府信息公开申请</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94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3197"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3.其他</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765" w:type="dxa"/>
            <w:vMerge w:val="continue"/>
            <w:tcBorders>
              <w:top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413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（七）总计</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bottom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57" w:type="dxa"/>
            <w:bottom w:w="0" w:type="dxa"/>
            <w:right w:w="57" w:type="dxa"/>
          </w:tblCellMar>
        </w:tblPrEx>
        <w:trPr>
          <w:tblCellSpacing w:w="0" w:type="dxa"/>
          <w:jc w:val="center"/>
        </w:trPr>
        <w:tc>
          <w:tcPr>
            <w:tcW w:w="4903" w:type="dxa"/>
            <w:gridSpan w:val="3"/>
            <w:tcBorders>
              <w:top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四、结转下年度继续办理</w:t>
            </w:r>
          </w:p>
        </w:tc>
        <w:tc>
          <w:tcPr>
            <w:tcW w:w="685"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0 </w:t>
            </w:r>
          </w:p>
        </w:tc>
        <w:tc>
          <w:tcPr>
            <w:tcW w:w="734"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734"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85" w:type="dxa"/>
            <w:tcBorders>
              <w:top w:val="single" w:color="000000" w:sz="6" w:space="0"/>
              <w:left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37" w:type="dxa"/>
            <w:tcBorders>
              <w:top w:val="single" w:color="000000" w:sz="6" w:space="0"/>
              <w:lef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bl>
    <w:p>
      <w:pPr>
        <w:rPr>
          <w:rFonts w:hint="eastAsia" w:ascii="宋体" w:hAnsi="宋体" w:eastAsia="宋体" w:cs="宋体"/>
          <w:sz w:val="24"/>
          <w:szCs w:val="24"/>
        </w:rPr>
      </w:pPr>
    </w:p>
    <w:p>
      <w:pPr>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p>
      <w:pPr>
        <w:rPr>
          <w:rFonts w:hint="eastAsia" w:ascii="宋体" w:hAnsi="宋体" w:eastAsia="宋体" w:cs="宋体"/>
          <w:sz w:val="24"/>
          <w:szCs w:val="24"/>
        </w:rPr>
      </w:pPr>
    </w:p>
    <w:tbl>
      <w:tblPr>
        <w:tblStyle w:val="3"/>
        <w:tblW w:w="0" w:type="auto"/>
        <w:jc w:val="center"/>
        <w:tblCellSpacing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495"/>
        <w:gridCol w:w="599"/>
        <w:gridCol w:w="599"/>
        <w:gridCol w:w="599"/>
        <w:gridCol w:w="511"/>
        <w:gridCol w:w="600"/>
        <w:gridCol w:w="600"/>
        <w:gridCol w:w="600"/>
        <w:gridCol w:w="600"/>
        <w:gridCol w:w="511"/>
        <w:gridCol w:w="600"/>
        <w:gridCol w:w="600"/>
        <w:gridCol w:w="600"/>
        <w:gridCol w:w="600"/>
        <w:gridCol w:w="408"/>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22" w:hRule="atLeast"/>
          <w:tblCellSpacing w:w="0" w:type="dxa"/>
          <w:jc w:val="center"/>
        </w:trPr>
        <w:tc>
          <w:tcPr>
            <w:tcW w:w="2803" w:type="dxa"/>
            <w:gridSpan w:val="5"/>
            <w:tcBorders>
              <w:top w:val="single" w:color="auto" w:sz="4" w:space="0"/>
              <w:left w:val="single" w:color="auto" w:sz="4"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行政复议</w:t>
            </w:r>
          </w:p>
        </w:tc>
        <w:tc>
          <w:tcPr>
            <w:tcW w:w="5719" w:type="dxa"/>
            <w:gridSpan w:val="10"/>
            <w:tcBorders>
              <w:top w:val="single" w:color="auto" w:sz="4" w:space="0"/>
              <w:left w:val="single" w:color="000000" w:sz="6" w:space="0"/>
              <w:bottom w:val="single" w:color="000000" w:sz="6"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行政诉讼</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blCellSpacing w:w="0" w:type="dxa"/>
          <w:jc w:val="center"/>
        </w:trPr>
        <w:tc>
          <w:tcPr>
            <w:tcW w:w="495" w:type="dxa"/>
            <w:vMerge w:val="restart"/>
            <w:tcBorders>
              <w:top w:val="single" w:color="000000" w:sz="6" w:space="0"/>
              <w:left w:val="single" w:color="auto" w:sz="4"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结果维持</w:t>
            </w:r>
          </w:p>
        </w:tc>
        <w:tc>
          <w:tcPr>
            <w:tcW w:w="59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w:t>
            </w:r>
            <w:r>
              <w:rPr>
                <w:rFonts w:hint="eastAsia" w:ascii="宋体" w:hAnsi="宋体" w:eastAsia="宋体" w:cs="宋体"/>
                <w:sz w:val="24"/>
                <w:szCs w:val="24"/>
              </w:rPr>
              <w:br w:type="textWrapping"/>
            </w:r>
            <w:r>
              <w:rPr>
                <w:rFonts w:hint="eastAsia" w:ascii="宋体" w:hAnsi="宋体" w:eastAsia="宋体" w:cs="宋体"/>
                <w:sz w:val="24"/>
                <w:szCs w:val="24"/>
              </w:rPr>
              <w:t> 纠正</w:t>
            </w:r>
          </w:p>
        </w:tc>
        <w:tc>
          <w:tcPr>
            <w:tcW w:w="59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其他</w:t>
            </w:r>
            <w:r>
              <w:rPr>
                <w:rFonts w:hint="eastAsia" w:ascii="宋体" w:hAnsi="宋体" w:eastAsia="宋体" w:cs="宋体"/>
                <w:sz w:val="24"/>
                <w:szCs w:val="24"/>
              </w:rPr>
              <w:br w:type="textWrapping"/>
            </w:r>
            <w:r>
              <w:rPr>
                <w:rFonts w:hint="eastAsia" w:ascii="宋体" w:hAnsi="宋体" w:eastAsia="宋体" w:cs="宋体"/>
                <w:sz w:val="24"/>
                <w:szCs w:val="24"/>
              </w:rPr>
              <w:t> 结果</w:t>
            </w:r>
          </w:p>
        </w:tc>
        <w:tc>
          <w:tcPr>
            <w:tcW w:w="59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尚未</w:t>
            </w:r>
            <w:r>
              <w:rPr>
                <w:rFonts w:hint="eastAsia" w:ascii="宋体" w:hAnsi="宋体" w:eastAsia="宋体" w:cs="宋体"/>
                <w:sz w:val="24"/>
                <w:szCs w:val="24"/>
              </w:rPr>
              <w:br w:type="textWrapping"/>
            </w:r>
            <w:r>
              <w:rPr>
                <w:rFonts w:hint="eastAsia" w:ascii="宋体" w:hAnsi="宋体" w:eastAsia="宋体" w:cs="宋体"/>
                <w:sz w:val="24"/>
                <w:szCs w:val="24"/>
              </w:rPr>
              <w:t> 审结</w:t>
            </w:r>
          </w:p>
        </w:tc>
        <w:tc>
          <w:tcPr>
            <w:tcW w:w="51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总计</w:t>
            </w:r>
          </w:p>
        </w:tc>
        <w:tc>
          <w:tcPr>
            <w:tcW w:w="2911"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未经复议直接起诉</w:t>
            </w:r>
          </w:p>
        </w:tc>
        <w:tc>
          <w:tcPr>
            <w:tcW w:w="2808" w:type="dxa"/>
            <w:gridSpan w:val="5"/>
            <w:tcBorders>
              <w:top w:val="single" w:color="000000" w:sz="6" w:space="0"/>
              <w:left w:val="single" w:color="000000" w:sz="6" w:space="0"/>
              <w:bottom w:val="single" w:color="000000" w:sz="6"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blCellSpacing w:w="0" w:type="dxa"/>
          <w:jc w:val="center"/>
        </w:trPr>
        <w:tc>
          <w:tcPr>
            <w:tcW w:w="495" w:type="dxa"/>
            <w:vMerge w:val="continue"/>
            <w:tcBorders>
              <w:top w:val="single" w:color="000000" w:sz="6" w:space="0"/>
              <w:left w:val="single" w:color="auto" w:sz="4"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59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59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59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51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w:t>
            </w:r>
            <w:r>
              <w:rPr>
                <w:rFonts w:hint="eastAsia" w:ascii="宋体" w:hAnsi="宋体" w:eastAsia="宋体" w:cs="宋体"/>
                <w:sz w:val="24"/>
                <w:szCs w:val="24"/>
              </w:rPr>
              <w:br w:type="textWrapping"/>
            </w:r>
            <w:r>
              <w:rPr>
                <w:rFonts w:hint="eastAsia" w:ascii="宋体" w:hAnsi="宋体" w:eastAsia="宋体" w:cs="宋体"/>
                <w:sz w:val="24"/>
                <w:szCs w:val="24"/>
              </w:rPr>
              <w:t> 维持</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w:t>
            </w:r>
            <w:r>
              <w:rPr>
                <w:rFonts w:hint="eastAsia" w:ascii="宋体" w:hAnsi="宋体" w:eastAsia="宋体" w:cs="宋体"/>
                <w:sz w:val="24"/>
                <w:szCs w:val="24"/>
              </w:rPr>
              <w:br w:type="textWrapping"/>
            </w:r>
            <w:r>
              <w:rPr>
                <w:rFonts w:hint="eastAsia" w:ascii="宋体" w:hAnsi="宋体" w:eastAsia="宋体" w:cs="宋体"/>
                <w:sz w:val="24"/>
                <w:szCs w:val="24"/>
              </w:rPr>
              <w:t> 纠正</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其他</w:t>
            </w:r>
            <w:r>
              <w:rPr>
                <w:rFonts w:hint="eastAsia" w:ascii="宋体" w:hAnsi="宋体" w:eastAsia="宋体" w:cs="宋体"/>
                <w:sz w:val="24"/>
                <w:szCs w:val="24"/>
              </w:rPr>
              <w:br w:type="textWrapping"/>
            </w:r>
            <w:r>
              <w:rPr>
                <w:rFonts w:hint="eastAsia" w:ascii="宋体" w:hAnsi="宋体" w:eastAsia="宋体" w:cs="宋体"/>
                <w:sz w:val="24"/>
                <w:szCs w:val="24"/>
              </w:rPr>
              <w:t> 结果</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尚未</w:t>
            </w:r>
            <w:r>
              <w:rPr>
                <w:rFonts w:hint="eastAsia" w:ascii="宋体" w:hAnsi="宋体" w:eastAsia="宋体" w:cs="宋体"/>
                <w:sz w:val="24"/>
                <w:szCs w:val="24"/>
              </w:rPr>
              <w:br w:type="textWrapping"/>
            </w:r>
            <w:r>
              <w:rPr>
                <w:rFonts w:hint="eastAsia" w:ascii="宋体" w:hAnsi="宋体" w:eastAsia="宋体" w:cs="宋体"/>
                <w:sz w:val="24"/>
                <w:szCs w:val="24"/>
              </w:rPr>
              <w:t> 审结</w:t>
            </w:r>
          </w:p>
        </w:tc>
        <w:tc>
          <w:tcPr>
            <w:tcW w:w="511"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总计</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w:t>
            </w:r>
            <w:r>
              <w:rPr>
                <w:rFonts w:hint="eastAsia" w:ascii="宋体" w:hAnsi="宋体" w:eastAsia="宋体" w:cs="宋体"/>
                <w:sz w:val="24"/>
                <w:szCs w:val="24"/>
              </w:rPr>
              <w:br w:type="textWrapping"/>
            </w:r>
            <w:r>
              <w:rPr>
                <w:rFonts w:hint="eastAsia" w:ascii="宋体" w:hAnsi="宋体" w:eastAsia="宋体" w:cs="宋体"/>
                <w:sz w:val="24"/>
                <w:szCs w:val="24"/>
              </w:rPr>
              <w:t> 维持</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结果</w:t>
            </w:r>
            <w:r>
              <w:rPr>
                <w:rFonts w:hint="eastAsia" w:ascii="宋体" w:hAnsi="宋体" w:eastAsia="宋体" w:cs="宋体"/>
                <w:sz w:val="24"/>
                <w:szCs w:val="24"/>
              </w:rPr>
              <w:br w:type="textWrapping"/>
            </w:r>
            <w:r>
              <w:rPr>
                <w:rFonts w:hint="eastAsia" w:ascii="宋体" w:hAnsi="宋体" w:eastAsia="宋体" w:cs="宋体"/>
                <w:sz w:val="24"/>
                <w:szCs w:val="24"/>
              </w:rPr>
              <w:t> 纠正</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其他</w:t>
            </w:r>
            <w:r>
              <w:rPr>
                <w:rFonts w:hint="eastAsia" w:ascii="宋体" w:hAnsi="宋体" w:eastAsia="宋体" w:cs="宋体"/>
                <w:sz w:val="24"/>
                <w:szCs w:val="24"/>
              </w:rPr>
              <w:br w:type="textWrapping"/>
            </w:r>
            <w:r>
              <w:rPr>
                <w:rFonts w:hint="eastAsia" w:ascii="宋体" w:hAnsi="宋体" w:eastAsia="宋体" w:cs="宋体"/>
                <w:sz w:val="24"/>
                <w:szCs w:val="24"/>
              </w:rPr>
              <w:t> 结果</w:t>
            </w:r>
          </w:p>
        </w:tc>
        <w:tc>
          <w:tcPr>
            <w:tcW w:w="600" w:type="dxa"/>
            <w:tcBorders>
              <w:top w:val="single" w:color="000000" w:sz="6" w:space="0"/>
              <w:left w:val="single" w:color="000000" w:sz="6" w:space="0"/>
              <w:bottom w:val="single" w:color="000000" w:sz="6"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尚未</w:t>
            </w:r>
            <w:r>
              <w:rPr>
                <w:rFonts w:hint="eastAsia" w:ascii="宋体" w:hAnsi="宋体" w:eastAsia="宋体" w:cs="宋体"/>
                <w:sz w:val="24"/>
                <w:szCs w:val="24"/>
              </w:rPr>
              <w:br w:type="textWrapping"/>
            </w:r>
            <w:r>
              <w:rPr>
                <w:rFonts w:hint="eastAsia" w:ascii="宋体" w:hAnsi="宋体" w:eastAsia="宋体" w:cs="宋体"/>
                <w:sz w:val="24"/>
                <w:szCs w:val="24"/>
              </w:rPr>
              <w:t> 审结</w:t>
            </w:r>
          </w:p>
        </w:tc>
        <w:tc>
          <w:tcPr>
            <w:tcW w:w="408" w:type="dxa"/>
            <w:tcBorders>
              <w:top w:val="single" w:color="000000" w:sz="6" w:space="0"/>
              <w:left w:val="single" w:color="000000" w:sz="6" w:space="0"/>
              <w:bottom w:val="single" w:color="000000" w:sz="6"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总计</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72" w:hRule="atLeast"/>
          <w:tblCellSpacing w:w="0" w:type="dxa"/>
          <w:jc w:val="center"/>
        </w:trPr>
        <w:tc>
          <w:tcPr>
            <w:tcW w:w="495" w:type="dxa"/>
            <w:tcBorders>
              <w:top w:val="single" w:color="000000" w:sz="6" w:space="0"/>
              <w:left w:val="single" w:color="auto" w:sz="4"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599"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599"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599"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511"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511"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600" w:type="dxa"/>
            <w:tcBorders>
              <w:top w:val="single" w:color="000000" w:sz="6" w:space="0"/>
              <w:left w:val="single" w:color="000000" w:sz="6" w:space="0"/>
              <w:bottom w:val="single" w:color="auto" w:sz="4" w:space="0"/>
              <w:right w:val="single" w:color="000000" w:sz="6"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 0</w:t>
            </w:r>
          </w:p>
        </w:tc>
        <w:tc>
          <w:tcPr>
            <w:tcW w:w="408" w:type="dxa"/>
            <w:tcBorders>
              <w:top w:val="single" w:color="000000" w:sz="6" w:space="0"/>
              <w:left w:val="single" w:color="000000" w:sz="6" w:space="0"/>
              <w:bottom w:val="single" w:color="auto" w:sz="4" w:space="0"/>
              <w:right w:val="single" w:color="auto" w:sz="4" w:space="0"/>
            </w:tcBorders>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目前，我局政务公开工作还存在一些短板和不足，主要表现在：一是政府信息公开的动态调整不够及时；二是信息公开内容不够精准、处理手段不够规范。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大政府信息公开的力度，加强日常监测，主动发现问题，督促责任部门按要求及时准确公开与纳税人缴费人权利义务相关的信息。二是强化政府信息公开的精度，实现政务信息公开工作时效性、广泛性、服务性全链条，提高政务公开工作的质量和效率，严加审核，确保政府信息的每一次公开都严格按照上级部门要求，做到严谨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认真贯彻执行国务院办公厅《政府信息公开信息处理费管理办法》和《关于政府信息公开处理费管理有关事项的通知》。2022年隆尧县税务局未收取信息处理费。</w:t>
      </w:r>
    </w:p>
    <w:p>
      <w:r>
        <w:t> </w:t>
      </w:r>
    </w:p>
    <w:p>
      <w:r>
        <w:t> </w:t>
      </w:r>
    </w:p>
    <w:p>
      <w:r>
        <w:t> </w:t>
      </w:r>
    </w:p>
    <w:p>
      <w: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5907DC"/>
    <w:rsid w:val="0D871908"/>
    <w:rsid w:val="55590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2026-07-17T06:44:00Z</dcterms:created>
  <dc:creator>Administrator</dc:creator>
  <cp:lastModifiedBy>Administrator</cp:lastModifiedBy>
  <dcterms:modified xsi:type="dcterms:W3CDTF">2026-07-17T06:55:29Z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