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pStyle w:val="658"/>
        <w:widowControl w:val="true"/>
        <w:pBdr/>
        <w:spacing w:line="400" w:lineRule="exact"/>
        <w:ind/>
        <w:jc w:val="left"/>
        <w:rPr>
          <w:rFonts w:ascii="仿宋" w:hAnsi="仿宋" w:eastAsia="仿宋" w:cs="仿宋"/>
          <w:sz w:val="32"/>
          <w:szCs w:val="32"/>
          <w:shd w:val="clear" w:color="auto" w:fill="ffffff"/>
          <w:lang w:bidi="ar"/>
        </w:rPr>
      </w:pPr>
      <w:r>
        <w:rPr>
          <w:rFonts w:ascii="仿宋" w:hAnsi="仿宋" w:eastAsia="仿宋" w:cs="仿宋"/>
          <w:sz w:val="32"/>
          <w:szCs w:val="32"/>
          <w:shd w:val="clear" w:color="auto" w:fill="ffffff"/>
          <w:lang w:bidi="ar"/>
        </w:rPr>
      </w:r>
      <w:r>
        <w:rPr>
          <w:rFonts w:ascii="仿宋" w:hAnsi="仿宋" w:eastAsia="仿宋" w:cs="仿宋"/>
          <w:sz w:val="32"/>
          <w:szCs w:val="32"/>
          <w:shd w:val="clear" w:color="auto" w:fill="ffffff"/>
          <w:lang w:bidi="ar"/>
        </w:rPr>
      </w:r>
    </w:p>
    <w:p>
      <w:pPr>
        <w:pStyle w:val="658"/>
        <w:widowControl w:val="true"/>
        <w:pBdr/>
        <w:spacing w:line="480" w:lineRule="exact"/>
        <w:ind/>
        <w:jc w:val="left"/>
        <w:rPr>
          <w:rFonts w:ascii="宋体" w:hAnsi="宋体" w:eastAsia="宋体" w:cs="宋体"/>
          <w:b/>
          <w:color w:val="000000"/>
          <w:sz w:val="44"/>
          <w:szCs w:val="44"/>
          <w:shd w:val="clear" w:color="auto" w:fill="ffffff"/>
          <w:lang w:bidi="ar"/>
        </w:rPr>
      </w:pPr>
      <w:r>
        <w:rPr>
          <w:rFonts w:hint="eastAsia" w:ascii="仿宋" w:hAnsi="仿宋" w:eastAsia="仿宋" w:cs="仿宋"/>
          <w:sz w:val="32"/>
          <w:szCs w:val="32"/>
          <w:shd w:val="clear" w:color="auto" w:fill="ffffff"/>
          <w:lang w:bidi="ar"/>
        </w:rPr>
        <w:t xml:space="preserve">附件7：</w:t>
      </w:r>
      <w:r>
        <w:rPr>
          <w:rFonts w:ascii="宋体" w:hAnsi="宋体" w:eastAsia="宋体" w:cs="宋体"/>
          <w:b/>
          <w:color w:val="000000"/>
          <w:sz w:val="44"/>
          <w:szCs w:val="44"/>
          <w:shd w:val="clear" w:color="auto" w:fill="ffffff"/>
          <w:lang w:bidi="ar"/>
        </w:rPr>
      </w:r>
      <w:r>
        <w:rPr>
          <w:rFonts w:ascii="宋体" w:hAnsi="宋体" w:eastAsia="宋体" w:cs="宋体"/>
          <w:b/>
          <w:color w:val="000000"/>
          <w:sz w:val="44"/>
          <w:szCs w:val="44"/>
          <w:shd w:val="clear" w:color="auto" w:fill="ffffff"/>
          <w:lang w:bidi="ar"/>
        </w:rPr>
      </w:r>
    </w:p>
    <w:p>
      <w:pPr>
        <w:pStyle w:val="658"/>
        <w:pBdr/>
        <w:spacing w:line="480" w:lineRule="exact"/>
        <w:ind/>
        <w:jc w:val="center"/>
        <w:rPr>
          <w:rFonts w:ascii="仿宋" w:hAnsi="仿宋" w:eastAsia="仿宋" w:cs="仿宋"/>
          <w:sz w:val="32"/>
          <w:szCs w:val="32"/>
        </w:rPr>
      </w:pPr>
      <w:r>
        <w:rPr>
          <w:rFonts w:hint="eastAsia" w:ascii="宋体" w:hAnsi="宋体"/>
          <w:b/>
          <w:sz w:val="44"/>
          <w:szCs w:val="44"/>
        </w:rPr>
        <w:t xml:space="preserve">部门整体支出绩效评价</w:t>
      </w:r>
      <w:r>
        <w:rPr>
          <w:rFonts w:hint="eastAsia" w:ascii="宋体" w:hAnsi="宋体" w:eastAsia="宋体" w:cs="宋体"/>
          <w:b/>
          <w:color w:val="000000"/>
          <w:sz w:val="44"/>
          <w:szCs w:val="44"/>
          <w:shd w:val="clear" w:color="auto" w:fill="ffffff"/>
          <w:lang w:bidi="ar"/>
        </w:rPr>
        <w:t xml:space="preserve">指标体系评分表</w:t>
      </w:r>
      <w:r>
        <w:rPr>
          <w:rFonts w:ascii="仿宋" w:hAnsi="仿宋" w:eastAsia="仿宋" w:cs="仿宋"/>
          <w:sz w:val="32"/>
          <w:szCs w:val="32"/>
        </w:rPr>
      </w:r>
      <w:r>
        <w:rPr>
          <w:rFonts w:ascii="仿宋" w:hAnsi="仿宋" w:eastAsia="仿宋" w:cs="仿宋"/>
          <w:sz w:val="32"/>
          <w:szCs w:val="32"/>
        </w:rPr>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779"/>
        <w:gridCol w:w="743"/>
        <w:gridCol w:w="1275"/>
        <w:gridCol w:w="3436"/>
        <w:gridCol w:w="2373"/>
        <w:gridCol w:w="764"/>
      </w:tblGrid>
      <w:tr>
        <w:trPr>
          <w:trHeight w:val="339"/>
        </w:trPr>
        <w:tc>
          <w:tcPr>
            <w:tcBorders/>
            <w:tcW w:w="779" w:type="dxa"/>
            <w:vAlign w:val="center"/>
            <w:vMerge w:val="restart"/>
            <w:textDirection w:val="lrTb"/>
            <w:noWrap w:val="false"/>
          </w:tcPr>
          <w:p>
            <w:pPr>
              <w:pStyle w:val="658"/>
              <w:widowControl w:val="true"/>
              <w:pBdr/>
              <w:spacing w:line="240" w:lineRule="exact"/>
              <w:ind/>
              <w:jc w:val="center"/>
              <w:rPr>
                <w:b/>
              </w:rPr>
            </w:pPr>
            <w:r>
              <w:rPr>
                <w:rFonts w:ascii="仿宋_GB2312" w:hAnsi="新宋体" w:eastAsia="仿宋_GB2312" w:cs="仿宋_GB2312"/>
                <w:b/>
                <w:sz w:val="24"/>
                <w:szCs w:val="24"/>
                <w:lang w:bidi="ar"/>
              </w:rPr>
              <w:t xml:space="preserve">一级指标</w:t>
            </w:r>
            <w:r>
              <w:rPr>
                <w:b/>
              </w:rPr>
            </w:r>
            <w:r>
              <w:rPr>
                <w:b/>
              </w:rPr>
            </w:r>
          </w:p>
        </w:tc>
        <w:tc>
          <w:tcPr>
            <w:tcBorders/>
            <w:tcW w:w="743" w:type="dxa"/>
            <w:vAlign w:val="center"/>
            <w:vMerge w:val="restart"/>
            <w:textDirection w:val="lrTb"/>
            <w:noWrap w:val="false"/>
          </w:tcPr>
          <w:p>
            <w:pPr>
              <w:pStyle w:val="658"/>
              <w:widowControl w:val="true"/>
              <w:pBdr/>
              <w:spacing w:line="240" w:lineRule="exact"/>
              <w:ind/>
              <w:jc w:val="center"/>
              <w:rPr>
                <w:b/>
              </w:rPr>
            </w:pPr>
            <w:r>
              <w:rPr>
                <w:rFonts w:ascii="仿宋_GB2312" w:hAnsi="新宋体" w:eastAsia="仿宋_GB2312" w:cs="仿宋_GB2312"/>
                <w:b/>
                <w:sz w:val="24"/>
                <w:szCs w:val="24"/>
                <w:lang w:bidi="ar"/>
              </w:rPr>
              <w:t xml:space="preserve">二级指标</w:t>
            </w:r>
            <w:r>
              <w:rPr>
                <w:b/>
              </w:rPr>
            </w:r>
            <w:r>
              <w:rPr>
                <w:b/>
              </w:rPr>
            </w:r>
          </w:p>
        </w:tc>
        <w:tc>
          <w:tcPr>
            <w:gridSpan w:val="2"/>
            <w:tcBorders/>
            <w:tcW w:w="4711" w:type="dxa"/>
            <w:vAlign w:val="center"/>
            <w:textDirection w:val="lrTb"/>
            <w:noWrap w:val="false"/>
          </w:tcPr>
          <w:p>
            <w:pPr>
              <w:pStyle w:val="658"/>
              <w:widowControl w:val="true"/>
              <w:pBdr/>
              <w:spacing w:line="240" w:lineRule="exact"/>
              <w:ind/>
              <w:jc w:val="center"/>
              <w:rPr>
                <w:b/>
              </w:rPr>
            </w:pPr>
            <w:r>
              <w:rPr>
                <w:rFonts w:ascii="仿宋_GB2312" w:hAnsi="新宋体" w:eastAsia="仿宋_GB2312" w:cs="仿宋_GB2312"/>
                <w:b/>
                <w:sz w:val="24"/>
                <w:szCs w:val="24"/>
                <w:lang w:bidi="ar"/>
              </w:rPr>
              <w:t xml:space="preserve">三级指标</w:t>
            </w:r>
            <w:r>
              <w:rPr>
                <w:b/>
              </w:rPr>
            </w:r>
            <w:r>
              <w:rPr>
                <w:b/>
              </w:rPr>
            </w:r>
          </w:p>
        </w:tc>
        <w:tc>
          <w:tcPr>
            <w:tcBorders/>
            <w:tcW w:w="2373" w:type="dxa"/>
            <w:vAlign w:val="center"/>
            <w:vMerge w:val="restart"/>
            <w:textDirection w:val="lrTb"/>
            <w:noWrap w:val="false"/>
          </w:tcPr>
          <w:p>
            <w:pPr>
              <w:pStyle w:val="658"/>
              <w:widowControl w:val="true"/>
              <w:pBdr/>
              <w:spacing w:line="240" w:lineRule="exact"/>
              <w:ind/>
              <w:jc w:val="center"/>
              <w:rPr>
                <w:b/>
              </w:rPr>
            </w:pPr>
            <w:r>
              <w:rPr>
                <w:rFonts w:ascii="仿宋_GB2312" w:hAnsi="新宋体" w:eastAsia="仿宋_GB2312" w:cs="仿宋_GB2312"/>
                <w:b/>
                <w:sz w:val="24"/>
                <w:szCs w:val="24"/>
                <w:lang w:bidi="ar"/>
              </w:rPr>
              <w:t xml:space="preserve">评分标准</w:t>
            </w:r>
            <w:r>
              <w:rPr>
                <w:b/>
              </w:rPr>
            </w:r>
            <w:r>
              <w:rPr>
                <w:b/>
              </w:rPr>
            </w:r>
          </w:p>
        </w:tc>
        <w:tc>
          <w:tcPr>
            <w:tcBorders/>
            <w:tcW w:w="764" w:type="dxa"/>
            <w:vAlign w:val="center"/>
            <w:vMerge w:val="restart"/>
            <w:textDirection w:val="lrTb"/>
            <w:noWrap w:val="false"/>
          </w:tcPr>
          <w:p>
            <w:pPr>
              <w:pStyle w:val="658"/>
              <w:widowControl w:val="true"/>
              <w:pBdr/>
              <w:spacing w:line="240" w:lineRule="exact"/>
              <w:ind/>
              <w:jc w:val="left"/>
              <w:rPr>
                <w:b/>
              </w:rPr>
            </w:pPr>
            <w:r>
              <w:rPr>
                <w:rFonts w:ascii="仿宋_GB2312" w:hAnsi="新宋体" w:eastAsia="仿宋_GB2312" w:cs="仿宋_GB2312"/>
                <w:b/>
                <w:sz w:val="24"/>
                <w:szCs w:val="24"/>
                <w:lang w:bidi="ar"/>
              </w:rPr>
              <w:t xml:space="preserve">得分</w:t>
            </w:r>
            <w:r>
              <w:rPr>
                <w:b/>
              </w:rPr>
            </w:r>
            <w:r>
              <w:rPr>
                <w:b/>
              </w:rPr>
            </w:r>
          </w:p>
        </w:tc>
      </w:tr>
      <w:tr>
        <w:trPr>
          <w:trHeight w:val="434"/>
        </w:trPr>
        <w:tc>
          <w:tcPr>
            <w:tcBorders/>
            <w:tcW w:w="779" w:type="dxa"/>
            <w:vAlign w:val="center"/>
            <w:vMerge w:val="continue"/>
            <w:textDirection w:val="lrTb"/>
            <w:noWrap w:val="false"/>
          </w:tcPr>
          <w:p>
            <w:pPr>
              <w:pStyle w:val="658"/>
              <w:pBdr/>
              <w:spacing/>
              <w:ind/>
              <w:rPr>
                <w:rFonts w:ascii="宋体"/>
                <w:szCs w:val="21"/>
              </w:rPr>
            </w:pPr>
            <w:r>
              <w:rPr>
                <w:rFonts w:ascii="宋体"/>
                <w:szCs w:val="21"/>
              </w:rPr>
            </w:r>
            <w:r>
              <w:rPr>
                <w:rFonts w:ascii="宋体"/>
                <w:szCs w:val="21"/>
              </w:rPr>
            </w:r>
          </w:p>
        </w:tc>
        <w:tc>
          <w:tcPr>
            <w:tcBorders/>
            <w:tcW w:w="743" w:type="dxa"/>
            <w:vAlign w:val="center"/>
            <w:vMerge w:val="continue"/>
            <w:textDirection w:val="lrTb"/>
            <w:noWrap w:val="false"/>
          </w:tcPr>
          <w:p>
            <w:pPr>
              <w:pStyle w:val="658"/>
              <w:pBdr/>
              <w:spacing/>
              <w:ind/>
              <w:rPr>
                <w:rFonts w:ascii="宋体"/>
                <w:szCs w:val="21"/>
              </w:rPr>
            </w:pPr>
            <w:r>
              <w:rPr>
                <w:rFonts w:ascii="宋体"/>
                <w:szCs w:val="21"/>
              </w:rPr>
            </w:r>
            <w:r>
              <w:rPr>
                <w:rFonts w:ascii="宋体"/>
                <w:szCs w:val="21"/>
              </w:rPr>
            </w:r>
          </w:p>
        </w:tc>
        <w:tc>
          <w:tcPr>
            <w:tcBorders/>
            <w:tcW w:w="1275" w:type="dxa"/>
            <w:vAlign w:val="center"/>
            <w:textDirection w:val="lrTb"/>
            <w:noWrap w:val="false"/>
          </w:tcPr>
          <w:p>
            <w:pPr>
              <w:pStyle w:val="658"/>
              <w:widowControl w:val="true"/>
              <w:pBdr/>
              <w:spacing w:line="240" w:lineRule="exact"/>
              <w:ind/>
              <w:jc w:val="center"/>
              <w:rPr>
                <w:b/>
              </w:rPr>
            </w:pPr>
            <w:r>
              <w:rPr>
                <w:rFonts w:ascii="仿宋_GB2312" w:hAnsi="新宋体" w:eastAsia="仿宋_GB2312" w:cs="仿宋_GB2312"/>
                <w:b/>
                <w:sz w:val="24"/>
                <w:szCs w:val="24"/>
                <w:lang w:bidi="ar"/>
              </w:rPr>
              <w:t xml:space="preserve">指标名称</w:t>
            </w:r>
            <w:r>
              <w:rPr>
                <w:b/>
              </w:rPr>
            </w:r>
            <w:r>
              <w:rPr>
                <w:b/>
              </w:rPr>
            </w:r>
          </w:p>
        </w:tc>
        <w:tc>
          <w:tcPr>
            <w:tcBorders/>
            <w:tcW w:w="3436" w:type="dxa"/>
            <w:vAlign w:val="center"/>
            <w:textDirection w:val="lrTb"/>
            <w:noWrap w:val="false"/>
          </w:tcPr>
          <w:p>
            <w:pPr>
              <w:pStyle w:val="658"/>
              <w:widowControl w:val="true"/>
              <w:pBdr/>
              <w:spacing w:line="240" w:lineRule="exact"/>
              <w:ind/>
              <w:jc w:val="center"/>
              <w:rPr>
                <w:b/>
              </w:rPr>
            </w:pPr>
            <w:r>
              <w:rPr>
                <w:rFonts w:ascii="仿宋_GB2312" w:hAnsi="新宋体" w:eastAsia="仿宋_GB2312" w:cs="仿宋_GB2312"/>
                <w:b/>
                <w:sz w:val="24"/>
                <w:szCs w:val="24"/>
                <w:lang w:bidi="ar"/>
              </w:rPr>
              <w:t xml:space="preserve">指标解释说明</w:t>
            </w:r>
            <w:r>
              <w:rPr>
                <w:b/>
              </w:rPr>
            </w:r>
            <w:r>
              <w:rPr>
                <w:b/>
              </w:rPr>
            </w:r>
          </w:p>
        </w:tc>
        <w:tc>
          <w:tcPr>
            <w:tcBorders/>
            <w:tcW w:w="2373" w:type="dxa"/>
            <w:vAlign w:val="center"/>
            <w:vMerge w:val="continue"/>
            <w:textDirection w:val="lrTb"/>
            <w:noWrap w:val="false"/>
          </w:tcPr>
          <w:p>
            <w:pPr>
              <w:pStyle w:val="658"/>
              <w:pBdr/>
              <w:spacing/>
              <w:ind/>
              <w:rPr>
                <w:rFonts w:ascii="宋体"/>
                <w:szCs w:val="21"/>
              </w:rPr>
            </w:pPr>
            <w:r>
              <w:rPr>
                <w:rFonts w:ascii="宋体"/>
                <w:szCs w:val="21"/>
              </w:rPr>
            </w:r>
            <w:r>
              <w:rPr>
                <w:rFonts w:ascii="宋体"/>
                <w:szCs w:val="21"/>
              </w:rPr>
            </w:r>
          </w:p>
        </w:tc>
        <w:tc>
          <w:tcPr>
            <w:tcBorders/>
            <w:tcW w:w="764" w:type="dxa"/>
            <w:vAlign w:val="center"/>
            <w:vMerge w:val="continue"/>
            <w:textDirection w:val="lrTb"/>
            <w:noWrap w:val="false"/>
          </w:tcPr>
          <w:p>
            <w:pPr>
              <w:pStyle w:val="658"/>
              <w:pBdr/>
              <w:spacing/>
              <w:ind/>
              <w:rPr>
                <w:rFonts w:ascii="宋体"/>
                <w:szCs w:val="21"/>
              </w:rPr>
            </w:pPr>
            <w:r>
              <w:rPr>
                <w:rFonts w:ascii="宋体"/>
                <w:szCs w:val="21"/>
              </w:rPr>
            </w:r>
            <w:r>
              <w:rPr>
                <w:rFonts w:ascii="宋体"/>
                <w:szCs w:val="21"/>
              </w:rPr>
            </w:r>
          </w:p>
        </w:tc>
      </w:tr>
      <w:tr>
        <w:trPr>
          <w:trHeight w:val="688"/>
        </w:trPr>
        <w:tc>
          <w:tcPr>
            <w:tcBorders/>
            <w:tcW w:w="779" w:type="dxa"/>
            <w:vAlign w:val="center"/>
            <w:vMerge w:val="restart"/>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投入（10）</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43" w:type="dxa"/>
            <w:vAlign w:val="center"/>
            <w:vMerge w:val="restart"/>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绩效目标设定情况</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color w:val="ff0000"/>
                <w:szCs w:val="21"/>
              </w:rPr>
            </w:pPr>
            <w:r>
              <w:rPr>
                <w:rFonts w:hint="eastAsia" w:ascii="仿宋_GB2312" w:hAnsi="仿宋_GB2312" w:eastAsia="仿宋_GB2312" w:cs="仿宋_GB2312"/>
                <w:szCs w:val="21"/>
                <w:lang w:bidi="ar"/>
              </w:rPr>
              <w:t xml:space="preserve">（5分）</w:t>
            </w:r>
            <w:r>
              <w:rPr>
                <w:rFonts w:hint="eastAsia" w:ascii="仿宋_GB2312" w:hAnsi="仿宋_GB2312" w:eastAsia="仿宋_GB2312" w:cs="仿宋_GB2312"/>
                <w:color w:val="ff0000"/>
                <w:szCs w:val="21"/>
              </w:rPr>
            </w:r>
            <w:r>
              <w:rPr>
                <w:rFonts w:hint="eastAsia" w:ascii="仿宋_GB2312" w:hAnsi="仿宋_GB2312" w:eastAsia="仿宋_GB2312" w:cs="仿宋_GB2312"/>
                <w:color w:val="ff0000"/>
                <w:szCs w:val="21"/>
              </w:rPr>
            </w:r>
          </w:p>
        </w:tc>
        <w:tc>
          <w:tcPr>
            <w:tcBorders/>
            <w:tcW w:w="1275"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职责明确 （1分）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3436"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部门的职责设定是否符合“三定”方案中所赋予的职责，用以反映和评价部门工作的目的性与计划性。</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2373"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符合（1）；</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不符合（0）。</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64" w:type="dxa"/>
            <w:vAlign w:val="center"/>
            <w:textDirection w:val="lrTb"/>
            <w:noWrap w:val="false"/>
          </w:tcPr>
          <w:p>
            <w:pPr>
              <w:pStyle w:val="658"/>
              <w:widowControl w:val="true"/>
              <w:pBdr/>
              <w:spacing w:line="240" w:lineRule="exact"/>
              <w:ind/>
              <w:jc w:val="left"/>
              <w:rPr>
                <w:rFonts w:hint="eastAsia" w:eastAsia="宋体"/>
                <w:szCs w:val="21"/>
                <w:lang w:val="en-US" w:eastAsia="zh-CN"/>
              </w:rPr>
            </w:pPr>
            <w:r>
              <w:rPr>
                <w:rFonts w:hint="eastAsia"/>
                <w:szCs w:val="21"/>
                <w:lang w:val="en-US" w:eastAsia="zh-CN"/>
              </w:rPr>
              <w:t xml:space="preserve">1</w:t>
            </w:r>
            <w:r>
              <w:rPr>
                <w:rFonts w:hint="eastAsia" w:eastAsia="宋体"/>
                <w:szCs w:val="21"/>
                <w:lang w:val="en-US" w:eastAsia="zh-CN"/>
              </w:rPr>
            </w:r>
            <w:r>
              <w:rPr>
                <w:rFonts w:hint="eastAsia" w:eastAsia="宋体"/>
                <w:szCs w:val="21"/>
                <w:lang w:val="en-US" w:eastAsia="zh-CN"/>
              </w:rPr>
            </w:r>
          </w:p>
        </w:tc>
      </w:tr>
      <w:tr>
        <w:trPr>
          <w:trHeight w:val="1634"/>
        </w:trPr>
        <w:tc>
          <w:tcPr>
            <w:tcBorders/>
            <w:tcW w:w="779"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43"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1275"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活动合规性（2分）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3436"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部门的活动是否在职责范围之内并符合部门中长期规划，用以反映和评价部门活动目标与部门履职、年度工作任务的相符性情况。</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评价要点：</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1.部门活动的设定在部门所确定的职责范围之内；</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2.部门活动符合市委、市政府的发展规划及本部门的年度工作安排与发展规划。</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2373"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全部符合（2）；</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其中一项不符合（0）。</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64" w:type="dxa"/>
            <w:vAlign w:val="center"/>
            <w:textDirection w:val="lrTb"/>
            <w:noWrap w:val="false"/>
          </w:tcPr>
          <w:p>
            <w:pPr>
              <w:pStyle w:val="658"/>
              <w:widowControl w:val="true"/>
              <w:pBdr/>
              <w:spacing w:line="240" w:lineRule="exact"/>
              <w:ind/>
              <w:jc w:val="left"/>
              <w:rPr>
                <w:rFonts w:hint="eastAsia" w:eastAsia="宋体"/>
                <w:szCs w:val="21"/>
                <w:lang w:val="en-US" w:eastAsia="zh-CN"/>
              </w:rPr>
            </w:pPr>
            <w:r>
              <w:rPr>
                <w:rFonts w:hint="eastAsia"/>
                <w:szCs w:val="21"/>
                <w:lang w:val="en-US" w:eastAsia="zh-CN"/>
              </w:rPr>
              <w:t xml:space="preserve">2</w:t>
            </w:r>
            <w:r>
              <w:rPr>
                <w:rFonts w:hint="eastAsia" w:eastAsia="宋体"/>
                <w:szCs w:val="21"/>
                <w:lang w:val="en-US" w:eastAsia="zh-CN"/>
              </w:rPr>
            </w:r>
            <w:r>
              <w:rPr>
                <w:rFonts w:hint="eastAsia" w:eastAsia="宋体"/>
                <w:szCs w:val="21"/>
                <w:lang w:val="en-US" w:eastAsia="zh-CN"/>
              </w:rPr>
            </w:r>
          </w:p>
        </w:tc>
      </w:tr>
      <w:tr>
        <w:trPr>
          <w:trHeight w:val="68"/>
        </w:trPr>
        <w:tc>
          <w:tcPr>
            <w:tcBorders/>
            <w:tcW w:w="779"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43"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1275"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活动合理性（2分）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3436"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部门所设立的活动是否明确合理、活动的关键性指标设置是否可衡量，用以反映和评价部门活动目标设定的合理性。</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评价要点：</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1.活动目标的设定是可量化的，可通过清晰、可衡量的关键指标值予以体现；</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2.在活动目标设定时，将关键指标明细分解为具体的达成目标与工作任务。</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2373"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全部符合（2）；</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其中一项不符合（0）。</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64" w:type="dxa"/>
            <w:vAlign w:val="center"/>
            <w:textDirection w:val="lrTb"/>
            <w:noWrap w:val="false"/>
          </w:tcPr>
          <w:p>
            <w:pPr>
              <w:pStyle w:val="658"/>
              <w:widowControl w:val="true"/>
              <w:pBdr/>
              <w:spacing w:line="240" w:lineRule="exact"/>
              <w:ind/>
              <w:jc w:val="left"/>
              <w:rPr>
                <w:rFonts w:hint="eastAsia" w:eastAsia="宋体"/>
                <w:szCs w:val="21"/>
                <w:lang w:val="en-US" w:eastAsia="zh-CN"/>
              </w:rPr>
            </w:pPr>
            <w:r>
              <w:rPr>
                <w:rFonts w:hint="eastAsia"/>
                <w:szCs w:val="21"/>
                <w:lang w:val="en-US" w:eastAsia="zh-CN"/>
              </w:rPr>
              <w:t xml:space="preserve">2</w:t>
            </w:r>
            <w:r>
              <w:rPr>
                <w:rFonts w:hint="eastAsia" w:eastAsia="宋体"/>
                <w:szCs w:val="21"/>
                <w:lang w:val="en-US" w:eastAsia="zh-CN"/>
              </w:rPr>
            </w:r>
            <w:r>
              <w:rPr>
                <w:rFonts w:hint="eastAsia" w:eastAsia="宋体"/>
                <w:szCs w:val="21"/>
                <w:lang w:val="en-US" w:eastAsia="zh-CN"/>
              </w:rPr>
            </w:r>
          </w:p>
        </w:tc>
      </w:tr>
      <w:tr>
        <w:trPr>
          <w:trHeight w:val="454"/>
        </w:trPr>
        <w:tc>
          <w:tcPr>
            <w:tcBorders/>
            <w:tcW w:w="779"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43" w:type="dxa"/>
            <w:vAlign w:val="center"/>
            <w:vMerge w:val="restart"/>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预算配置情况(5分)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1275"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在职人员控制率（1分）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3436" w:type="dxa"/>
            <w:vAlign w:val="center"/>
            <w:textDirection w:val="lrTb"/>
            <w:noWrap w:val="false"/>
          </w:tcPr>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部门本年度实际在职人员数与编制数的比率，用以反映和评价部门对人员成本的控制程度。</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在职人员控制率=（在职人员数/编制数）×100%。</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在职人员数：部门实际在职人数，以财政部确定的部门决算编制口径为准，由编制部门和人劳部门批复同意的临聘人员除外。</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编制数：机构编制部门核定批复的部门人员编制数。</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2373" w:type="dxa"/>
            <w:vAlign w:val="center"/>
            <w:textDirection w:val="lrTb"/>
            <w:noWrap w:val="false"/>
          </w:tcPr>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1.在职人员控制率小于或等于100%的，得满分；</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2.在职人员控制率大于或等于115%的，得0分；</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3.在职人员控制率在100%-115%之间的，在0分和满分之间计算确定：</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得分=[max（在职人员控制率）－某部门在职人员控制率]/[max（在职人员控制率）－min（在职人员控制率）]×该指标分值。</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64" w:type="dxa"/>
            <w:vAlign w:val="center"/>
            <w:textDirection w:val="lrTb"/>
            <w:noWrap w:val="false"/>
          </w:tcPr>
          <w:p>
            <w:pPr>
              <w:pStyle w:val="658"/>
              <w:widowControl w:val="true"/>
              <w:pBdr/>
              <w:spacing w:line="240" w:lineRule="exact"/>
              <w:ind/>
              <w:jc w:val="left"/>
              <w:rPr>
                <w:rFonts w:hint="eastAsia" w:eastAsia="宋体"/>
                <w:szCs w:val="21"/>
                <w:lang w:val="en-US" w:eastAsia="zh-CN"/>
              </w:rPr>
            </w:pPr>
            <w:r>
              <w:rPr>
                <w:rFonts w:hint="eastAsia"/>
                <w:szCs w:val="21"/>
                <w:lang w:val="en-US" w:eastAsia="zh-CN"/>
              </w:rPr>
              <w:t xml:space="preserve">1</w:t>
            </w:r>
            <w:r>
              <w:rPr>
                <w:rFonts w:hint="eastAsia" w:eastAsia="宋体"/>
                <w:szCs w:val="21"/>
                <w:lang w:val="en-US" w:eastAsia="zh-CN"/>
              </w:rPr>
            </w:r>
            <w:r>
              <w:rPr>
                <w:rFonts w:hint="eastAsia" w:eastAsia="宋体"/>
                <w:szCs w:val="21"/>
                <w:lang w:val="en-US" w:eastAsia="zh-CN"/>
              </w:rPr>
            </w:r>
          </w:p>
        </w:tc>
      </w:tr>
      <w:tr>
        <w:trPr>
          <w:trHeight w:val="454"/>
        </w:trPr>
        <w:tc>
          <w:tcPr>
            <w:tcBorders/>
            <w:tcW w:w="779" w:type="dxa"/>
            <w:vAlign w:val="center"/>
            <w:vMerge w:val="restart"/>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43" w:type="dxa"/>
            <w:vAlign w:val="center"/>
            <w:vMerge w:val="continue"/>
            <w:textDirection w:val="lrTb"/>
            <w:noWrap w:val="false"/>
          </w:tcPr>
          <w:p>
            <w:pPr>
              <w:pStyle w:val="658"/>
              <w:widowControl w:val="true"/>
              <w:pBdr/>
              <w:spacing w:line="240" w:lineRule="exact"/>
              <w:ind/>
              <w:jc w:val="left"/>
              <w:rPr>
                <w:rFonts w:hint="eastAsia" w:ascii="仿宋_GB2312" w:hAnsi="仿宋_GB2312" w:eastAsia="仿宋_GB2312" w:cs="仿宋_GB2312"/>
                <w:szCs w:val="21"/>
                <w:lang w:bidi="ar"/>
              </w:rPr>
            </w:pPr>
            <w:r>
              <w:rPr>
                <w:rFonts w:hint="eastAsia" w:ascii="仿宋_GB2312" w:hAnsi="仿宋_GB2312" w:eastAsia="仿宋_GB2312" w:cs="仿宋_GB2312"/>
                <w:szCs w:val="21"/>
                <w:lang w:bidi="ar"/>
              </w:rPr>
            </w:r>
            <w:r>
              <w:rPr>
                <w:rFonts w:hint="eastAsia" w:ascii="仿宋_GB2312" w:hAnsi="仿宋_GB2312" w:eastAsia="仿宋_GB2312" w:cs="仿宋_GB2312"/>
                <w:szCs w:val="21"/>
                <w:lang w:bidi="ar"/>
              </w:rPr>
            </w:r>
          </w:p>
        </w:tc>
        <w:tc>
          <w:tcPr>
            <w:tcBorders/>
            <w:tcW w:w="1275"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lang w:bidi="ar"/>
              </w:rPr>
            </w:pPr>
            <w:r>
              <w:rPr>
                <w:rFonts w:hint="eastAsia" w:ascii="仿宋_GB2312" w:hAnsi="仿宋_GB2312" w:eastAsia="仿宋_GB2312" w:cs="仿宋_GB2312"/>
                <w:color w:val="000000"/>
                <w:szCs w:val="21"/>
                <w:lang w:bidi="ar"/>
              </w:rPr>
              <w:t xml:space="preserve">“三公经费”变动率（2分）</w:t>
            </w:r>
            <w:r>
              <w:rPr>
                <w:rFonts w:hint="eastAsia" w:ascii="仿宋_GB2312" w:hAnsi="仿宋_GB2312" w:eastAsia="仿宋_GB2312" w:cs="仿宋_GB2312"/>
                <w:szCs w:val="21"/>
                <w:lang w:bidi="ar"/>
              </w:rPr>
            </w:r>
            <w:r>
              <w:rPr>
                <w:rFonts w:hint="eastAsia" w:ascii="仿宋_GB2312" w:hAnsi="仿宋_GB2312" w:eastAsia="仿宋_GB2312" w:cs="仿宋_GB2312"/>
                <w:szCs w:val="21"/>
                <w:lang w:bidi="ar"/>
              </w:rPr>
            </w:r>
          </w:p>
        </w:tc>
        <w:tc>
          <w:tcPr>
            <w:tcBorders/>
            <w:tcW w:w="3436"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lang w:bidi="ar"/>
              </w:rPr>
            </w:pPr>
            <w:r>
              <w:rPr>
                <w:rFonts w:hint="eastAsia" w:ascii="仿宋_GB2312" w:hAnsi="仿宋_GB2312" w:eastAsia="仿宋_GB2312" w:cs="仿宋_GB2312"/>
                <w:color w:val="000000"/>
                <w:szCs w:val="21"/>
                <w:lang w:bidi="ar"/>
              </w:rPr>
              <w:t xml:space="preserve">部门本年度“三公经费”预算数与上年度“三公经费”预算数的变动比率，用以反映和考核部门对控制重点行政成本的努力程度。“三公经费”变动率=[（本年度“三公经费”总额-上年度“三公经费”总额）/上年度“三公经费”总额]×100%。</w:t>
            </w:r>
            <w:r>
              <w:rPr>
                <w:rFonts w:hint="eastAsia" w:ascii="仿宋_GB2312" w:hAnsi="仿宋_GB2312" w:eastAsia="仿宋_GB2312" w:cs="仿宋_GB2312"/>
                <w:color w:val="000000"/>
                <w:szCs w:val="21"/>
                <w:lang w:bidi="ar"/>
              </w:rPr>
              <w:br w:type="textWrapping" w:clear="all"/>
            </w:r>
            <w:r>
              <w:rPr>
                <w:rFonts w:hint="eastAsia" w:ascii="仿宋_GB2312" w:hAnsi="仿宋_GB2312" w:eastAsia="仿宋_GB2312" w:cs="仿宋_GB2312"/>
                <w:color w:val="000000"/>
                <w:szCs w:val="21"/>
                <w:lang w:bidi="ar"/>
              </w:rPr>
              <w:t xml:space="preserve">“三公经费”：年度预算安排的因公出国（境）费、公务车辆购置及运行费和公务招待费。</w:t>
            </w:r>
            <w:r>
              <w:rPr>
                <w:rFonts w:hint="eastAsia" w:ascii="仿宋_GB2312" w:hAnsi="仿宋_GB2312" w:eastAsia="仿宋_GB2312" w:cs="仿宋_GB2312"/>
                <w:szCs w:val="21"/>
                <w:lang w:bidi="ar"/>
              </w:rPr>
            </w:r>
            <w:r>
              <w:rPr>
                <w:rFonts w:hint="eastAsia" w:ascii="仿宋_GB2312" w:hAnsi="仿宋_GB2312" w:eastAsia="仿宋_GB2312" w:cs="仿宋_GB2312"/>
                <w:szCs w:val="21"/>
                <w:lang w:bidi="ar"/>
              </w:rPr>
            </w:r>
          </w:p>
        </w:tc>
        <w:tc>
          <w:tcPr>
            <w:tcBorders/>
            <w:tcW w:w="2373" w:type="dxa"/>
            <w:vAlign w:val="center"/>
            <w:textDirection w:val="lrTb"/>
            <w:noWrap w:val="false"/>
          </w:tcPr>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1.</w:t>
            </w:r>
            <w:r>
              <w:rPr>
                <w:rFonts w:hint="eastAsia" w:ascii="仿宋_GB2312" w:hAnsi="仿宋_GB2312" w:eastAsia="仿宋_GB2312" w:cs="仿宋_GB2312"/>
                <w:color w:val="000000"/>
                <w:szCs w:val="21"/>
                <w:lang w:bidi="ar"/>
              </w:rPr>
              <w:t xml:space="preserve">“三公经费”变动率</w:t>
            </w:r>
            <w:r>
              <w:rPr>
                <w:rFonts w:hint="eastAsia" w:ascii="仿宋_GB2312" w:hAnsi="仿宋_GB2312" w:eastAsia="仿宋_GB2312" w:cs="仿宋_GB2312"/>
                <w:szCs w:val="21"/>
                <w:lang w:bidi="ar"/>
              </w:rPr>
              <w:t xml:space="preserve">小于或等于-5%的，得满分；</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2.</w:t>
            </w:r>
            <w:r>
              <w:rPr>
                <w:rFonts w:hint="eastAsia" w:ascii="仿宋_GB2312" w:hAnsi="仿宋_GB2312" w:eastAsia="仿宋_GB2312" w:cs="仿宋_GB2312"/>
                <w:color w:val="000000"/>
                <w:szCs w:val="21"/>
                <w:lang w:bidi="ar"/>
              </w:rPr>
              <w:t xml:space="preserve">“三公经费”变动率</w:t>
            </w:r>
            <w:r>
              <w:rPr>
                <w:rFonts w:hint="eastAsia" w:ascii="仿宋_GB2312" w:hAnsi="仿宋_GB2312" w:eastAsia="仿宋_GB2312" w:cs="仿宋_GB2312"/>
                <w:szCs w:val="21"/>
                <w:lang w:bidi="ar"/>
              </w:rPr>
              <w:t xml:space="preserve">大于或等于10%的，得0分；</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3.在职人员控制率在-5%-10%之间的，在0分和满分之间计算确定：</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lang w:bidi="ar"/>
              </w:rPr>
            </w:pPr>
            <w:r>
              <w:rPr>
                <w:rFonts w:hint="eastAsia" w:ascii="仿宋_GB2312" w:hAnsi="仿宋_GB2312" w:eastAsia="仿宋_GB2312" w:cs="仿宋_GB2312"/>
                <w:szCs w:val="21"/>
                <w:lang w:bidi="ar"/>
              </w:rPr>
              <w:t xml:space="preserve">得分=[max（</w:t>
            </w:r>
            <w:r>
              <w:rPr>
                <w:rFonts w:hint="eastAsia" w:ascii="仿宋_GB2312" w:hAnsi="仿宋_GB2312" w:eastAsia="仿宋_GB2312" w:cs="仿宋_GB2312"/>
                <w:color w:val="000000"/>
                <w:szCs w:val="21"/>
                <w:lang w:bidi="ar"/>
              </w:rPr>
              <w:t xml:space="preserve">“三公经费”变动率</w:t>
            </w:r>
            <w:r>
              <w:rPr>
                <w:rFonts w:hint="eastAsia" w:ascii="仿宋_GB2312" w:hAnsi="仿宋_GB2312" w:eastAsia="仿宋_GB2312" w:cs="仿宋_GB2312"/>
                <w:szCs w:val="21"/>
                <w:lang w:bidi="ar"/>
              </w:rPr>
              <w:t xml:space="preserve">）－</w:t>
            </w:r>
            <w:r>
              <w:rPr>
                <w:rFonts w:hint="eastAsia" w:ascii="仿宋_GB2312" w:hAnsi="仿宋_GB2312" w:eastAsia="仿宋_GB2312" w:cs="仿宋_GB2312"/>
                <w:color w:val="000000"/>
                <w:szCs w:val="21"/>
                <w:lang w:bidi="ar"/>
              </w:rPr>
              <w:t xml:space="preserve">“三公经费”变动率</w:t>
            </w:r>
            <w:r>
              <w:rPr>
                <w:rFonts w:hint="eastAsia" w:ascii="仿宋_GB2312" w:hAnsi="仿宋_GB2312" w:eastAsia="仿宋_GB2312" w:cs="仿宋_GB2312"/>
                <w:szCs w:val="21"/>
                <w:lang w:bidi="ar"/>
              </w:rPr>
              <w:t xml:space="preserve">]/[max（</w:t>
            </w:r>
            <w:r>
              <w:rPr>
                <w:rFonts w:hint="eastAsia" w:ascii="仿宋_GB2312" w:hAnsi="仿宋_GB2312" w:eastAsia="仿宋_GB2312" w:cs="仿宋_GB2312"/>
                <w:color w:val="000000"/>
                <w:szCs w:val="21"/>
                <w:lang w:bidi="ar"/>
              </w:rPr>
              <w:t xml:space="preserve">“三公经费”变动率</w:t>
            </w:r>
            <w:r>
              <w:rPr>
                <w:rFonts w:hint="eastAsia" w:ascii="仿宋_GB2312" w:hAnsi="仿宋_GB2312" w:eastAsia="仿宋_GB2312" w:cs="仿宋_GB2312"/>
                <w:szCs w:val="21"/>
                <w:lang w:bidi="ar"/>
              </w:rPr>
              <w:t xml:space="preserve">）－min（</w:t>
            </w:r>
            <w:r>
              <w:rPr>
                <w:rFonts w:hint="eastAsia" w:ascii="仿宋_GB2312" w:hAnsi="仿宋_GB2312" w:eastAsia="仿宋_GB2312" w:cs="仿宋_GB2312"/>
                <w:color w:val="000000"/>
                <w:szCs w:val="21"/>
                <w:lang w:bidi="ar"/>
              </w:rPr>
              <w:t xml:space="preserve">“三公经费”变动率</w:t>
            </w:r>
            <w:r>
              <w:rPr>
                <w:rFonts w:hint="eastAsia" w:ascii="仿宋_GB2312" w:hAnsi="仿宋_GB2312" w:eastAsia="仿宋_GB2312" w:cs="仿宋_GB2312"/>
                <w:szCs w:val="21"/>
                <w:lang w:bidi="ar"/>
              </w:rPr>
              <w:t xml:space="preserve">）]×该指标分值。</w:t>
            </w:r>
            <w:r>
              <w:rPr>
                <w:rFonts w:hint="eastAsia" w:ascii="仿宋_GB2312" w:hAnsi="仿宋_GB2312" w:eastAsia="仿宋_GB2312" w:cs="仿宋_GB2312"/>
                <w:szCs w:val="21"/>
                <w:lang w:bidi="ar"/>
              </w:rPr>
            </w:r>
            <w:r>
              <w:rPr>
                <w:rFonts w:hint="eastAsia" w:ascii="仿宋_GB2312" w:hAnsi="仿宋_GB2312" w:eastAsia="仿宋_GB2312" w:cs="仿宋_GB2312"/>
                <w:szCs w:val="21"/>
                <w:lang w:bidi="ar"/>
              </w:rPr>
            </w:r>
          </w:p>
        </w:tc>
        <w:tc>
          <w:tcPr>
            <w:tcBorders/>
            <w:tcW w:w="764" w:type="dxa"/>
            <w:vAlign w:val="center"/>
            <w:textDirection w:val="lrTb"/>
            <w:noWrap w:val="false"/>
          </w:tcPr>
          <w:p>
            <w:pPr>
              <w:pStyle w:val="658"/>
              <w:widowControl w:val="true"/>
              <w:pBdr/>
              <w:spacing w:line="240" w:lineRule="exact"/>
              <w:ind/>
              <w:jc w:val="left"/>
              <w:rPr>
                <w:rFonts w:hint="eastAsia" w:eastAsia="宋体"/>
                <w:szCs w:val="21"/>
                <w:lang w:val="en-US" w:eastAsia="zh-CN"/>
              </w:rPr>
            </w:pPr>
            <w:r>
              <w:rPr>
                <w:rFonts w:hint="eastAsia"/>
                <w:szCs w:val="21"/>
                <w:lang w:val="en-US" w:eastAsia="zh-CN"/>
              </w:rPr>
              <w:t xml:space="preserve">2</w:t>
            </w:r>
            <w:r>
              <w:rPr>
                <w:rFonts w:hint="eastAsia" w:eastAsia="宋体"/>
                <w:szCs w:val="21"/>
                <w:lang w:val="en-US" w:eastAsia="zh-CN"/>
              </w:rPr>
            </w:r>
            <w:r>
              <w:rPr>
                <w:rFonts w:hint="eastAsia" w:eastAsia="宋体"/>
                <w:szCs w:val="21"/>
                <w:lang w:val="en-US" w:eastAsia="zh-CN"/>
              </w:rPr>
            </w:r>
          </w:p>
        </w:tc>
      </w:tr>
      <w:tr>
        <w:trPr>
          <w:trHeight w:val="454"/>
        </w:trPr>
        <w:tc>
          <w:tcPr>
            <w:tcBorders/>
            <w:tcW w:w="779"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43" w:type="dxa"/>
            <w:vAlign w:val="center"/>
            <w:vMerge w:val="continue"/>
            <w:textDirection w:val="lrTb"/>
            <w:noWrap w:val="false"/>
          </w:tcPr>
          <w:p>
            <w:pPr>
              <w:pStyle w:val="658"/>
              <w:widowControl w:val="true"/>
              <w:pBdr/>
              <w:spacing w:line="240" w:lineRule="exact"/>
              <w:ind/>
              <w:jc w:val="left"/>
              <w:rPr>
                <w:rFonts w:hint="eastAsia" w:ascii="仿宋_GB2312" w:hAnsi="仿宋_GB2312" w:eastAsia="仿宋_GB2312" w:cs="仿宋_GB2312"/>
                <w:szCs w:val="21"/>
                <w:lang w:bidi="ar"/>
              </w:rPr>
            </w:pPr>
            <w:r>
              <w:rPr>
                <w:rFonts w:hint="eastAsia" w:ascii="仿宋_GB2312" w:hAnsi="仿宋_GB2312" w:eastAsia="仿宋_GB2312" w:cs="仿宋_GB2312"/>
                <w:szCs w:val="21"/>
                <w:lang w:bidi="ar"/>
              </w:rPr>
            </w:r>
            <w:r>
              <w:rPr>
                <w:rFonts w:hint="eastAsia" w:ascii="仿宋_GB2312" w:hAnsi="仿宋_GB2312" w:eastAsia="仿宋_GB2312" w:cs="仿宋_GB2312"/>
                <w:szCs w:val="21"/>
                <w:lang w:bidi="ar"/>
              </w:rPr>
            </w:r>
          </w:p>
        </w:tc>
        <w:tc>
          <w:tcPr>
            <w:tcBorders/>
            <w:tcW w:w="1275"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lang w:bidi="ar"/>
              </w:rPr>
            </w:pPr>
            <w:r>
              <w:rPr>
                <w:rFonts w:hint="eastAsia" w:ascii="仿宋_GB2312" w:hAnsi="仿宋_GB2312" w:eastAsia="仿宋_GB2312" w:cs="仿宋_GB2312"/>
                <w:color w:val="000000"/>
                <w:szCs w:val="21"/>
                <w:lang w:bidi="ar"/>
              </w:rPr>
              <w:t xml:space="preserve">重点支出安排率（2分）</w:t>
            </w:r>
            <w:r>
              <w:rPr>
                <w:rFonts w:hint="eastAsia" w:ascii="仿宋_GB2312" w:hAnsi="仿宋_GB2312" w:eastAsia="仿宋_GB2312" w:cs="仿宋_GB2312"/>
                <w:szCs w:val="21"/>
                <w:lang w:bidi="ar"/>
              </w:rPr>
            </w:r>
            <w:r>
              <w:rPr>
                <w:rFonts w:hint="eastAsia" w:ascii="仿宋_GB2312" w:hAnsi="仿宋_GB2312" w:eastAsia="仿宋_GB2312" w:cs="仿宋_GB2312"/>
                <w:szCs w:val="21"/>
                <w:lang w:bidi="ar"/>
              </w:rPr>
            </w:r>
          </w:p>
        </w:tc>
        <w:tc>
          <w:tcPr>
            <w:tcBorders/>
            <w:tcW w:w="3436"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lang w:bidi="ar"/>
              </w:rPr>
            </w:pPr>
            <w:r>
              <w:rPr>
                <w:rFonts w:hint="eastAsia" w:ascii="仿宋_GB2312" w:hAnsi="仿宋_GB2312" w:eastAsia="仿宋_GB2312" w:cs="仿宋_GB2312"/>
                <w:color w:val="000000"/>
                <w:szCs w:val="21"/>
                <w:lang w:bidi="ar"/>
              </w:rPr>
              <w:t xml:space="preserve">部门本年度预算安排的重点项目支出与部门项目总支出的比率，用以反映和考核部门对履行主要职责或完成重点任务的保障程度。重点支出安排率=（重点项目支出/项目总支出）×100%。</w:t>
            </w:r>
            <w:r>
              <w:rPr>
                <w:rFonts w:hint="eastAsia" w:ascii="仿宋_GB2312" w:hAnsi="仿宋_GB2312" w:eastAsia="仿宋_GB2312" w:cs="仿宋_GB2312"/>
                <w:color w:val="000000"/>
                <w:szCs w:val="21"/>
                <w:lang w:bidi="ar"/>
              </w:rPr>
              <w:br w:type="textWrapping" w:clear="all"/>
            </w:r>
            <w:r>
              <w:rPr>
                <w:rFonts w:hint="eastAsia" w:ascii="仿宋_GB2312" w:hAnsi="仿宋_GB2312" w:eastAsia="仿宋_GB2312" w:cs="仿宋_GB2312"/>
                <w:color w:val="000000"/>
                <w:szCs w:val="21"/>
                <w:lang w:bidi="ar"/>
              </w:rPr>
              <w:t xml:space="preserve">重点项目支出：部门（单位）年度预算安排的，与本部门履职和发展密切相关、具有明显社会和经济影响、党委政府关心或社会比较关注的项目支出总额。</w:t>
            </w:r>
            <w:r>
              <w:rPr>
                <w:rFonts w:hint="eastAsia" w:ascii="仿宋_GB2312" w:hAnsi="仿宋_GB2312" w:eastAsia="仿宋_GB2312" w:cs="仿宋_GB2312"/>
                <w:color w:val="000000"/>
                <w:szCs w:val="21"/>
                <w:lang w:bidi="ar"/>
              </w:rPr>
              <w:br w:type="textWrapping" w:clear="all"/>
            </w:r>
            <w:r>
              <w:rPr>
                <w:rFonts w:hint="eastAsia" w:ascii="仿宋_GB2312" w:hAnsi="仿宋_GB2312" w:eastAsia="仿宋_GB2312" w:cs="仿宋_GB2312"/>
                <w:color w:val="000000"/>
                <w:szCs w:val="21"/>
                <w:lang w:bidi="ar"/>
              </w:rPr>
              <w:t xml:space="preserve">项目总支出：部门（单位）年度预算安排的项目支出总额。</w:t>
            </w:r>
            <w:r>
              <w:rPr>
                <w:rFonts w:hint="eastAsia" w:ascii="仿宋_GB2312" w:hAnsi="仿宋_GB2312" w:eastAsia="仿宋_GB2312" w:cs="仿宋_GB2312"/>
                <w:szCs w:val="21"/>
                <w:lang w:bidi="ar"/>
              </w:rPr>
            </w:r>
            <w:r>
              <w:rPr>
                <w:rFonts w:hint="eastAsia" w:ascii="仿宋_GB2312" w:hAnsi="仿宋_GB2312" w:eastAsia="仿宋_GB2312" w:cs="仿宋_GB2312"/>
                <w:szCs w:val="21"/>
                <w:lang w:bidi="ar"/>
              </w:rPr>
            </w:r>
          </w:p>
        </w:tc>
        <w:tc>
          <w:tcPr>
            <w:tcBorders/>
            <w:tcW w:w="2373" w:type="dxa"/>
            <w:vAlign w:val="center"/>
            <w:textDirection w:val="lrTb"/>
            <w:noWrap w:val="false"/>
          </w:tcPr>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1.</w:t>
            </w:r>
            <w:r>
              <w:rPr>
                <w:rFonts w:hint="eastAsia" w:ascii="仿宋_GB2312" w:hAnsi="仿宋_GB2312" w:eastAsia="仿宋_GB2312" w:cs="仿宋_GB2312"/>
                <w:color w:val="000000"/>
                <w:szCs w:val="21"/>
                <w:lang w:bidi="ar"/>
              </w:rPr>
              <w:t xml:space="preserve">重点支出安排率</w:t>
            </w:r>
            <w:r>
              <w:rPr>
                <w:rFonts w:hint="eastAsia" w:ascii="仿宋_GB2312" w:hAnsi="仿宋_GB2312" w:eastAsia="仿宋_GB2312" w:cs="仿宋_GB2312"/>
                <w:szCs w:val="21"/>
                <w:lang w:bidi="ar"/>
              </w:rPr>
              <w:t xml:space="preserve">大于或等于95%的，得满分；</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2.</w:t>
            </w:r>
            <w:r>
              <w:rPr>
                <w:rFonts w:hint="eastAsia" w:ascii="仿宋_GB2312" w:hAnsi="仿宋_GB2312" w:eastAsia="仿宋_GB2312" w:cs="仿宋_GB2312"/>
                <w:color w:val="000000"/>
                <w:szCs w:val="21"/>
                <w:lang w:bidi="ar"/>
              </w:rPr>
              <w:t xml:space="preserve">重点支出安排率</w:t>
            </w:r>
            <w:r>
              <w:rPr>
                <w:rFonts w:hint="eastAsia" w:ascii="仿宋_GB2312" w:hAnsi="仿宋_GB2312" w:eastAsia="仿宋_GB2312" w:cs="仿宋_GB2312"/>
                <w:szCs w:val="21"/>
                <w:lang w:bidi="ar"/>
              </w:rPr>
              <w:t xml:space="preserve">小于或等于85%的，得0分；</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3.</w:t>
            </w:r>
            <w:r>
              <w:rPr>
                <w:rFonts w:hint="eastAsia" w:ascii="仿宋_GB2312" w:hAnsi="仿宋_GB2312" w:eastAsia="仿宋_GB2312" w:cs="仿宋_GB2312"/>
                <w:color w:val="000000"/>
                <w:szCs w:val="21"/>
                <w:lang w:bidi="ar"/>
              </w:rPr>
              <w:t xml:space="preserve">重点支出安排率</w:t>
            </w:r>
            <w:r>
              <w:rPr>
                <w:rFonts w:hint="eastAsia" w:ascii="仿宋_GB2312" w:hAnsi="仿宋_GB2312" w:eastAsia="仿宋_GB2312" w:cs="仿宋_GB2312"/>
                <w:szCs w:val="21"/>
                <w:lang w:bidi="ar"/>
              </w:rPr>
              <w:t xml:space="preserve">在85%-95%之间的，在0分和满分之间计算确定：</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lang w:bidi="ar"/>
              </w:rPr>
            </w:pPr>
            <w:r>
              <w:rPr>
                <w:rFonts w:hint="eastAsia" w:ascii="仿宋_GB2312" w:hAnsi="仿宋_GB2312" w:eastAsia="仿宋_GB2312" w:cs="仿宋_GB2312"/>
                <w:szCs w:val="21"/>
                <w:lang w:bidi="ar"/>
              </w:rPr>
              <w:t xml:space="preserve">得分=[某部门</w:t>
            </w:r>
            <w:r>
              <w:rPr>
                <w:rFonts w:hint="eastAsia" w:ascii="仿宋_GB2312" w:hAnsi="仿宋_GB2312" w:eastAsia="仿宋_GB2312" w:cs="仿宋_GB2312"/>
                <w:color w:val="000000"/>
                <w:szCs w:val="21"/>
                <w:lang w:bidi="ar"/>
              </w:rPr>
              <w:t xml:space="preserve">重点支出安排率</w:t>
            </w:r>
            <w:r>
              <w:rPr>
                <w:rFonts w:hint="eastAsia" w:ascii="仿宋_GB2312" w:hAnsi="仿宋_GB2312" w:eastAsia="仿宋_GB2312" w:cs="仿宋_GB2312"/>
                <w:szCs w:val="21"/>
                <w:lang w:bidi="ar"/>
              </w:rPr>
              <w:t xml:space="preserve">-min（</w:t>
            </w:r>
            <w:r>
              <w:rPr>
                <w:rFonts w:hint="eastAsia" w:ascii="仿宋_GB2312" w:hAnsi="仿宋_GB2312" w:eastAsia="仿宋_GB2312" w:cs="仿宋_GB2312"/>
                <w:color w:val="000000"/>
                <w:szCs w:val="21"/>
                <w:lang w:bidi="ar"/>
              </w:rPr>
              <w:t xml:space="preserve">重点支出安排率</w:t>
            </w:r>
            <w:r>
              <w:rPr>
                <w:rFonts w:hint="eastAsia" w:ascii="仿宋_GB2312" w:hAnsi="仿宋_GB2312" w:eastAsia="仿宋_GB2312" w:cs="仿宋_GB2312"/>
                <w:szCs w:val="21"/>
                <w:lang w:bidi="ar"/>
              </w:rPr>
              <w:t xml:space="preserve">）]/[max（</w:t>
            </w:r>
            <w:r>
              <w:rPr>
                <w:rFonts w:hint="eastAsia" w:ascii="仿宋_GB2312" w:hAnsi="仿宋_GB2312" w:eastAsia="仿宋_GB2312" w:cs="仿宋_GB2312"/>
                <w:color w:val="000000"/>
                <w:szCs w:val="21"/>
                <w:lang w:bidi="ar"/>
              </w:rPr>
              <w:t xml:space="preserve">重点支出安排率</w:t>
            </w:r>
            <w:r>
              <w:rPr>
                <w:rFonts w:hint="eastAsia" w:ascii="仿宋_GB2312" w:hAnsi="仿宋_GB2312" w:eastAsia="仿宋_GB2312" w:cs="仿宋_GB2312"/>
                <w:szCs w:val="21"/>
                <w:lang w:bidi="ar"/>
              </w:rPr>
              <w:t xml:space="preserve">）－min（</w:t>
            </w:r>
            <w:r>
              <w:rPr>
                <w:rFonts w:hint="eastAsia" w:ascii="仿宋_GB2312" w:hAnsi="仿宋_GB2312" w:eastAsia="仿宋_GB2312" w:cs="仿宋_GB2312"/>
                <w:color w:val="000000"/>
                <w:szCs w:val="21"/>
                <w:lang w:bidi="ar"/>
              </w:rPr>
              <w:t xml:space="preserve">重点支出安排率</w:t>
            </w:r>
            <w:r>
              <w:rPr>
                <w:rFonts w:hint="eastAsia" w:ascii="仿宋_GB2312" w:hAnsi="仿宋_GB2312" w:eastAsia="仿宋_GB2312" w:cs="仿宋_GB2312"/>
                <w:szCs w:val="21"/>
                <w:lang w:bidi="ar"/>
              </w:rPr>
              <w:t xml:space="preserve">）]×该指标分值。</w:t>
            </w:r>
            <w:r>
              <w:rPr>
                <w:rFonts w:hint="eastAsia" w:ascii="仿宋_GB2312" w:hAnsi="仿宋_GB2312" w:eastAsia="仿宋_GB2312" w:cs="仿宋_GB2312"/>
                <w:szCs w:val="21"/>
                <w:lang w:bidi="ar"/>
              </w:rPr>
            </w:r>
            <w:r>
              <w:rPr>
                <w:rFonts w:hint="eastAsia" w:ascii="仿宋_GB2312" w:hAnsi="仿宋_GB2312" w:eastAsia="仿宋_GB2312" w:cs="仿宋_GB2312"/>
                <w:szCs w:val="21"/>
                <w:lang w:bidi="ar"/>
              </w:rPr>
            </w:r>
          </w:p>
        </w:tc>
        <w:tc>
          <w:tcPr>
            <w:tcBorders/>
            <w:tcW w:w="764" w:type="dxa"/>
            <w:vAlign w:val="center"/>
            <w:textDirection w:val="lrTb"/>
            <w:noWrap w:val="false"/>
          </w:tcPr>
          <w:p>
            <w:pPr>
              <w:pStyle w:val="658"/>
              <w:widowControl w:val="true"/>
              <w:pBdr/>
              <w:spacing w:line="240" w:lineRule="exact"/>
              <w:ind/>
              <w:jc w:val="left"/>
              <w:rPr>
                <w:rFonts w:hint="eastAsia" w:eastAsia="宋体"/>
                <w:szCs w:val="21"/>
                <w:lang w:val="en-US" w:eastAsia="zh-CN"/>
              </w:rPr>
            </w:pPr>
            <w:r>
              <w:rPr>
                <w:rFonts w:hint="eastAsia"/>
                <w:szCs w:val="21"/>
                <w:lang w:val="en-US" w:eastAsia="zh-CN"/>
              </w:rPr>
              <w:t xml:space="preserve">2</w:t>
            </w:r>
            <w:r>
              <w:rPr>
                <w:rFonts w:hint="eastAsia" w:eastAsia="宋体"/>
                <w:szCs w:val="21"/>
                <w:lang w:val="en-US" w:eastAsia="zh-CN"/>
              </w:rPr>
            </w:r>
            <w:r>
              <w:rPr>
                <w:rFonts w:hint="eastAsia" w:eastAsia="宋体"/>
                <w:szCs w:val="21"/>
                <w:lang w:val="en-US" w:eastAsia="zh-CN"/>
              </w:rPr>
            </w:r>
          </w:p>
        </w:tc>
      </w:tr>
      <w:tr>
        <w:trPr>
          <w:trHeight w:val="68"/>
        </w:trPr>
        <w:tc>
          <w:tcPr>
            <w:tcBorders/>
            <w:tcW w:w="779" w:type="dxa"/>
            <w:vAlign w:val="center"/>
            <w:vMerge w:val="restart"/>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过程(45分)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43" w:type="dxa"/>
            <w:vAlign w:val="center"/>
            <w:vMerge w:val="restart"/>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预算执行情况(25分)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1275"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预算完成率（5分）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3436" w:type="dxa"/>
            <w:vAlign w:val="center"/>
            <w:textDirection w:val="lrTb"/>
            <w:noWrap w:val="false"/>
          </w:tcPr>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通过对部门本年度预算完成数与预算数的比较，反映和评价部门预算的完成程度。</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预算完成率=（预算完成数/预算数）×100%。</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2373" w:type="dxa"/>
            <w:vAlign w:val="center"/>
            <w:textDirection w:val="lrTb"/>
            <w:noWrap w:val="false"/>
          </w:tcPr>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1.预算完成率大于或等于95%的，得满分；</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2.预算完成率小于或等于85%的，得0分；</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3.预算完成率在85%-95%之间的，在0分和满分之间计算确定：</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得分=[某部门预算完成率-min（预算完成率）]/[max（预算完成率）－min（预算完成率）]×该指标分值。</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64" w:type="dxa"/>
            <w:vAlign w:val="center"/>
            <w:textDirection w:val="lrTb"/>
            <w:noWrap w:val="false"/>
          </w:tcPr>
          <w:p>
            <w:pPr>
              <w:pStyle w:val="658"/>
              <w:widowControl w:val="true"/>
              <w:pBdr/>
              <w:spacing w:line="240" w:lineRule="exact"/>
              <w:ind/>
              <w:jc w:val="left"/>
              <w:rPr>
                <w:rFonts w:hint="eastAsia" w:eastAsia="宋体"/>
                <w:szCs w:val="21"/>
                <w:lang w:val="en-US" w:eastAsia="zh-CN"/>
              </w:rPr>
            </w:pPr>
            <w:r>
              <w:rPr>
                <w:rFonts w:hint="eastAsia"/>
                <w:szCs w:val="21"/>
                <w:lang w:val="en-US" w:eastAsia="zh-CN"/>
              </w:rPr>
              <w:t xml:space="preserve">5</w:t>
            </w:r>
            <w:r>
              <w:rPr>
                <w:rFonts w:hint="eastAsia" w:eastAsia="宋体"/>
                <w:szCs w:val="21"/>
                <w:lang w:val="en-US" w:eastAsia="zh-CN"/>
              </w:rPr>
            </w:r>
            <w:r>
              <w:rPr>
                <w:rFonts w:hint="eastAsia" w:eastAsia="宋体"/>
                <w:szCs w:val="21"/>
                <w:lang w:val="en-US" w:eastAsia="zh-CN"/>
              </w:rPr>
            </w:r>
          </w:p>
        </w:tc>
      </w:tr>
      <w:tr>
        <w:trPr>
          <w:trHeight w:val="68"/>
        </w:trPr>
        <w:tc>
          <w:tcPr>
            <w:tcBorders/>
            <w:tcW w:w="779"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43"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1275"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预算调整率（3分）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3436"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部门本年度预算调整数与预算数的比率，用以反映和评价部门预算的调整程度。</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预算调整率=（预算调整数/预算数）×100%。</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2373"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1.预算调整率等于0的，得满分； </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2.预算调整率大于或等于10%的，得0分；</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3.预算调整率在0-10%之间的，在0分和满分之间确定：</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得分=［max（预算调整率）-某部门预算调整率］/［max（预算调整率）-min（预算调整率）］×该指标分值。</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64" w:type="dxa"/>
            <w:vAlign w:val="center"/>
            <w:textDirection w:val="lrTb"/>
            <w:noWrap w:val="false"/>
          </w:tcPr>
          <w:p>
            <w:pPr>
              <w:pStyle w:val="658"/>
              <w:widowControl w:val="true"/>
              <w:pBdr/>
              <w:spacing w:line="240" w:lineRule="exact"/>
              <w:ind/>
              <w:jc w:val="left"/>
              <w:rPr>
                <w:rFonts w:eastAsia="宋体"/>
                <w:szCs w:val="21"/>
                <w:lang w:val="en-US" w:eastAsia="zh-CN"/>
              </w:rPr>
            </w:pPr>
            <w:r>
              <w:rPr>
                <w:rFonts w:hint="eastAsia"/>
                <w:szCs w:val="21"/>
                <w:lang w:val="en-US" w:eastAsia="zh-CN"/>
              </w:rPr>
              <w:t xml:space="preserve">3</w:t>
            </w:r>
            <w:r>
              <w:rPr>
                <w:rFonts w:eastAsia="宋体"/>
                <w:szCs w:val="21"/>
                <w:lang w:val="en-US" w:eastAsia="zh-CN"/>
              </w:rPr>
            </w:r>
            <w:r>
              <w:rPr>
                <w:rFonts w:eastAsia="宋体"/>
                <w:szCs w:val="21"/>
                <w:lang w:val="en-US" w:eastAsia="zh-CN"/>
              </w:rPr>
            </w:r>
          </w:p>
        </w:tc>
      </w:tr>
      <w:tr>
        <w:trPr>
          <w:trHeight w:val="1848"/>
        </w:trPr>
        <w:tc>
          <w:tcPr>
            <w:tcBorders/>
            <w:tcW w:w="779"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43"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1275"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color w:val="000000"/>
                <w:szCs w:val="21"/>
                <w:lang w:bidi="ar"/>
              </w:rPr>
              <w:t xml:space="preserve">支付进度率</w:t>
            </w:r>
            <w:r>
              <w:rPr>
                <w:rFonts w:hint="eastAsia" w:ascii="仿宋_GB2312" w:hAnsi="仿宋_GB2312" w:eastAsia="仿宋_GB2312" w:cs="仿宋_GB2312"/>
                <w:szCs w:val="21"/>
                <w:lang w:bidi="ar"/>
              </w:rPr>
              <w:t xml:space="preserve">（5分）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3436"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部门年度支付数与年度任务数的比率，用以反映和评价部门预算执行的及时和均衡程度。</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支付进度率=（年度支付数/年度任务数）×100%。</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2373"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按年度的执行情况进行打分。得分=年度支付数/年度任务数×该指标分值。</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64" w:type="dxa"/>
            <w:vAlign w:val="center"/>
            <w:textDirection w:val="lrTb"/>
            <w:noWrap w:val="false"/>
          </w:tcPr>
          <w:p>
            <w:pPr>
              <w:pStyle w:val="658"/>
              <w:widowControl w:val="true"/>
              <w:pBdr/>
              <w:spacing w:line="240" w:lineRule="exact"/>
              <w:ind/>
              <w:jc w:val="left"/>
              <w:rPr>
                <w:rFonts w:eastAsia="宋体"/>
                <w:szCs w:val="21"/>
                <w:lang w:val="en-US" w:eastAsia="zh-CN"/>
              </w:rPr>
            </w:pPr>
            <w:r>
              <w:rPr>
                <w:rFonts w:hint="eastAsia"/>
                <w:szCs w:val="21"/>
                <w:lang w:val="en-US" w:eastAsia="zh-CN"/>
              </w:rPr>
              <w:t xml:space="preserve">5</w:t>
            </w:r>
            <w:r>
              <w:rPr>
                <w:rFonts w:eastAsia="宋体"/>
                <w:szCs w:val="21"/>
                <w:lang w:val="en-US" w:eastAsia="zh-CN"/>
              </w:rPr>
            </w:r>
            <w:r>
              <w:rPr>
                <w:rFonts w:eastAsia="宋体"/>
                <w:szCs w:val="21"/>
                <w:lang w:val="en-US" w:eastAsia="zh-CN"/>
              </w:rPr>
            </w:r>
          </w:p>
        </w:tc>
      </w:tr>
      <w:tr>
        <w:trPr>
          <w:trHeight w:val="1274"/>
        </w:trPr>
        <w:tc>
          <w:tcPr>
            <w:tcBorders/>
            <w:tcW w:w="779"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43"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1275"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结转结余率（4分）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3436"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通过对部门本年度结转结余总额与支出预算数的比较，反映和评价部门对本年度结转结余资金的实际控制程度。</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结转结余率=（结转结余总额/支出预算数）×100%。</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2373" w:type="dxa"/>
            <w:vAlign w:val="center"/>
            <w:textDirection w:val="lrTb"/>
            <w:noWrap w:val="false"/>
          </w:tcPr>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1.结转结余率等于0的，得满分；</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2.结转结余率大于或等于50%的，得0分；</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3.结转结余率在0-50%之间的，在0和满分之间计算确定：</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得分=[max（结转结余率）－某部门结转结余率]/[max（结转结余率）－min（结转结余率）]×该指标分值。</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64" w:type="dxa"/>
            <w:vAlign w:val="center"/>
            <w:textDirection w:val="lrTb"/>
            <w:noWrap w:val="false"/>
          </w:tcPr>
          <w:p>
            <w:pPr>
              <w:pStyle w:val="658"/>
              <w:widowControl w:val="true"/>
              <w:pBdr/>
              <w:spacing w:line="240" w:lineRule="exact"/>
              <w:ind/>
              <w:jc w:val="left"/>
              <w:rPr>
                <w:rFonts w:hint="eastAsia" w:eastAsia="宋体"/>
                <w:szCs w:val="21"/>
                <w:lang w:val="en-US" w:eastAsia="zh-CN"/>
              </w:rPr>
            </w:pPr>
            <w:r>
              <w:rPr>
                <w:rFonts w:hint="eastAsia"/>
                <w:szCs w:val="21"/>
                <w:lang w:val="en-US" w:eastAsia="zh-CN"/>
              </w:rPr>
              <w:t xml:space="preserve">4</w:t>
            </w:r>
            <w:r>
              <w:rPr>
                <w:rFonts w:hint="eastAsia" w:eastAsia="宋体"/>
                <w:szCs w:val="21"/>
                <w:lang w:val="en-US" w:eastAsia="zh-CN"/>
              </w:rPr>
            </w:r>
            <w:r>
              <w:rPr>
                <w:rFonts w:hint="eastAsia" w:eastAsia="宋体"/>
                <w:szCs w:val="21"/>
                <w:lang w:val="en-US" w:eastAsia="zh-CN"/>
              </w:rPr>
            </w:r>
          </w:p>
        </w:tc>
      </w:tr>
      <w:tr>
        <w:trPr>
          <w:trHeight w:val="1610"/>
        </w:trPr>
        <w:tc>
          <w:tcPr>
            <w:tcBorders/>
            <w:tcW w:w="779"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43"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1275"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公用经费控制率（4分）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3436" w:type="dxa"/>
            <w:vAlign w:val="center"/>
            <w:textDirection w:val="lrTb"/>
            <w:noWrap w:val="false"/>
          </w:tcPr>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通过对部门本年度实际支出的公用经费总额与预算安排的公用经费总额的比率，反映和评价部门对机构运转成本的实际控制程度。</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公用经费控制率=（实际支出公用经费总额/预算安排公用经费总额）×100%。</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2373" w:type="dxa"/>
            <w:vAlign w:val="center"/>
            <w:textDirection w:val="lrTb"/>
            <w:noWrap w:val="false"/>
          </w:tcPr>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1.公用经费控制率小于或等于100%的，得满分；</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2.公用经费控制率大于或等于105%的，得0分；</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3.公用经费控制率在100%-105%之间的，在0和满分之间计算确定：</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得分=［max（公用经费控制率）-某部门公用经费控制率］/［max（公用经费控制率）-min（公用经费控制率）］×该指标分值。</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64" w:type="dxa"/>
            <w:vAlign w:val="center"/>
            <w:textDirection w:val="lrTb"/>
            <w:noWrap w:val="false"/>
          </w:tcPr>
          <w:p>
            <w:pPr>
              <w:pStyle w:val="658"/>
              <w:widowControl w:val="true"/>
              <w:pBdr/>
              <w:spacing w:line="240" w:lineRule="exact"/>
              <w:ind/>
              <w:jc w:val="left"/>
              <w:rPr>
                <w:rFonts w:hint="eastAsia" w:eastAsia="宋体"/>
                <w:szCs w:val="21"/>
                <w:lang w:val="en-US" w:eastAsia="zh-CN"/>
              </w:rPr>
            </w:pPr>
            <w:r>
              <w:rPr>
                <w:rFonts w:hint="eastAsia"/>
                <w:szCs w:val="21"/>
                <w:lang w:val="en-US" w:eastAsia="zh-CN"/>
              </w:rPr>
              <w:t xml:space="preserve">4</w:t>
            </w:r>
            <w:r>
              <w:rPr>
                <w:rFonts w:hint="eastAsia" w:eastAsia="宋体"/>
                <w:szCs w:val="21"/>
                <w:lang w:val="en-US" w:eastAsia="zh-CN"/>
              </w:rPr>
            </w:r>
            <w:r>
              <w:rPr>
                <w:rFonts w:hint="eastAsia" w:eastAsia="宋体"/>
                <w:szCs w:val="21"/>
                <w:lang w:val="en-US" w:eastAsia="zh-CN"/>
              </w:rPr>
            </w:r>
          </w:p>
        </w:tc>
      </w:tr>
      <w:tr>
        <w:trPr>
          <w:trHeight w:val="1100"/>
        </w:trPr>
        <w:tc>
          <w:tcPr>
            <w:tcBorders/>
            <w:tcW w:w="779"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43"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1275"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政府采购执行率（4分）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3436" w:type="dxa"/>
            <w:vAlign w:val="center"/>
            <w:textDirection w:val="lrTb"/>
            <w:noWrap w:val="false"/>
          </w:tcPr>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通过对部门本年度实际政府采购预算项目个数与政府采购预算项目个数的比较，反映和评价部门政府采购预算执行情况。</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政府采购执行率=（实际政府采购预算项目个数/政府采购预算项目个数）×100%。</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政府采购项目中非预算内安排的项目除外。</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2373" w:type="dxa"/>
            <w:vAlign w:val="center"/>
            <w:textDirection w:val="lrTb"/>
            <w:noWrap w:val="false"/>
          </w:tcPr>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1.政府采购执行率等于100%的，得满分；</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2.政府采购执行率小于或等于90%的，0分；</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3.政府采购执行率在90%-100%之间的，在0和满分之间计算确定：</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得分=［某部门政府采购执行率-min（政府采购执行率）］/［max（政府采购执行率）-min（政府采购执行率）］×该指标分值。</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64" w:type="dxa"/>
            <w:vAlign w:val="center"/>
            <w:textDirection w:val="lrTb"/>
            <w:noWrap w:val="false"/>
          </w:tcPr>
          <w:p>
            <w:pPr>
              <w:pStyle w:val="658"/>
              <w:widowControl w:val="true"/>
              <w:pBdr/>
              <w:spacing w:line="240" w:lineRule="exact"/>
              <w:ind/>
              <w:jc w:val="left"/>
              <w:rPr>
                <w:rFonts w:hint="eastAsia" w:eastAsia="宋体"/>
                <w:szCs w:val="21"/>
                <w:lang w:val="en-US" w:eastAsia="zh-CN"/>
              </w:rPr>
            </w:pPr>
            <w:r>
              <w:rPr>
                <w:rFonts w:hint="eastAsia"/>
                <w:szCs w:val="21"/>
                <w:lang w:val="en-US" w:eastAsia="zh-CN"/>
              </w:rPr>
              <w:t xml:space="preserve">4</w:t>
            </w:r>
            <w:r>
              <w:rPr>
                <w:rFonts w:hint="eastAsia" w:eastAsia="宋体"/>
                <w:szCs w:val="21"/>
                <w:lang w:val="en-US" w:eastAsia="zh-CN"/>
              </w:rPr>
            </w:r>
            <w:r>
              <w:rPr>
                <w:rFonts w:hint="eastAsia" w:eastAsia="宋体"/>
                <w:szCs w:val="21"/>
                <w:lang w:val="en-US" w:eastAsia="zh-CN"/>
              </w:rPr>
            </w:r>
          </w:p>
        </w:tc>
      </w:tr>
      <w:tr>
        <w:trPr>
          <w:trHeight w:val="256"/>
        </w:trPr>
        <w:tc>
          <w:tcPr>
            <w:tcBorders/>
            <w:tcW w:w="779"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43" w:type="dxa"/>
            <w:vAlign w:val="center"/>
            <w:vMerge w:val="restart"/>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预算管理情况</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（15）</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1275"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资金使用合规性（8分）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3436"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部门使用预算资金是否符合相关的预算财务管理制度的规定，反映和评价部门预算资金的规范运行情况。</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评价要点：</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1.符合国家财经法规和财务管理制度规定以及有关部门资金管理办法的规定；</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2.资金的拨付有完整的审批过程和手续；</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3.项目的重大开支经过评估论证；</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4.符合部门预算批复的用途；</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5.不存在截留情况；</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6.不存在挤占情况；</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7.不存在挪用情况；</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8.不存在虚列支出情况。</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2373"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全部符合（8）；</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符合其中七项（6）；</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符合其中六项（4）；</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符合其中五项（2）；</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符合其中四项及以下（0）。</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64" w:type="dxa"/>
            <w:vAlign w:val="center"/>
            <w:textDirection w:val="lrTb"/>
            <w:noWrap w:val="false"/>
          </w:tcPr>
          <w:p>
            <w:pPr>
              <w:pStyle w:val="658"/>
              <w:widowControl w:val="true"/>
              <w:pBdr/>
              <w:spacing w:line="240" w:lineRule="exact"/>
              <w:ind/>
              <w:jc w:val="left"/>
              <w:rPr>
                <w:rFonts w:hint="eastAsia" w:eastAsia="宋体"/>
                <w:szCs w:val="21"/>
                <w:lang w:val="en-US" w:eastAsia="zh-CN"/>
              </w:rPr>
            </w:pPr>
            <w:r>
              <w:rPr>
                <w:rFonts w:hint="eastAsia"/>
                <w:szCs w:val="21"/>
                <w:lang w:val="en-US" w:eastAsia="zh-CN"/>
              </w:rPr>
              <w:t xml:space="preserve">8</w:t>
            </w:r>
            <w:r>
              <w:rPr>
                <w:rFonts w:hint="eastAsia" w:eastAsia="宋体"/>
                <w:szCs w:val="21"/>
                <w:lang w:val="en-US" w:eastAsia="zh-CN"/>
              </w:rPr>
            </w:r>
            <w:r>
              <w:rPr>
                <w:rFonts w:hint="eastAsia" w:eastAsia="宋体"/>
                <w:szCs w:val="21"/>
                <w:lang w:val="en-US" w:eastAsia="zh-CN"/>
              </w:rPr>
            </w:r>
          </w:p>
        </w:tc>
      </w:tr>
      <w:tr>
        <w:trPr>
          <w:trHeight w:val="68"/>
        </w:trPr>
        <w:tc>
          <w:tcPr>
            <w:tcBorders/>
            <w:tcW w:w="779"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43"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1275"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预决算信息公开性（3分）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3436"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部门是否按照政府信息公开有关规定公开相关预决算信息，用以反映和评价部门预决算管理的公开透明情况。</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预决算信息是指与部门预算、执行、决算、监督、绩效等管理相关的信息。</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评价要点：</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1.公开预决算信息；</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2.按规定内容公开预决算信息；</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3.按规定时限公开预决算信息。</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2373"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全部符合（3）；</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符合其中两项（2）</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符合其中一项及以下（0）。</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64" w:type="dxa"/>
            <w:vAlign w:val="center"/>
            <w:textDirection w:val="lrTb"/>
            <w:noWrap w:val="false"/>
          </w:tcPr>
          <w:p>
            <w:pPr>
              <w:pStyle w:val="658"/>
              <w:widowControl w:val="true"/>
              <w:pBdr/>
              <w:spacing w:line="240" w:lineRule="exact"/>
              <w:ind/>
              <w:jc w:val="left"/>
              <w:rPr>
                <w:rFonts w:eastAsia="宋体"/>
                <w:szCs w:val="21"/>
                <w:lang w:val="en-US" w:eastAsia="zh-CN"/>
              </w:rPr>
            </w:pPr>
            <w:r>
              <w:rPr>
                <w:rFonts w:hint="eastAsia"/>
                <w:szCs w:val="21"/>
                <w:lang w:val="en-US" w:eastAsia="zh-CN"/>
              </w:rPr>
              <w:t xml:space="preserve">3</w:t>
            </w:r>
            <w:r>
              <w:rPr>
                <w:rFonts w:eastAsia="宋体"/>
                <w:szCs w:val="21"/>
                <w:lang w:val="en-US" w:eastAsia="zh-CN"/>
              </w:rPr>
            </w:r>
            <w:r>
              <w:rPr>
                <w:rFonts w:eastAsia="宋体"/>
                <w:szCs w:val="21"/>
                <w:lang w:val="en-US" w:eastAsia="zh-CN"/>
              </w:rPr>
            </w:r>
          </w:p>
        </w:tc>
      </w:tr>
      <w:tr>
        <w:trPr>
          <w:trHeight w:val="68"/>
        </w:trPr>
        <w:tc>
          <w:tcPr>
            <w:tcBorders/>
            <w:tcW w:w="779"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43"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1275"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color w:val="000000"/>
                <w:szCs w:val="21"/>
                <w:lang w:bidi="ar"/>
              </w:rPr>
              <w:t xml:space="preserve">基础信息完善性</w:t>
            </w:r>
            <w:r>
              <w:rPr>
                <w:rFonts w:hint="eastAsia" w:ascii="仿宋_GB2312" w:hAnsi="仿宋_GB2312" w:eastAsia="仿宋_GB2312" w:cs="仿宋_GB2312"/>
                <w:szCs w:val="21"/>
                <w:lang w:bidi="ar"/>
              </w:rPr>
              <w:t xml:space="preserve">（4分）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3436"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部门基础信息是否完善，用以反映和评价基础信息对预算管理工作的支撑情况。</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评价要点：</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1.基本财务管理制度健全；</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2.基础数据信息和会计信息资料真实；</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3.基础数据信息和会计信息资料完整；</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4.基础数据信息和会计信息资料准确。</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2373"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符合全部四项（4）；</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符合其中三项（2）；</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符合其中两项（1）；</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符合其中一项及以下（0）。</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64" w:type="dxa"/>
            <w:vAlign w:val="center"/>
            <w:textDirection w:val="lrTb"/>
            <w:noWrap w:val="false"/>
          </w:tcPr>
          <w:p>
            <w:pPr>
              <w:pStyle w:val="658"/>
              <w:widowControl w:val="true"/>
              <w:pBdr/>
              <w:spacing w:line="240" w:lineRule="exact"/>
              <w:ind/>
              <w:jc w:val="left"/>
              <w:rPr>
                <w:rFonts w:hint="eastAsia" w:eastAsia="宋体"/>
                <w:szCs w:val="21"/>
                <w:lang w:val="en-US" w:eastAsia="zh-CN"/>
              </w:rPr>
            </w:pPr>
            <w:r>
              <w:rPr>
                <w:rFonts w:hint="eastAsia"/>
                <w:szCs w:val="21"/>
                <w:lang w:val="en-US" w:eastAsia="zh-CN"/>
              </w:rPr>
              <w:t xml:space="preserve">4</w:t>
            </w:r>
            <w:r>
              <w:rPr>
                <w:rFonts w:hint="eastAsia" w:eastAsia="宋体"/>
                <w:szCs w:val="21"/>
                <w:lang w:val="en-US" w:eastAsia="zh-CN"/>
              </w:rPr>
            </w:r>
            <w:r>
              <w:rPr>
                <w:rFonts w:hint="eastAsia" w:eastAsia="宋体"/>
                <w:szCs w:val="21"/>
                <w:lang w:val="en-US" w:eastAsia="zh-CN"/>
              </w:rPr>
            </w:r>
          </w:p>
        </w:tc>
      </w:tr>
      <w:tr>
        <w:trPr>
          <w:trHeight w:val="256"/>
        </w:trPr>
        <w:tc>
          <w:tcPr>
            <w:tcBorders/>
            <w:tcW w:w="779"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43" w:type="dxa"/>
            <w:vAlign w:val="center"/>
            <w:vMerge w:val="restart"/>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资产管理情况（5分）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1275"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资产管理完整性（2分）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3436"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部门的资产是否保存完整、使用合规、收入及时足额上缴，用以反映和评价部门资产运行情况。</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评价要点：</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1.资产保存完整；</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2.资产账务管理是否合规，帐实相符；</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3.资产有偿使用及处置收入及时足额上缴。</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2373"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符合全部三项（3）；</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符合其中两项（2）；</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符合其中一项（1）；</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符合零项（0）。</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64" w:type="dxa"/>
            <w:vAlign w:val="center"/>
            <w:textDirection w:val="lrTb"/>
            <w:noWrap w:val="false"/>
          </w:tcPr>
          <w:p>
            <w:pPr>
              <w:pStyle w:val="658"/>
              <w:widowControl w:val="true"/>
              <w:pBdr/>
              <w:spacing w:line="240" w:lineRule="exact"/>
              <w:ind/>
              <w:jc w:val="left"/>
              <w:rPr>
                <w:rFonts w:hint="eastAsia" w:eastAsia="宋体"/>
                <w:szCs w:val="21"/>
                <w:lang w:val="en-US" w:eastAsia="zh-CN"/>
              </w:rPr>
            </w:pPr>
            <w:r>
              <w:rPr>
                <w:rFonts w:hint="eastAsia"/>
                <w:szCs w:val="21"/>
                <w:lang w:val="en-US" w:eastAsia="zh-CN"/>
              </w:rPr>
              <w:t xml:space="preserve">2</w:t>
            </w:r>
            <w:r>
              <w:rPr>
                <w:rFonts w:hint="eastAsia" w:eastAsia="宋体"/>
                <w:szCs w:val="21"/>
                <w:lang w:val="en-US" w:eastAsia="zh-CN"/>
              </w:rPr>
            </w:r>
            <w:r>
              <w:rPr>
                <w:rFonts w:hint="eastAsia" w:eastAsia="宋体"/>
                <w:szCs w:val="21"/>
                <w:lang w:val="en-US" w:eastAsia="zh-CN"/>
              </w:rPr>
            </w:r>
          </w:p>
        </w:tc>
      </w:tr>
      <w:tr>
        <w:trPr>
          <w:trHeight w:val="68"/>
        </w:trPr>
        <w:tc>
          <w:tcPr>
            <w:tcBorders/>
            <w:tcW w:w="779"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43"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1275"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固定资产利用率（3分）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3436"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部门实际在用固定资产总额与所有固定资产总额的比率，用以反映和评价部门固定资产使用效率。</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固定资产利用率=（实际在用固定资产总额/所有固定资产总额）×100%。</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2373" w:type="dxa"/>
            <w:vAlign w:val="center"/>
            <w:textDirection w:val="lrTb"/>
            <w:noWrap w:val="false"/>
          </w:tcPr>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1.固定资产利用率大于或等于95%的，得满分；</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2.固定资产利用率小于或等于85%的，得0分；</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3.固定资产利用率在85%-95%之间的，在0和满分之间计算确定：</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得分=［某部门固定资产利用率-min（固定资产利用率）］/［max（固定资产利用率）-min（固定资产利用率）］×该指标分值。</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64" w:type="dxa"/>
            <w:vAlign w:val="center"/>
            <w:textDirection w:val="lrTb"/>
            <w:noWrap w:val="false"/>
          </w:tcPr>
          <w:p>
            <w:pPr>
              <w:pStyle w:val="658"/>
              <w:widowControl w:val="true"/>
              <w:pBdr/>
              <w:spacing w:line="240" w:lineRule="exact"/>
              <w:ind/>
              <w:jc w:val="left"/>
              <w:rPr>
                <w:rFonts w:hint="eastAsia" w:eastAsia="宋体"/>
                <w:szCs w:val="21"/>
                <w:lang w:val="en-US" w:eastAsia="zh-CN"/>
              </w:rPr>
            </w:pPr>
            <w:r>
              <w:rPr>
                <w:rFonts w:hint="eastAsia"/>
                <w:szCs w:val="21"/>
                <w:lang w:val="en-US" w:eastAsia="zh-CN"/>
              </w:rPr>
              <w:t xml:space="preserve">3</w:t>
            </w:r>
            <w:r>
              <w:rPr>
                <w:rFonts w:hint="eastAsia" w:eastAsia="宋体"/>
                <w:szCs w:val="21"/>
                <w:lang w:val="en-US" w:eastAsia="zh-CN"/>
              </w:rPr>
            </w:r>
            <w:r>
              <w:rPr>
                <w:rFonts w:hint="eastAsia" w:eastAsia="宋体"/>
                <w:szCs w:val="21"/>
                <w:lang w:val="en-US" w:eastAsia="zh-CN"/>
              </w:rPr>
            </w:r>
          </w:p>
        </w:tc>
      </w:tr>
      <w:tr>
        <w:trPr>
          <w:trHeight w:val="68"/>
        </w:trPr>
        <w:tc>
          <w:tcPr>
            <w:tcBorders/>
            <w:tcW w:w="779" w:type="dxa"/>
            <w:vAlign w:val="center"/>
            <w:vMerge w:val="restart"/>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产出(25分)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43" w:type="dxa"/>
            <w:vAlign w:val="center"/>
            <w:vMerge w:val="restart"/>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职责履行情况（25）</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1275"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履职完成情况（10分）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3436"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color w:val="000000"/>
                <w:szCs w:val="21"/>
                <w:lang w:bidi="ar"/>
              </w:rPr>
              <w:t xml:space="preserve">根据年度主要任务分解表的具体任务，逐项评价任务量化指标完成情况、实施效果和责任制建立情况。用以反映和考核部门（单位）履职工作任务目标的完成情况。评价要点：</w:t>
            </w:r>
            <w:r>
              <w:rPr>
                <w:rFonts w:hint="eastAsia" w:ascii="仿宋_GB2312" w:hAnsi="仿宋_GB2312" w:eastAsia="仿宋_GB2312" w:cs="仿宋_GB2312"/>
                <w:color w:val="000000"/>
                <w:szCs w:val="21"/>
                <w:lang w:bidi="ar"/>
              </w:rPr>
              <w:br w:type="textWrapping" w:clear="all"/>
            </w:r>
            <w:r>
              <w:rPr>
                <w:rFonts w:hint="eastAsia" w:ascii="仿宋_GB2312" w:hAnsi="仿宋_GB2312" w:eastAsia="仿宋_GB2312" w:cs="仿宋_GB2312"/>
                <w:color w:val="000000"/>
                <w:szCs w:val="21"/>
                <w:lang w:bidi="ar"/>
              </w:rPr>
              <w:t xml:space="preserve">1.每项任务是否已制定了明确、具体、可量化、可衡量的绩效指标；           </w:t>
            </w:r>
            <w:r>
              <w:rPr>
                <w:rFonts w:hint="eastAsia" w:ascii="仿宋_GB2312" w:hAnsi="仿宋_GB2312" w:eastAsia="仿宋_GB2312" w:cs="仿宋_GB2312"/>
                <w:color w:val="000000"/>
                <w:szCs w:val="21"/>
                <w:lang w:bidi="ar"/>
              </w:rPr>
              <w:br w:type="textWrapping" w:clear="all"/>
            </w:r>
            <w:r>
              <w:rPr>
                <w:rFonts w:hint="eastAsia" w:ascii="仿宋_GB2312" w:hAnsi="仿宋_GB2312" w:eastAsia="仿宋_GB2312" w:cs="仿宋_GB2312"/>
                <w:color w:val="000000"/>
                <w:szCs w:val="21"/>
                <w:lang w:bidi="ar"/>
              </w:rPr>
              <w:t xml:space="preserve">2.每项任务绩效指标的完成情况，是全部完成、基本完成、未完成，还是未实施；</w:t>
            </w:r>
            <w:r>
              <w:rPr>
                <w:rFonts w:hint="eastAsia" w:ascii="仿宋_GB2312" w:hAnsi="仿宋_GB2312" w:eastAsia="仿宋_GB2312" w:cs="仿宋_GB2312"/>
                <w:color w:val="000000"/>
                <w:szCs w:val="21"/>
                <w:lang w:bidi="ar"/>
              </w:rPr>
              <w:br w:type="textWrapping" w:clear="all"/>
            </w:r>
            <w:r>
              <w:rPr>
                <w:rFonts w:hint="eastAsia" w:ascii="仿宋_GB2312" w:hAnsi="仿宋_GB2312" w:eastAsia="仿宋_GB2312" w:cs="仿宋_GB2312"/>
                <w:color w:val="000000"/>
                <w:szCs w:val="21"/>
                <w:lang w:bidi="ar"/>
              </w:rPr>
              <w:t xml:space="preserve">3.每项任务实施效果情况，是优秀、良好、一般，还是无效果；</w:t>
            </w:r>
            <w:r>
              <w:rPr>
                <w:rFonts w:hint="eastAsia" w:ascii="仿宋_GB2312" w:hAnsi="仿宋_GB2312" w:eastAsia="仿宋_GB2312" w:cs="仿宋_GB2312"/>
                <w:color w:val="000000"/>
                <w:szCs w:val="21"/>
                <w:lang w:bidi="ar"/>
              </w:rPr>
              <w:br w:type="textWrapping" w:clear="all"/>
            </w:r>
            <w:r>
              <w:rPr>
                <w:rFonts w:hint="eastAsia" w:ascii="仿宋_GB2312" w:hAnsi="仿宋_GB2312" w:eastAsia="仿宋_GB2312" w:cs="仿宋_GB2312"/>
                <w:color w:val="000000"/>
                <w:szCs w:val="21"/>
                <w:lang w:bidi="ar"/>
              </w:rPr>
              <w:t xml:space="preserve">4.每项任务是否建立了目标责任制，是否落实到具体部门和人员负责。</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2373"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color w:val="000000"/>
                <w:szCs w:val="21"/>
                <w:lang w:bidi="ar"/>
              </w:rPr>
              <w:t xml:space="preserve">根据不同部门履职的内容和特点，具体测算部门履职工作任务目标的完成情况。</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64" w:type="dxa"/>
            <w:vAlign w:val="center"/>
            <w:textDirection w:val="lrTb"/>
            <w:noWrap w:val="false"/>
          </w:tcPr>
          <w:p>
            <w:pPr>
              <w:pStyle w:val="658"/>
              <w:widowControl w:val="true"/>
              <w:pBdr/>
              <w:spacing w:line="240" w:lineRule="exact"/>
              <w:ind/>
              <w:jc w:val="left"/>
              <w:rPr>
                <w:rFonts w:eastAsia="宋体"/>
                <w:szCs w:val="21"/>
                <w:lang w:val="en-US" w:eastAsia="zh-CN"/>
              </w:rPr>
            </w:pPr>
            <w:r>
              <w:rPr>
                <w:rFonts w:hint="eastAsia"/>
                <w:szCs w:val="21"/>
                <w:lang w:val="en-US" w:eastAsia="zh-CN"/>
              </w:rPr>
              <w:t xml:space="preserve">9</w:t>
            </w:r>
            <w:r>
              <w:rPr>
                <w:rFonts w:eastAsia="宋体"/>
                <w:szCs w:val="21"/>
                <w:lang w:val="en-US" w:eastAsia="zh-CN"/>
              </w:rPr>
            </w:r>
            <w:r>
              <w:rPr>
                <w:rFonts w:eastAsia="宋体"/>
                <w:szCs w:val="21"/>
                <w:lang w:val="en-US" w:eastAsia="zh-CN"/>
              </w:rPr>
            </w:r>
          </w:p>
        </w:tc>
      </w:tr>
      <w:tr>
        <w:trPr>
          <w:trHeight w:val="3090"/>
        </w:trPr>
        <w:tc>
          <w:tcPr>
            <w:tcBorders/>
            <w:tcW w:w="779"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43"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1275"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项目完成质量达标率（15）</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3436" w:type="dxa"/>
            <w:vAlign w:val="center"/>
            <w:textDirection w:val="lrTb"/>
            <w:noWrap w:val="false"/>
          </w:tcPr>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部门已完成项目中质量达标项目个数占已完成项目个数的比率,用以反映和评价部门履职质量目标的实现程度。</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项目质量达标率=（已完成项目中质量达标项目个数/已完成项目个数）×100%。</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项目质量达标是指项目决算验收合格。</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2373" w:type="dxa"/>
            <w:vAlign w:val="center"/>
            <w:textDirection w:val="lrTb"/>
            <w:noWrap w:val="false"/>
          </w:tcPr>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1.项目质量达标率等于100%的，得满分；</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2.项目质量达标率小于或等于99%的，得0分；</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3.项目质量达标率在99%-100%之间的，在0和满分之间计算确定： </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得分=［某部门项目质量达标率-min（项目质量达标率）］/［max（项目质量达标率）-min（项目质量达标率）］×该指标分值。</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64" w:type="dxa"/>
            <w:vAlign w:val="center"/>
            <w:textDirection w:val="lrTb"/>
            <w:noWrap w:val="false"/>
          </w:tcPr>
          <w:p>
            <w:pPr>
              <w:pStyle w:val="658"/>
              <w:widowControl w:val="true"/>
              <w:pBdr/>
              <w:spacing w:line="240" w:lineRule="exact"/>
              <w:ind/>
              <w:jc w:val="left"/>
              <w:rPr>
                <w:rFonts w:eastAsia="宋体"/>
                <w:szCs w:val="21"/>
                <w:lang w:val="en-US" w:eastAsia="zh-CN"/>
              </w:rPr>
            </w:pPr>
            <w:r>
              <w:rPr>
                <w:rFonts w:hint="eastAsia"/>
                <w:szCs w:val="21"/>
                <w:lang w:val="en-US" w:eastAsia="zh-CN"/>
              </w:rPr>
              <w:t xml:space="preserve">15</w:t>
            </w:r>
            <w:r>
              <w:rPr>
                <w:rFonts w:eastAsia="宋体"/>
                <w:szCs w:val="21"/>
                <w:lang w:val="en-US" w:eastAsia="zh-CN"/>
              </w:rPr>
            </w:r>
            <w:r>
              <w:rPr>
                <w:rFonts w:eastAsia="宋体"/>
                <w:szCs w:val="21"/>
                <w:lang w:val="en-US" w:eastAsia="zh-CN"/>
              </w:rPr>
            </w:r>
          </w:p>
        </w:tc>
      </w:tr>
      <w:tr>
        <w:trPr>
          <w:trHeight w:val="68"/>
        </w:trPr>
        <w:tc>
          <w:tcPr>
            <w:tcBorders/>
            <w:tcW w:w="779" w:type="dxa"/>
            <w:vAlign w:val="center"/>
            <w:vMerge w:val="restart"/>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效果（20分）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43" w:type="dxa"/>
            <w:vAlign w:val="center"/>
            <w:vMerge w:val="restart"/>
            <w:textDirection w:val="lrTb"/>
            <w:noWrap w:val="false"/>
          </w:tcPr>
          <w:p>
            <w:pPr>
              <w:pStyle w:val="658"/>
              <w:widowControl w:val="true"/>
              <w:pBdr/>
              <w:spacing w:line="240" w:lineRule="exact"/>
              <w:ind/>
              <w:jc w:val="left"/>
              <w:rPr>
                <w:rFonts w:hint="eastAsia" w:ascii="仿宋_GB2312" w:hAnsi="仿宋_GB2312" w:eastAsia="仿宋_GB2312" w:cs="仿宋_GB2312"/>
                <w:szCs w:val="21"/>
                <w:lang w:bidi="ar"/>
              </w:rPr>
            </w:pPr>
            <w:r>
              <w:rPr>
                <w:rFonts w:hint="eastAsia" w:ascii="仿宋_GB2312" w:hAnsi="仿宋_GB2312" w:eastAsia="仿宋_GB2312" w:cs="仿宋_GB2312"/>
                <w:szCs w:val="21"/>
                <w:lang w:bidi="ar"/>
              </w:rPr>
            </w:r>
            <w:r>
              <w:rPr>
                <w:rFonts w:hint="eastAsia" w:ascii="仿宋_GB2312" w:hAnsi="仿宋_GB2312" w:eastAsia="仿宋_GB2312" w:cs="仿宋_GB2312"/>
                <w:szCs w:val="21"/>
                <w:lang w:bidi="ar"/>
              </w:rPr>
            </w:r>
          </w:p>
          <w:p>
            <w:pPr>
              <w:pStyle w:val="658"/>
              <w:widowControl w:val="true"/>
              <w:pBdr/>
              <w:spacing w:line="240" w:lineRule="exact"/>
              <w:ind/>
              <w:jc w:val="left"/>
              <w:rPr>
                <w:rFonts w:hint="eastAsia" w:ascii="仿宋_GB2312" w:hAnsi="仿宋_GB2312" w:eastAsia="仿宋_GB2312" w:cs="仿宋_GB2312"/>
                <w:szCs w:val="21"/>
                <w:lang w:bidi="ar"/>
              </w:rPr>
            </w:pPr>
            <w:r>
              <w:rPr>
                <w:rFonts w:hint="eastAsia" w:ascii="仿宋_GB2312" w:hAnsi="仿宋_GB2312" w:eastAsia="仿宋_GB2312" w:cs="仿宋_GB2312"/>
                <w:szCs w:val="21"/>
                <w:lang w:bidi="ar"/>
              </w:rPr>
              <w:t xml:space="preserve">履职效益情况</w:t>
            </w:r>
            <w:r>
              <w:rPr>
                <w:rFonts w:hint="eastAsia" w:ascii="仿宋_GB2312" w:hAnsi="仿宋_GB2312" w:eastAsia="仿宋_GB2312" w:cs="仿宋_GB2312"/>
                <w:szCs w:val="21"/>
                <w:lang w:bidi="ar"/>
              </w:rPr>
            </w:r>
            <w:r>
              <w:rPr>
                <w:rFonts w:hint="eastAsia" w:ascii="仿宋_GB2312" w:hAnsi="仿宋_GB2312" w:eastAsia="仿宋_GB2312" w:cs="仿宋_GB2312"/>
                <w:szCs w:val="21"/>
                <w:lang w:bidi="ar"/>
              </w:rPr>
            </w:r>
          </w:p>
          <w:p>
            <w:pPr>
              <w:pStyle w:val="658"/>
              <w:widowControl w:val="true"/>
              <w:pBdr/>
              <w:spacing w:line="240" w:lineRule="exact"/>
              <w:ind/>
              <w:jc w:val="left"/>
              <w:rPr>
                <w:rFonts w:hint="eastAsia" w:ascii="仿宋_GB2312" w:hAnsi="仿宋_GB2312" w:eastAsia="仿宋_GB2312" w:cs="仿宋_GB2312"/>
                <w:szCs w:val="21"/>
                <w:lang w:bidi="ar"/>
              </w:rPr>
            </w:pPr>
            <w:r>
              <w:rPr>
                <w:rFonts w:hint="eastAsia" w:ascii="仿宋_GB2312" w:hAnsi="仿宋_GB2312" w:eastAsia="仿宋_GB2312" w:cs="仿宋_GB2312"/>
                <w:szCs w:val="21"/>
                <w:lang w:bidi="ar"/>
              </w:rPr>
              <w:t xml:space="preserve">（20分）</w:t>
            </w:r>
            <w:r>
              <w:rPr>
                <w:rFonts w:hint="eastAsia" w:ascii="仿宋_GB2312" w:hAnsi="仿宋_GB2312" w:eastAsia="仿宋_GB2312" w:cs="仿宋_GB2312"/>
                <w:szCs w:val="21"/>
                <w:lang w:bidi="ar"/>
              </w:rPr>
            </w:r>
            <w:r>
              <w:rPr>
                <w:rFonts w:hint="eastAsia" w:ascii="仿宋_GB2312" w:hAnsi="仿宋_GB2312" w:eastAsia="仿宋_GB2312" w:cs="仿宋_GB2312"/>
                <w:szCs w:val="21"/>
                <w:lang w:bidi="ar"/>
              </w:rPr>
            </w:r>
          </w:p>
        </w:tc>
        <w:tc>
          <w:tcPr>
            <w:tcBorders/>
            <w:tcW w:w="1275"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color w:val="000000"/>
                <w:szCs w:val="21"/>
                <w:lang w:bidi="ar"/>
              </w:rPr>
              <w:t xml:space="preserve">经济效益</w:t>
            </w:r>
            <w:r>
              <w:rPr>
                <w:rFonts w:hint="eastAsia" w:ascii="仿宋_GB2312" w:hAnsi="仿宋_GB2312" w:eastAsia="仿宋_GB2312" w:cs="仿宋_GB2312"/>
                <w:szCs w:val="21"/>
                <w:lang w:bidi="ar"/>
              </w:rPr>
              <w:t xml:space="preserve">（5分）</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3436"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color w:val="000000"/>
                <w:szCs w:val="21"/>
                <w:lang w:bidi="ar"/>
              </w:rPr>
            </w:pPr>
            <w:r>
              <w:rPr>
                <w:rFonts w:hint="eastAsia" w:ascii="仿宋_GB2312" w:hAnsi="仿宋_GB2312" w:eastAsia="仿宋_GB2312" w:cs="仿宋_GB2312"/>
                <w:color w:val="000000"/>
                <w:szCs w:val="21"/>
                <w:lang w:bidi="ar"/>
              </w:rPr>
              <w:t xml:space="preserve">部门及所属二级单位通过履行职责和预算安排支出项目的实施，对我市带来的经济影响。</w:t>
            </w:r>
            <w:r>
              <w:rPr>
                <w:rFonts w:hint="eastAsia" w:ascii="仿宋_GB2312" w:hAnsi="仿宋_GB2312" w:eastAsia="仿宋_GB2312" w:cs="仿宋_GB2312"/>
                <w:color w:val="000000"/>
                <w:szCs w:val="21"/>
                <w:lang w:bidi="ar"/>
              </w:rPr>
            </w:r>
            <w:r>
              <w:rPr>
                <w:rFonts w:hint="eastAsia" w:ascii="仿宋_GB2312" w:hAnsi="仿宋_GB2312" w:eastAsia="仿宋_GB2312" w:cs="仿宋_GB2312"/>
                <w:color w:val="000000"/>
                <w:szCs w:val="21"/>
                <w:lang w:bidi="ar"/>
              </w:rPr>
            </w:r>
          </w:p>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color w:val="000000"/>
                <w:szCs w:val="21"/>
                <w:lang w:bidi="ar"/>
              </w:rPr>
              <w:t xml:space="preserve">评价要点：</w:t>
            </w:r>
            <w:r>
              <w:rPr>
                <w:rFonts w:hint="eastAsia" w:ascii="仿宋_GB2312" w:hAnsi="仿宋_GB2312" w:eastAsia="仿宋_GB2312" w:cs="仿宋_GB2312"/>
                <w:color w:val="000000"/>
                <w:szCs w:val="21"/>
                <w:lang w:bidi="ar"/>
              </w:rPr>
              <w:br w:type="textWrapping" w:clear="all"/>
            </w:r>
            <w:r>
              <w:rPr>
                <w:rFonts w:hint="eastAsia" w:ascii="仿宋_GB2312" w:hAnsi="仿宋_GB2312" w:eastAsia="仿宋_GB2312" w:cs="仿宋_GB2312"/>
                <w:color w:val="000000"/>
                <w:szCs w:val="21"/>
                <w:lang w:bidi="ar"/>
              </w:rPr>
              <w:t xml:space="preserve">1.通过部门所属企事业单位改革，促进了企事业单位效益增长情况；          </w:t>
            </w:r>
            <w:r>
              <w:rPr>
                <w:rFonts w:hint="eastAsia" w:ascii="仿宋_GB2312" w:hAnsi="仿宋_GB2312" w:eastAsia="仿宋_GB2312" w:cs="仿宋_GB2312"/>
                <w:color w:val="000000"/>
                <w:szCs w:val="21"/>
                <w:lang w:bidi="ar"/>
              </w:rPr>
              <w:br w:type="textWrapping" w:clear="all"/>
            </w:r>
            <w:r>
              <w:rPr>
                <w:rFonts w:hint="eastAsia" w:ascii="仿宋_GB2312" w:hAnsi="仿宋_GB2312" w:eastAsia="仿宋_GB2312" w:cs="仿宋_GB2312"/>
                <w:color w:val="000000"/>
                <w:szCs w:val="21"/>
                <w:lang w:bidi="ar"/>
              </w:rPr>
              <w:t xml:space="preserve">2.通过预算支出项目的实施，促进了行业生产能力增长，从而带动行业经济效益增长；</w:t>
            </w:r>
            <w:r>
              <w:rPr>
                <w:rFonts w:hint="eastAsia" w:ascii="仿宋_GB2312" w:hAnsi="仿宋_GB2312" w:eastAsia="仿宋_GB2312" w:cs="仿宋_GB2312"/>
                <w:color w:val="000000"/>
                <w:szCs w:val="21"/>
                <w:lang w:bidi="ar"/>
              </w:rPr>
              <w:br w:type="textWrapping" w:clear="all"/>
            </w:r>
            <w:r>
              <w:rPr>
                <w:rFonts w:hint="eastAsia" w:ascii="仿宋_GB2312" w:hAnsi="仿宋_GB2312" w:eastAsia="仿宋_GB2312" w:cs="仿宋_GB2312"/>
                <w:color w:val="000000"/>
                <w:szCs w:val="21"/>
                <w:lang w:bidi="ar"/>
              </w:rPr>
              <w:t xml:space="preserve">3.通过预算支出项目的实施，有效提高劳动效率，节约成本费用；</w:t>
            </w:r>
            <w:r>
              <w:rPr>
                <w:rFonts w:hint="eastAsia" w:ascii="仿宋_GB2312" w:hAnsi="仿宋_GB2312" w:eastAsia="仿宋_GB2312" w:cs="仿宋_GB2312"/>
                <w:color w:val="000000"/>
                <w:szCs w:val="21"/>
                <w:lang w:bidi="ar"/>
              </w:rPr>
              <w:br w:type="textWrapping" w:clear="all"/>
            </w:r>
            <w:r>
              <w:rPr>
                <w:rFonts w:hint="eastAsia" w:ascii="仿宋_GB2312" w:hAnsi="仿宋_GB2312" w:eastAsia="仿宋_GB2312" w:cs="仿宋_GB2312"/>
                <w:color w:val="000000"/>
                <w:szCs w:val="21"/>
                <w:lang w:bidi="ar"/>
              </w:rPr>
              <w:t xml:space="preserve">4.通过预算支出项目的实施，降低了损耗，从而提高了生产效益；</w:t>
            </w:r>
            <w:r>
              <w:rPr>
                <w:rFonts w:hint="eastAsia" w:ascii="仿宋_GB2312" w:hAnsi="仿宋_GB2312" w:eastAsia="仿宋_GB2312" w:cs="仿宋_GB2312"/>
                <w:color w:val="000000"/>
                <w:szCs w:val="21"/>
                <w:lang w:bidi="ar"/>
              </w:rPr>
              <w:br w:type="textWrapping" w:clear="all"/>
            </w:r>
            <w:r>
              <w:rPr>
                <w:rFonts w:hint="eastAsia" w:ascii="仿宋_GB2312" w:hAnsi="仿宋_GB2312" w:eastAsia="仿宋_GB2312" w:cs="仿宋_GB2312"/>
                <w:color w:val="000000"/>
                <w:szCs w:val="21"/>
                <w:lang w:bidi="ar"/>
              </w:rPr>
              <w:t xml:space="preserve">5.通过预算支出项目的实施，完善了突发情况的监测预警，保障了生产安全，降低了生产损失。</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2373"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color w:val="000000"/>
                <w:szCs w:val="21"/>
                <w:lang w:bidi="ar"/>
              </w:rPr>
              <w:t xml:space="preserve">根据不同部门履职的内容和特点，具体测算部门履职产生的经济效益。</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64" w:type="dxa"/>
            <w:vAlign w:val="center"/>
            <w:textDirection w:val="lrTb"/>
            <w:noWrap w:val="false"/>
          </w:tcPr>
          <w:p>
            <w:pPr>
              <w:pStyle w:val="658"/>
              <w:widowControl w:val="true"/>
              <w:pBdr/>
              <w:spacing w:line="240" w:lineRule="exact"/>
              <w:ind/>
              <w:jc w:val="left"/>
              <w:rPr>
                <w:rFonts w:hint="eastAsia" w:eastAsia="宋体"/>
                <w:szCs w:val="21"/>
                <w:lang w:val="en-US" w:eastAsia="zh-CN"/>
              </w:rPr>
            </w:pPr>
            <w:r>
              <w:rPr>
                <w:rFonts w:hint="eastAsia"/>
                <w:szCs w:val="21"/>
                <w:lang w:val="en-US" w:eastAsia="zh-CN"/>
              </w:rPr>
              <w:t xml:space="preserve">5</w:t>
            </w:r>
            <w:r>
              <w:rPr>
                <w:rFonts w:hint="eastAsia" w:eastAsia="宋体"/>
                <w:szCs w:val="21"/>
                <w:lang w:val="en-US" w:eastAsia="zh-CN"/>
              </w:rPr>
            </w:r>
            <w:r>
              <w:rPr>
                <w:rFonts w:hint="eastAsia" w:eastAsia="宋体"/>
                <w:szCs w:val="21"/>
                <w:lang w:val="en-US" w:eastAsia="zh-CN"/>
              </w:rPr>
            </w:r>
          </w:p>
        </w:tc>
      </w:tr>
      <w:tr>
        <w:trPr>
          <w:trHeight w:val="68"/>
        </w:trPr>
        <w:tc>
          <w:tcPr>
            <w:tcBorders/>
            <w:tcW w:w="779" w:type="dxa"/>
            <w:vAlign w:val="center"/>
            <w:vMerge w:val="continue"/>
            <w:textDirection w:val="lrTb"/>
            <w:noWrap w:val="false"/>
          </w:tcPr>
          <w:p>
            <w:pPr>
              <w:pStyle w:val="658"/>
              <w:widowControl w:val="true"/>
              <w:pBdr/>
              <w:spacing w:line="240" w:lineRule="exact"/>
              <w:ind/>
              <w:jc w:val="left"/>
              <w:rPr>
                <w:rFonts w:hint="eastAsia" w:ascii="仿宋_GB2312" w:hAnsi="仿宋_GB2312" w:eastAsia="仿宋_GB2312" w:cs="仿宋_GB2312"/>
                <w:szCs w:val="21"/>
                <w:lang w:bidi="ar"/>
              </w:rPr>
            </w:pPr>
            <w:r>
              <w:rPr>
                <w:rFonts w:hint="eastAsia" w:ascii="仿宋_GB2312" w:hAnsi="仿宋_GB2312" w:eastAsia="仿宋_GB2312" w:cs="仿宋_GB2312"/>
                <w:szCs w:val="21"/>
                <w:lang w:bidi="ar"/>
              </w:rPr>
            </w:r>
            <w:r>
              <w:rPr>
                <w:rFonts w:hint="eastAsia" w:ascii="仿宋_GB2312" w:hAnsi="仿宋_GB2312" w:eastAsia="仿宋_GB2312" w:cs="仿宋_GB2312"/>
                <w:szCs w:val="21"/>
                <w:lang w:bidi="ar"/>
              </w:rPr>
            </w:r>
          </w:p>
        </w:tc>
        <w:tc>
          <w:tcPr>
            <w:tcBorders/>
            <w:tcW w:w="743" w:type="dxa"/>
            <w:vAlign w:val="center"/>
            <w:vMerge w:val="continue"/>
            <w:textDirection w:val="lrTb"/>
            <w:noWrap w:val="false"/>
          </w:tcPr>
          <w:p>
            <w:pPr>
              <w:pStyle w:val="658"/>
              <w:widowControl w:val="true"/>
              <w:pBdr/>
              <w:spacing w:line="240" w:lineRule="exact"/>
              <w:ind/>
              <w:jc w:val="left"/>
              <w:rPr>
                <w:rFonts w:hint="eastAsia" w:ascii="仿宋_GB2312" w:hAnsi="仿宋_GB2312" w:eastAsia="仿宋_GB2312" w:cs="仿宋_GB2312"/>
                <w:szCs w:val="21"/>
                <w:lang w:bidi="ar"/>
              </w:rPr>
            </w:pPr>
            <w:r>
              <w:rPr>
                <w:rFonts w:hint="eastAsia" w:ascii="仿宋_GB2312" w:hAnsi="仿宋_GB2312" w:eastAsia="仿宋_GB2312" w:cs="仿宋_GB2312"/>
                <w:szCs w:val="21"/>
                <w:lang w:bidi="ar"/>
              </w:rPr>
            </w:r>
            <w:r>
              <w:rPr>
                <w:rFonts w:hint="eastAsia" w:ascii="仿宋_GB2312" w:hAnsi="仿宋_GB2312" w:eastAsia="仿宋_GB2312" w:cs="仿宋_GB2312"/>
                <w:szCs w:val="21"/>
                <w:lang w:bidi="ar"/>
              </w:rPr>
            </w:r>
          </w:p>
        </w:tc>
        <w:tc>
          <w:tcPr>
            <w:tcBorders/>
            <w:tcW w:w="1275" w:type="dxa"/>
            <w:vAlign w:val="center"/>
            <w:textDirection w:val="lrTb"/>
            <w:noWrap w:val="false"/>
          </w:tcPr>
          <w:p>
            <w:pPr>
              <w:pStyle w:val="658"/>
              <w:widowControl w:val="true"/>
              <w:pBdr/>
              <w:spacing w:line="240" w:lineRule="exact"/>
              <w:ind/>
              <w:rPr>
                <w:rFonts w:hint="eastAsia" w:ascii="仿宋_GB2312" w:hAnsi="仿宋_GB2312" w:eastAsia="仿宋_GB2312" w:cs="仿宋_GB2312"/>
                <w:color w:val="000000"/>
                <w:szCs w:val="21"/>
                <w:lang w:bidi="ar"/>
              </w:rPr>
            </w:pPr>
            <w:r>
              <w:rPr>
                <w:rFonts w:hint="eastAsia" w:ascii="仿宋_GB2312" w:hAnsi="仿宋_GB2312" w:eastAsia="仿宋_GB2312" w:cs="仿宋_GB2312"/>
                <w:color w:val="000000"/>
                <w:szCs w:val="21"/>
                <w:lang w:bidi="ar"/>
              </w:rPr>
              <w:t xml:space="preserve">社会效益（5分）</w:t>
            </w:r>
            <w:r>
              <w:rPr>
                <w:rFonts w:hint="eastAsia" w:ascii="仿宋_GB2312" w:hAnsi="仿宋_GB2312" w:eastAsia="仿宋_GB2312" w:cs="仿宋_GB2312"/>
                <w:color w:val="000000"/>
                <w:szCs w:val="21"/>
                <w:lang w:bidi="ar"/>
              </w:rPr>
            </w:r>
            <w:r>
              <w:rPr>
                <w:rFonts w:hint="eastAsia" w:ascii="仿宋_GB2312" w:hAnsi="仿宋_GB2312" w:eastAsia="仿宋_GB2312" w:cs="仿宋_GB2312"/>
                <w:color w:val="000000"/>
                <w:szCs w:val="21"/>
                <w:lang w:bidi="ar"/>
              </w:rPr>
            </w:r>
          </w:p>
        </w:tc>
        <w:tc>
          <w:tcPr>
            <w:tcBorders/>
            <w:tcW w:w="3436" w:type="dxa"/>
            <w:vAlign w:val="center"/>
            <w:textDirection w:val="lrTb"/>
            <w:noWrap w:val="false"/>
          </w:tcPr>
          <w:p>
            <w:pPr>
              <w:pStyle w:val="658"/>
              <w:widowControl w:val="true"/>
              <w:pBdr/>
              <w:spacing w:line="240" w:lineRule="exact"/>
              <w:ind/>
              <w:rPr>
                <w:rFonts w:hint="eastAsia" w:ascii="仿宋_GB2312" w:hAnsi="仿宋_GB2312" w:eastAsia="仿宋_GB2312" w:cs="仿宋_GB2312"/>
                <w:color w:val="000000"/>
                <w:szCs w:val="21"/>
                <w:lang w:bidi="ar"/>
              </w:rPr>
            </w:pPr>
            <w:r>
              <w:rPr>
                <w:rFonts w:hint="eastAsia" w:ascii="仿宋_GB2312" w:hAnsi="仿宋_GB2312" w:eastAsia="仿宋_GB2312" w:cs="仿宋_GB2312"/>
                <w:color w:val="000000"/>
                <w:szCs w:val="21"/>
                <w:lang w:bidi="ar"/>
              </w:rPr>
              <w:t xml:space="preserve">部门及所属二级单位履行职责对社会发展所带来的直接或间接影响。</w:t>
            </w:r>
            <w:r>
              <w:rPr>
                <w:rFonts w:hint="eastAsia" w:ascii="仿宋_GB2312" w:hAnsi="仿宋_GB2312" w:eastAsia="仿宋_GB2312" w:cs="仿宋_GB2312"/>
                <w:color w:val="000000"/>
                <w:szCs w:val="21"/>
                <w:lang w:bidi="ar"/>
              </w:rPr>
            </w:r>
            <w:r>
              <w:rPr>
                <w:rFonts w:hint="eastAsia" w:ascii="仿宋_GB2312" w:hAnsi="仿宋_GB2312" w:eastAsia="仿宋_GB2312" w:cs="仿宋_GB2312"/>
                <w:color w:val="000000"/>
                <w:szCs w:val="21"/>
                <w:lang w:bidi="ar"/>
              </w:rPr>
            </w:r>
          </w:p>
          <w:p>
            <w:pPr>
              <w:pStyle w:val="658"/>
              <w:widowControl w:val="true"/>
              <w:pBdr/>
              <w:spacing w:line="240" w:lineRule="exact"/>
              <w:ind/>
              <w:rPr>
                <w:rFonts w:hint="eastAsia" w:ascii="仿宋_GB2312" w:hAnsi="仿宋_GB2312" w:eastAsia="仿宋_GB2312" w:cs="仿宋_GB2312"/>
                <w:color w:val="000000"/>
                <w:szCs w:val="21"/>
                <w:lang w:bidi="ar"/>
              </w:rPr>
            </w:pPr>
            <w:r>
              <w:rPr>
                <w:rFonts w:hint="eastAsia" w:ascii="仿宋_GB2312" w:hAnsi="仿宋_GB2312" w:eastAsia="仿宋_GB2312" w:cs="仿宋_GB2312"/>
                <w:color w:val="000000"/>
                <w:szCs w:val="21"/>
                <w:lang w:bidi="ar"/>
              </w:rPr>
              <w:t xml:space="preserve">评价要点：</w:t>
            </w:r>
            <w:r>
              <w:rPr>
                <w:rFonts w:hint="eastAsia" w:ascii="仿宋_GB2312" w:hAnsi="仿宋_GB2312" w:eastAsia="仿宋_GB2312" w:cs="仿宋_GB2312"/>
                <w:color w:val="000000"/>
                <w:szCs w:val="21"/>
                <w:lang w:bidi="ar"/>
              </w:rPr>
              <w:br w:type="textWrapping" w:clear="all"/>
            </w:r>
            <w:r>
              <w:rPr>
                <w:rFonts w:hint="eastAsia" w:ascii="仿宋_GB2312" w:hAnsi="仿宋_GB2312" w:eastAsia="仿宋_GB2312" w:cs="仿宋_GB2312"/>
                <w:color w:val="000000"/>
                <w:szCs w:val="21"/>
                <w:lang w:bidi="ar"/>
              </w:rPr>
              <w:t xml:space="preserve">1.通过部门所属企事业单位的改革，促进了企事业单位可持续发展，带动就业增长情况；          </w:t>
            </w:r>
            <w:r>
              <w:rPr>
                <w:rFonts w:hint="eastAsia" w:ascii="仿宋_GB2312" w:hAnsi="仿宋_GB2312" w:eastAsia="仿宋_GB2312" w:cs="仿宋_GB2312"/>
                <w:color w:val="000000"/>
                <w:szCs w:val="21"/>
                <w:lang w:bidi="ar"/>
              </w:rPr>
              <w:br w:type="textWrapping" w:clear="all"/>
            </w:r>
            <w:r>
              <w:rPr>
                <w:rFonts w:hint="eastAsia" w:ascii="仿宋_GB2312" w:hAnsi="仿宋_GB2312" w:eastAsia="仿宋_GB2312" w:cs="仿宋_GB2312"/>
                <w:color w:val="000000"/>
                <w:szCs w:val="21"/>
                <w:lang w:bidi="ar"/>
              </w:rPr>
              <w:t xml:space="preserve">2.通过预算支出项目的实施，是否明显促进了行业精神文明建设；</w:t>
            </w:r>
            <w:r>
              <w:rPr>
                <w:rFonts w:hint="eastAsia" w:ascii="仿宋_GB2312" w:hAnsi="仿宋_GB2312" w:eastAsia="仿宋_GB2312" w:cs="仿宋_GB2312"/>
                <w:color w:val="000000"/>
                <w:szCs w:val="21"/>
                <w:lang w:bidi="ar"/>
              </w:rPr>
              <w:br w:type="textWrapping" w:clear="all"/>
            </w:r>
            <w:r>
              <w:rPr>
                <w:rFonts w:hint="eastAsia" w:ascii="仿宋_GB2312" w:hAnsi="仿宋_GB2312" w:eastAsia="仿宋_GB2312" w:cs="仿宋_GB2312"/>
                <w:color w:val="000000"/>
                <w:szCs w:val="21"/>
                <w:lang w:bidi="ar"/>
              </w:rPr>
              <w:t xml:space="preserve">3.通过部门履职是否明显提高城乡居民生活水平，满足了人们日益增长的物质与文化生活需求；</w:t>
            </w:r>
            <w:r>
              <w:rPr>
                <w:rFonts w:hint="eastAsia" w:ascii="仿宋_GB2312" w:hAnsi="仿宋_GB2312" w:eastAsia="仿宋_GB2312" w:cs="仿宋_GB2312"/>
                <w:color w:val="000000"/>
                <w:szCs w:val="21"/>
                <w:lang w:bidi="ar"/>
              </w:rPr>
              <w:br w:type="textWrapping" w:clear="all"/>
            </w:r>
            <w:r>
              <w:rPr>
                <w:rFonts w:hint="eastAsia" w:ascii="仿宋_GB2312" w:hAnsi="仿宋_GB2312" w:eastAsia="仿宋_GB2312" w:cs="仿宋_GB2312"/>
                <w:color w:val="000000"/>
                <w:szCs w:val="21"/>
                <w:lang w:bidi="ar"/>
              </w:rPr>
              <w:t xml:space="preserve">4.通过预算项目的实施，是否提高了劳动生产率，降低了劳动强度，促进了劳动人民的身心健康；</w:t>
            </w:r>
            <w:r>
              <w:rPr>
                <w:rFonts w:hint="eastAsia" w:ascii="仿宋_GB2312" w:hAnsi="仿宋_GB2312" w:eastAsia="仿宋_GB2312" w:cs="仿宋_GB2312"/>
                <w:color w:val="000000"/>
                <w:szCs w:val="21"/>
                <w:lang w:bidi="ar"/>
              </w:rPr>
              <w:br w:type="textWrapping" w:clear="all"/>
            </w:r>
            <w:r>
              <w:rPr>
                <w:rFonts w:hint="eastAsia" w:ascii="仿宋_GB2312" w:hAnsi="仿宋_GB2312" w:eastAsia="仿宋_GB2312" w:cs="仿宋_GB2312"/>
                <w:color w:val="000000"/>
                <w:szCs w:val="21"/>
                <w:lang w:bidi="ar"/>
              </w:rPr>
              <w:t xml:space="preserve">5.通过部门履职行业形象是否得到了大大提升了，增强了部门影响力。</w:t>
            </w:r>
            <w:r>
              <w:rPr>
                <w:rFonts w:hint="eastAsia" w:ascii="仿宋_GB2312" w:hAnsi="仿宋_GB2312" w:eastAsia="仿宋_GB2312" w:cs="仿宋_GB2312"/>
                <w:color w:val="000000"/>
                <w:szCs w:val="21"/>
                <w:lang w:bidi="ar"/>
              </w:rPr>
            </w:r>
            <w:r>
              <w:rPr>
                <w:rFonts w:hint="eastAsia" w:ascii="仿宋_GB2312" w:hAnsi="仿宋_GB2312" w:eastAsia="仿宋_GB2312" w:cs="仿宋_GB2312"/>
                <w:color w:val="000000"/>
                <w:szCs w:val="21"/>
                <w:lang w:bidi="ar"/>
              </w:rPr>
            </w:r>
          </w:p>
        </w:tc>
        <w:tc>
          <w:tcPr>
            <w:tcBorders/>
            <w:tcW w:w="2373" w:type="dxa"/>
            <w:vAlign w:val="center"/>
            <w:textDirection w:val="lrTb"/>
            <w:noWrap w:val="false"/>
          </w:tcPr>
          <w:p>
            <w:pPr>
              <w:pStyle w:val="658"/>
              <w:widowControl w:val="true"/>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color w:val="000000"/>
                <w:szCs w:val="21"/>
                <w:lang w:bidi="ar"/>
              </w:rPr>
              <w:t xml:space="preserve">根据不同部门履职的内容和特点，具体测算部门履职产生的社会效益。</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64" w:type="dxa"/>
            <w:vAlign w:val="center"/>
            <w:textDirection w:val="lrTb"/>
            <w:noWrap w:val="false"/>
          </w:tcPr>
          <w:p>
            <w:pPr>
              <w:pStyle w:val="658"/>
              <w:widowControl w:val="true"/>
              <w:pBdr/>
              <w:spacing w:line="240" w:lineRule="exact"/>
              <w:ind/>
              <w:jc w:val="left"/>
              <w:rPr>
                <w:rFonts w:hint="eastAsia" w:eastAsia="宋体"/>
                <w:szCs w:val="21"/>
                <w:lang w:val="en-US" w:eastAsia="zh-CN"/>
              </w:rPr>
            </w:pPr>
            <w:r>
              <w:rPr>
                <w:rFonts w:hint="eastAsia"/>
                <w:szCs w:val="21"/>
                <w:lang w:val="en-US" w:eastAsia="zh-CN"/>
              </w:rPr>
              <w:t xml:space="preserve">5</w:t>
            </w:r>
            <w:r>
              <w:rPr>
                <w:rFonts w:hint="eastAsia" w:eastAsia="宋体"/>
                <w:szCs w:val="21"/>
                <w:lang w:val="en-US" w:eastAsia="zh-CN"/>
              </w:rPr>
            </w:r>
            <w:r>
              <w:rPr>
                <w:rFonts w:hint="eastAsia" w:eastAsia="宋体"/>
                <w:szCs w:val="21"/>
                <w:lang w:val="en-US" w:eastAsia="zh-CN"/>
              </w:rPr>
            </w:r>
          </w:p>
        </w:tc>
      </w:tr>
      <w:tr>
        <w:trPr>
          <w:trHeight w:val="68"/>
        </w:trPr>
        <w:tc>
          <w:tcPr>
            <w:tcBorders/>
            <w:tcW w:w="779" w:type="dxa"/>
            <w:vAlign w:val="center"/>
            <w:vMerge w:val="continue"/>
            <w:textDirection w:val="lrTb"/>
            <w:noWrap w:val="false"/>
          </w:tcPr>
          <w:p>
            <w:pPr>
              <w:pStyle w:val="658"/>
              <w:widowControl w:val="true"/>
              <w:pBdr/>
              <w:spacing w:line="240" w:lineRule="exact"/>
              <w:ind/>
              <w:jc w:val="left"/>
              <w:rPr>
                <w:rFonts w:hint="eastAsia" w:ascii="仿宋_GB2312" w:hAnsi="仿宋_GB2312" w:eastAsia="仿宋_GB2312" w:cs="仿宋_GB2312"/>
                <w:szCs w:val="21"/>
                <w:lang w:bidi="ar"/>
              </w:rPr>
            </w:pPr>
            <w:r>
              <w:rPr>
                <w:rFonts w:hint="eastAsia" w:ascii="仿宋_GB2312" w:hAnsi="仿宋_GB2312" w:eastAsia="仿宋_GB2312" w:cs="仿宋_GB2312"/>
                <w:szCs w:val="21"/>
                <w:lang w:bidi="ar"/>
              </w:rPr>
            </w:r>
            <w:r>
              <w:rPr>
                <w:rFonts w:hint="eastAsia" w:ascii="仿宋_GB2312" w:hAnsi="仿宋_GB2312" w:eastAsia="仿宋_GB2312" w:cs="仿宋_GB2312"/>
                <w:szCs w:val="21"/>
                <w:lang w:bidi="ar"/>
              </w:rPr>
            </w:r>
          </w:p>
        </w:tc>
        <w:tc>
          <w:tcPr>
            <w:tcBorders/>
            <w:tcW w:w="743" w:type="dxa"/>
            <w:vAlign w:val="center"/>
            <w:vMerge w:val="continue"/>
            <w:textDirection w:val="lrTb"/>
            <w:noWrap w:val="false"/>
          </w:tcPr>
          <w:p>
            <w:pPr>
              <w:pStyle w:val="658"/>
              <w:widowControl w:val="true"/>
              <w:pBdr/>
              <w:spacing w:line="240" w:lineRule="exact"/>
              <w:ind/>
              <w:jc w:val="left"/>
              <w:rPr>
                <w:rFonts w:hint="eastAsia" w:ascii="仿宋_GB2312" w:hAnsi="仿宋_GB2312" w:eastAsia="仿宋_GB2312" w:cs="仿宋_GB2312"/>
                <w:szCs w:val="21"/>
                <w:lang w:bidi="ar"/>
              </w:rPr>
            </w:pPr>
            <w:r>
              <w:rPr>
                <w:rFonts w:hint="eastAsia" w:ascii="仿宋_GB2312" w:hAnsi="仿宋_GB2312" w:eastAsia="仿宋_GB2312" w:cs="仿宋_GB2312"/>
                <w:szCs w:val="21"/>
                <w:lang w:bidi="ar"/>
              </w:rPr>
            </w:r>
            <w:r>
              <w:rPr>
                <w:rFonts w:hint="eastAsia" w:ascii="仿宋_GB2312" w:hAnsi="仿宋_GB2312" w:eastAsia="仿宋_GB2312" w:cs="仿宋_GB2312"/>
                <w:szCs w:val="21"/>
                <w:lang w:bidi="ar"/>
              </w:rPr>
            </w:r>
          </w:p>
        </w:tc>
        <w:tc>
          <w:tcPr>
            <w:tcBorders/>
            <w:tcW w:w="1275"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color w:val="000000"/>
                <w:szCs w:val="21"/>
                <w:lang w:bidi="ar"/>
              </w:rPr>
            </w:pPr>
            <w:r>
              <w:rPr>
                <w:rFonts w:hint="eastAsia" w:ascii="仿宋_GB2312" w:hAnsi="仿宋_GB2312" w:eastAsia="仿宋_GB2312" w:cs="仿宋_GB2312"/>
                <w:color w:val="000000"/>
                <w:szCs w:val="21"/>
                <w:lang w:bidi="ar"/>
              </w:rPr>
              <w:t xml:space="preserve">生态效益（5分）</w:t>
            </w:r>
            <w:r>
              <w:rPr>
                <w:rFonts w:hint="eastAsia" w:ascii="仿宋_GB2312" w:hAnsi="仿宋_GB2312" w:eastAsia="仿宋_GB2312" w:cs="仿宋_GB2312"/>
                <w:color w:val="000000"/>
                <w:szCs w:val="21"/>
                <w:lang w:bidi="ar"/>
              </w:rPr>
            </w:r>
            <w:r>
              <w:rPr>
                <w:rFonts w:hint="eastAsia" w:ascii="仿宋_GB2312" w:hAnsi="仿宋_GB2312" w:eastAsia="仿宋_GB2312" w:cs="仿宋_GB2312"/>
                <w:color w:val="000000"/>
                <w:szCs w:val="21"/>
                <w:lang w:bidi="ar"/>
              </w:rPr>
            </w:r>
          </w:p>
        </w:tc>
        <w:tc>
          <w:tcPr>
            <w:tcBorders/>
            <w:tcW w:w="3436"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color w:val="000000"/>
                <w:szCs w:val="21"/>
                <w:lang w:bidi="ar"/>
              </w:rPr>
            </w:pPr>
            <w:r>
              <w:rPr>
                <w:rFonts w:hint="eastAsia" w:ascii="仿宋_GB2312" w:hAnsi="仿宋_GB2312" w:eastAsia="仿宋_GB2312" w:cs="仿宋_GB2312"/>
                <w:color w:val="000000"/>
                <w:szCs w:val="21"/>
                <w:lang w:bidi="ar"/>
              </w:rPr>
              <w:t xml:space="preserve">部门及所属二级单位履行职责对生态环境所带来的直接或间接影响。</w:t>
            </w:r>
            <w:r>
              <w:rPr>
                <w:rFonts w:hint="eastAsia" w:ascii="仿宋_GB2312" w:hAnsi="仿宋_GB2312" w:eastAsia="仿宋_GB2312" w:cs="仿宋_GB2312"/>
                <w:color w:val="000000"/>
                <w:szCs w:val="21"/>
                <w:lang w:bidi="ar"/>
              </w:rPr>
            </w:r>
            <w:r>
              <w:rPr>
                <w:rFonts w:hint="eastAsia" w:ascii="仿宋_GB2312" w:hAnsi="仿宋_GB2312" w:eastAsia="仿宋_GB2312" w:cs="仿宋_GB2312"/>
                <w:color w:val="000000"/>
                <w:szCs w:val="21"/>
                <w:lang w:bidi="ar"/>
              </w:rPr>
            </w:r>
          </w:p>
          <w:p>
            <w:pPr>
              <w:pStyle w:val="658"/>
              <w:widowControl w:val="true"/>
              <w:pBdr/>
              <w:spacing w:line="240" w:lineRule="exact"/>
              <w:ind/>
              <w:jc w:val="left"/>
              <w:rPr>
                <w:rFonts w:hint="eastAsia" w:ascii="仿宋_GB2312" w:hAnsi="仿宋_GB2312" w:eastAsia="仿宋_GB2312" w:cs="仿宋_GB2312"/>
                <w:color w:val="000000"/>
                <w:szCs w:val="21"/>
                <w:lang w:bidi="ar"/>
              </w:rPr>
            </w:pPr>
            <w:r>
              <w:rPr>
                <w:rFonts w:hint="eastAsia" w:ascii="仿宋_GB2312" w:hAnsi="仿宋_GB2312" w:eastAsia="仿宋_GB2312" w:cs="仿宋_GB2312"/>
                <w:color w:val="000000"/>
                <w:szCs w:val="21"/>
                <w:lang w:bidi="ar"/>
              </w:rPr>
              <w:t xml:space="preserve">评价要点：</w:t>
            </w:r>
            <w:r>
              <w:rPr>
                <w:rFonts w:hint="eastAsia" w:ascii="仿宋_GB2312" w:hAnsi="仿宋_GB2312" w:eastAsia="仿宋_GB2312" w:cs="仿宋_GB2312"/>
                <w:color w:val="000000"/>
                <w:szCs w:val="21"/>
                <w:lang w:bidi="ar"/>
              </w:rPr>
              <w:br w:type="textWrapping" w:clear="all"/>
            </w:r>
            <w:r>
              <w:rPr>
                <w:rFonts w:hint="eastAsia" w:ascii="仿宋_GB2312" w:hAnsi="仿宋_GB2312" w:eastAsia="仿宋_GB2312" w:cs="仿宋_GB2312"/>
                <w:color w:val="000000"/>
                <w:szCs w:val="21"/>
                <w:lang w:bidi="ar"/>
              </w:rPr>
              <w:t xml:space="preserve">1.通过预算支出项目的实施，绿色、节能环保新技术的应用和推广，明显带动各环节的节能减排，也具有一定的环境效益；</w:t>
            </w:r>
            <w:r>
              <w:rPr>
                <w:rFonts w:hint="eastAsia" w:ascii="仿宋_GB2312" w:hAnsi="仿宋_GB2312" w:eastAsia="仿宋_GB2312" w:cs="仿宋_GB2312"/>
                <w:color w:val="000000"/>
                <w:szCs w:val="21"/>
                <w:lang w:bidi="ar"/>
              </w:rPr>
              <w:br w:type="textWrapping" w:clear="all"/>
            </w:r>
            <w:r>
              <w:rPr>
                <w:rFonts w:hint="eastAsia" w:ascii="仿宋_GB2312" w:hAnsi="仿宋_GB2312" w:eastAsia="仿宋_GB2312" w:cs="仿宋_GB2312"/>
                <w:color w:val="000000"/>
                <w:szCs w:val="21"/>
                <w:lang w:bidi="ar"/>
              </w:rPr>
              <w:t xml:space="preserve">2.通过履职有效地控制虚假、伪劣、霉变等劣质产品进入市场，影响了人民生活质量，净化地市场环境；</w:t>
            </w:r>
            <w:r>
              <w:rPr>
                <w:rFonts w:hint="eastAsia" w:ascii="仿宋_GB2312" w:hAnsi="仿宋_GB2312" w:eastAsia="仿宋_GB2312" w:cs="仿宋_GB2312"/>
                <w:color w:val="000000"/>
                <w:szCs w:val="21"/>
                <w:lang w:bidi="ar"/>
              </w:rPr>
              <w:br w:type="textWrapping" w:clear="all"/>
            </w:r>
            <w:r>
              <w:rPr>
                <w:rFonts w:hint="eastAsia" w:ascii="仿宋_GB2312" w:hAnsi="仿宋_GB2312" w:eastAsia="仿宋_GB2312" w:cs="仿宋_GB2312"/>
                <w:color w:val="000000"/>
                <w:szCs w:val="21"/>
                <w:lang w:bidi="ar"/>
              </w:rPr>
              <w:t xml:space="preserve">3.通过预算支出项目的实施，是否达到减少污染物排放；</w:t>
            </w:r>
            <w:r>
              <w:rPr>
                <w:rFonts w:hint="eastAsia" w:ascii="仿宋_GB2312" w:hAnsi="仿宋_GB2312" w:eastAsia="仿宋_GB2312" w:cs="仿宋_GB2312"/>
                <w:color w:val="000000"/>
                <w:szCs w:val="21"/>
                <w:lang w:bidi="ar"/>
              </w:rPr>
              <w:br w:type="textWrapping" w:clear="all"/>
            </w:r>
            <w:r>
              <w:rPr>
                <w:rFonts w:hint="eastAsia" w:ascii="仿宋_GB2312" w:hAnsi="仿宋_GB2312" w:eastAsia="仿宋_GB2312" w:cs="仿宋_GB2312"/>
                <w:color w:val="000000"/>
                <w:szCs w:val="21"/>
                <w:lang w:bidi="ar"/>
              </w:rPr>
              <w:t xml:space="preserve">4.通过预算支出项目的实施，周围环境得到了整治，面貌得到了改善。</w:t>
            </w:r>
            <w:r>
              <w:rPr>
                <w:rFonts w:hint="eastAsia" w:ascii="仿宋_GB2312" w:hAnsi="仿宋_GB2312" w:eastAsia="仿宋_GB2312" w:cs="仿宋_GB2312"/>
                <w:color w:val="000000"/>
                <w:szCs w:val="21"/>
                <w:lang w:bidi="ar"/>
              </w:rPr>
            </w:r>
            <w:r>
              <w:rPr>
                <w:rFonts w:hint="eastAsia" w:ascii="仿宋_GB2312" w:hAnsi="仿宋_GB2312" w:eastAsia="仿宋_GB2312" w:cs="仿宋_GB2312"/>
                <w:color w:val="000000"/>
                <w:szCs w:val="21"/>
                <w:lang w:bidi="ar"/>
              </w:rPr>
            </w:r>
          </w:p>
        </w:tc>
        <w:tc>
          <w:tcPr>
            <w:tcBorders/>
            <w:tcW w:w="2373"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color w:val="000000"/>
                <w:szCs w:val="21"/>
                <w:lang w:bidi="ar"/>
              </w:rPr>
              <w:t xml:space="preserve">根据不同部门履职的内容和特点，具体测算部门履职产生的生态效益。</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64" w:type="dxa"/>
            <w:vAlign w:val="center"/>
            <w:textDirection w:val="lrTb"/>
            <w:noWrap w:val="false"/>
          </w:tcPr>
          <w:p>
            <w:pPr>
              <w:pStyle w:val="658"/>
              <w:widowControl w:val="true"/>
              <w:pBdr/>
              <w:spacing w:line="240" w:lineRule="exact"/>
              <w:ind/>
              <w:jc w:val="left"/>
              <w:rPr>
                <w:rFonts w:hint="eastAsia" w:eastAsia="宋体"/>
                <w:szCs w:val="21"/>
                <w:lang w:val="en-US" w:eastAsia="zh-CN"/>
              </w:rPr>
            </w:pPr>
            <w:r>
              <w:rPr>
                <w:rFonts w:hint="eastAsia"/>
                <w:szCs w:val="21"/>
                <w:lang w:val="en-US" w:eastAsia="zh-CN"/>
              </w:rPr>
              <w:t xml:space="preserve">5</w:t>
            </w:r>
            <w:r>
              <w:rPr>
                <w:rFonts w:hint="eastAsia" w:eastAsia="宋体"/>
                <w:szCs w:val="21"/>
                <w:lang w:val="en-US" w:eastAsia="zh-CN"/>
              </w:rPr>
            </w:r>
            <w:r>
              <w:rPr>
                <w:rFonts w:hint="eastAsia" w:eastAsia="宋体"/>
                <w:szCs w:val="21"/>
                <w:lang w:val="en-US" w:eastAsia="zh-CN"/>
              </w:rPr>
            </w:r>
          </w:p>
        </w:tc>
      </w:tr>
      <w:tr>
        <w:trPr>
          <w:trHeight w:val="68"/>
        </w:trPr>
        <w:tc>
          <w:tcPr>
            <w:tcBorders/>
            <w:tcW w:w="779" w:type="dxa"/>
            <w:vAlign w:val="center"/>
            <w:vMerge w:val="continue"/>
            <w:textDirection w:val="lrTb"/>
            <w:noWrap w:val="false"/>
          </w:tcPr>
          <w:p>
            <w:pPr>
              <w:pStyle w:val="658"/>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43" w:type="dxa"/>
            <w:vAlign w:val="center"/>
            <w:vMerge w:val="continue"/>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1275" w:type="dxa"/>
            <w:vAlign w:val="center"/>
            <w:textDirection w:val="lrTb"/>
            <w:noWrap w:val="false"/>
          </w:tcPr>
          <w:p>
            <w:pPr>
              <w:pStyle w:val="658"/>
              <w:widowControl w:val="true"/>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服务对象满意度（5）</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3436" w:type="dxa"/>
            <w:vAlign w:val="center"/>
            <w:textDirection w:val="lrTb"/>
            <w:noWrap w:val="false"/>
          </w:tcPr>
          <w:p>
            <w:pPr>
              <w:pStyle w:val="658"/>
              <w:widowControl w:val="true"/>
              <w:pBdr>
                <w:top w:val="none" w:color="000000" w:sz="0" w:space="0"/>
                <w:left w:val="none" w:color="000000" w:sz="0" w:space="0"/>
                <w:bottom w:val="none" w:color="000000" w:sz="0" w:space="0"/>
                <w:right w:val="none" w:color="000000" w:sz="0" w:space="0"/>
              </w:pBdr>
              <w:spacing w:line="240" w:lineRule="exact"/>
              <w:ind/>
              <w:jc w:val="left"/>
              <w:rPr>
                <w:rFonts w:hint="eastAsia" w:ascii="仿宋_GB2312" w:hAnsi="仿宋_GB2312" w:eastAsia="仿宋_GB2312" w:cs="仿宋_GB2312"/>
                <w:szCs w:val="21"/>
              </w:rPr>
            </w:pPr>
            <w:r>
              <w:rPr>
                <w:rFonts w:hint="eastAsia" w:ascii="仿宋_GB2312" w:hAnsi="仿宋_GB2312" w:eastAsia="仿宋_GB2312" w:cs="仿宋_GB2312"/>
                <w:szCs w:val="21"/>
                <w:lang w:bidi="ar"/>
              </w:rPr>
              <w:t xml:space="preserve">通过对部门（单位）的服务对象对部门履职效果的满意程度调查，反映和考核社会公众或服务对象对部门履职的满意度。</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2373" w:type="dxa"/>
            <w:vAlign w:val="center"/>
            <w:textDirection w:val="lrTb"/>
            <w:noWrap w:val="false"/>
          </w:tcPr>
          <w:p>
            <w:pPr>
              <w:pStyle w:val="658"/>
              <w:widowControl w:val="true"/>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t xml:space="preserve">按照满意度调查的优秀、良好、合格、不合格给予该项指标打分：</w:t>
            </w:r>
            <w:r>
              <w:rPr>
                <w:rFonts w:hint="eastAsia" w:ascii="仿宋_GB2312" w:hAnsi="仿宋_GB2312" w:eastAsia="仿宋_GB2312" w:cs="仿宋_GB2312"/>
                <w:szCs w:val="21"/>
              </w:rPr>
            </w:r>
            <w:r>
              <w:rPr>
                <w:rFonts w:hint="eastAsia" w:ascii="仿宋_GB2312" w:hAnsi="仿宋_GB2312" w:eastAsia="仿宋_GB2312" w:cs="仿宋_GB2312"/>
                <w:szCs w:val="21"/>
              </w:rPr>
            </w:r>
          </w:p>
          <w:p>
            <w:pPr>
              <w:pStyle w:val="658"/>
              <w:widowControl w:val="true"/>
              <w:pBdr/>
              <w:spacing w:line="240" w:lineRule="exact"/>
              <w:ind/>
              <w:rPr>
                <w:rFonts w:hint="eastAsia" w:ascii="仿宋_GB2312" w:hAnsi="仿宋_GB2312" w:eastAsia="仿宋_GB2312" w:cs="仿宋_GB2312"/>
                <w:szCs w:val="21"/>
              </w:rPr>
            </w:pPr>
            <w:r>
              <w:rPr>
                <w:rFonts w:hint="eastAsia" w:ascii="仿宋_GB2312" w:hAnsi="仿宋_GB2312" w:eastAsia="仿宋_GB2312" w:cs="仿宋_GB2312"/>
                <w:szCs w:val="21"/>
              </w:rPr>
              <w:t xml:space="preserve">优秀（5）；良好（3）；合格（1）；不合格（0）。</w:t>
            </w:r>
            <w:r>
              <w:rPr>
                <w:rFonts w:hint="eastAsia" w:ascii="仿宋_GB2312" w:hAnsi="仿宋_GB2312" w:eastAsia="仿宋_GB2312" w:cs="仿宋_GB2312"/>
                <w:szCs w:val="21"/>
              </w:rPr>
            </w:r>
            <w:r>
              <w:rPr>
                <w:rFonts w:hint="eastAsia" w:ascii="仿宋_GB2312" w:hAnsi="仿宋_GB2312" w:eastAsia="仿宋_GB2312" w:cs="仿宋_GB2312"/>
                <w:szCs w:val="21"/>
              </w:rPr>
            </w:r>
          </w:p>
        </w:tc>
        <w:tc>
          <w:tcPr>
            <w:tcBorders/>
            <w:tcW w:w="764" w:type="dxa"/>
            <w:vAlign w:val="center"/>
            <w:textDirection w:val="lrTb"/>
            <w:noWrap w:val="false"/>
          </w:tcPr>
          <w:p>
            <w:pPr>
              <w:pStyle w:val="658"/>
              <w:widowControl w:val="true"/>
              <w:pBdr/>
              <w:spacing w:line="240" w:lineRule="exact"/>
              <w:ind/>
              <w:jc w:val="left"/>
              <w:rPr>
                <w:rFonts w:hint="eastAsia" w:eastAsia="宋体"/>
                <w:szCs w:val="21"/>
                <w:lang w:val="en-US" w:eastAsia="zh-CN"/>
              </w:rPr>
            </w:pPr>
            <w:r>
              <w:rPr>
                <w:rFonts w:hint="eastAsia"/>
                <w:szCs w:val="21"/>
                <w:lang w:val="en-US" w:eastAsia="zh-CN"/>
              </w:rPr>
              <w:t xml:space="preserve">5</w:t>
            </w:r>
            <w:r>
              <w:rPr>
                <w:rFonts w:hint="eastAsia" w:eastAsia="宋体"/>
                <w:szCs w:val="21"/>
                <w:lang w:val="en-US" w:eastAsia="zh-CN"/>
              </w:rPr>
            </w:r>
            <w:r>
              <w:rPr>
                <w:rFonts w:hint="eastAsia" w:eastAsia="宋体"/>
                <w:szCs w:val="21"/>
                <w:lang w:val="en-US" w:eastAsia="zh-CN"/>
              </w:rPr>
            </w:r>
          </w:p>
        </w:tc>
      </w:tr>
    </w:tbl>
    <w:p>
      <w:pPr>
        <w:pStyle w:val="658"/>
        <w:pBdr/>
        <w:spacing w:line="240" w:lineRule="exact"/>
        <w:ind/>
        <w:rPr>
          <w:rFonts w:ascii="仿宋" w:hAnsi="仿宋" w:eastAsia="仿宋" w:cs="仿宋"/>
          <w:sz w:val="32"/>
          <w:szCs w:val="32"/>
        </w:rPr>
      </w:pPr>
      <w:r>
        <w:rPr>
          <w:rFonts w:ascii="仿宋" w:hAnsi="仿宋" w:eastAsia="仿宋" w:cs="仿宋"/>
          <w:sz w:val="32"/>
          <w:szCs w:val="32"/>
        </w:rPr>
      </w:r>
      <w:r>
        <w:rPr>
          <w:rFonts w:ascii="仿宋" w:hAnsi="仿宋" w:eastAsia="仿宋" w:cs="仿宋"/>
          <w:sz w:val="32"/>
          <w:szCs w:val="32"/>
        </w:rPr>
      </w:r>
    </w:p>
    <w:p>
      <w:pPr>
        <w:pStyle w:val="658"/>
        <w:pBdr/>
        <w:spacing w:line="240" w:lineRule="exact"/>
        <w:ind/>
        <w:rPr>
          <w:rFonts w:ascii="仿宋" w:hAnsi="仿宋" w:eastAsia="仿宋" w:cs="仿宋"/>
          <w:sz w:val="32"/>
          <w:szCs w:val="32"/>
        </w:rPr>
      </w:pPr>
      <w:r>
        <w:rPr>
          <w:rFonts w:ascii="仿宋" w:hAnsi="仿宋" w:eastAsia="仿宋" w:cs="仿宋"/>
          <w:sz w:val="32"/>
          <w:szCs w:val="32"/>
        </w:rPr>
      </w:r>
      <w:r>
        <w:rPr>
          <w:rFonts w:ascii="仿宋" w:hAnsi="仿宋" w:eastAsia="仿宋" w:cs="仿宋"/>
          <w:sz w:val="32"/>
          <w:szCs w:val="32"/>
        </w:rPr>
      </w:r>
    </w:p>
    <w:p>
      <w:pPr>
        <w:pStyle w:val="658"/>
        <w:pBdr/>
        <w:spacing w:line="240" w:lineRule="exact"/>
        <w:ind/>
        <w:rPr>
          <w:rFonts w:ascii="仿宋" w:hAnsi="仿宋" w:eastAsia="仿宋" w:cs="仿宋"/>
          <w:sz w:val="32"/>
          <w:szCs w:val="32"/>
        </w:rPr>
      </w:pPr>
      <w:r>
        <w:rPr>
          <w:rFonts w:ascii="仿宋" w:hAnsi="仿宋" w:eastAsia="仿宋" w:cs="仿宋"/>
          <w:sz w:val="32"/>
          <w:szCs w:val="32"/>
        </w:rPr>
      </w:r>
      <w:r>
        <w:rPr>
          <w:rFonts w:ascii="仿宋" w:hAnsi="仿宋" w:eastAsia="仿宋" w:cs="仿宋"/>
          <w:sz w:val="32"/>
          <w:szCs w:val="32"/>
        </w:rPr>
      </w:r>
    </w:p>
    <w:p>
      <w:pPr>
        <w:pStyle w:val="658"/>
        <w:pBdr/>
        <w:spacing w:line="240" w:lineRule="auto"/>
        <w:ind/>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r>
      <w:r>
        <w:rPr>
          <w:rFonts w:hint="eastAsia" w:ascii="仿宋" w:hAnsi="仿宋" w:eastAsia="仿宋" w:cs="仿宋"/>
          <w:b/>
          <w:bCs/>
          <w:sz w:val="30"/>
          <w:szCs w:val="30"/>
          <w:lang w:val="en-US" w:eastAsia="zh-CN"/>
        </w:rPr>
      </w:r>
    </w:p>
    <w:p>
      <w:pPr>
        <w:pStyle w:val="658"/>
        <w:pBdr/>
        <w:spacing w:line="240" w:lineRule="auto"/>
        <w:ind/>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r>
      <w:r>
        <w:rPr>
          <w:rFonts w:hint="eastAsia" w:ascii="仿宋" w:hAnsi="仿宋" w:eastAsia="仿宋" w:cs="仿宋"/>
          <w:b/>
          <w:bCs/>
          <w:sz w:val="30"/>
          <w:szCs w:val="30"/>
          <w:lang w:val="en-US" w:eastAsia="zh-CN"/>
        </w:rPr>
      </w:r>
    </w:p>
    <w:p>
      <w:pPr>
        <w:pStyle w:val="658"/>
        <w:pBdr/>
        <w:spacing w:line="240" w:lineRule="auto"/>
        <w:ind/>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r>
      <w:r>
        <w:rPr>
          <w:rFonts w:hint="eastAsia" w:ascii="仿宋" w:hAnsi="仿宋" w:eastAsia="仿宋" w:cs="仿宋"/>
          <w:b/>
          <w:bCs/>
          <w:sz w:val="30"/>
          <w:szCs w:val="30"/>
          <w:lang w:val="en-US" w:eastAsia="zh-CN"/>
        </w:rPr>
      </w:r>
    </w:p>
    <w:p>
      <w:pPr>
        <w:pStyle w:val="658"/>
        <w:pBdr/>
        <w:spacing w:line="240" w:lineRule="auto"/>
        <w:ind/>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r>
      <w:r>
        <w:rPr>
          <w:rFonts w:hint="eastAsia" w:ascii="仿宋" w:hAnsi="仿宋" w:eastAsia="仿宋" w:cs="仿宋"/>
          <w:b/>
          <w:bCs/>
          <w:sz w:val="30"/>
          <w:szCs w:val="30"/>
          <w:lang w:val="en-US" w:eastAsia="zh-CN"/>
        </w:rPr>
      </w:r>
    </w:p>
    <w:p>
      <w:pPr>
        <w:pStyle w:val="658"/>
        <w:pBdr/>
        <w:spacing w:line="240" w:lineRule="auto"/>
        <w:ind/>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r>
      <w:r>
        <w:rPr>
          <w:rFonts w:hint="eastAsia" w:ascii="仿宋" w:hAnsi="仿宋" w:eastAsia="仿宋" w:cs="仿宋"/>
          <w:b/>
          <w:bCs/>
          <w:sz w:val="30"/>
          <w:szCs w:val="30"/>
          <w:lang w:val="en-US" w:eastAsia="zh-CN"/>
        </w:rPr>
      </w:r>
    </w:p>
    <w:p>
      <w:pPr>
        <w:pStyle w:val="658"/>
        <w:pBdr/>
        <w:spacing w:line="240" w:lineRule="auto"/>
        <w:ind/>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r>
      <w:r>
        <w:rPr>
          <w:rFonts w:hint="eastAsia" w:ascii="仿宋" w:hAnsi="仿宋" w:eastAsia="仿宋" w:cs="仿宋"/>
          <w:b/>
          <w:bCs/>
          <w:sz w:val="30"/>
          <w:szCs w:val="30"/>
          <w:lang w:val="en-US" w:eastAsia="zh-CN"/>
        </w:rPr>
      </w:r>
    </w:p>
    <w:p>
      <w:pPr>
        <w:pStyle w:val="658"/>
        <w:pBdr/>
        <w:spacing w:line="240" w:lineRule="auto"/>
        <w:ind/>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r>
      <w:r>
        <w:rPr>
          <w:rFonts w:hint="eastAsia" w:ascii="仿宋" w:hAnsi="仿宋" w:eastAsia="仿宋" w:cs="仿宋"/>
          <w:b/>
          <w:bCs/>
          <w:sz w:val="30"/>
          <w:szCs w:val="30"/>
          <w:lang w:val="en-US" w:eastAsia="zh-CN"/>
        </w:rPr>
      </w:r>
    </w:p>
    <w:p>
      <w:pPr>
        <w:pStyle w:val="658"/>
        <w:pBdr/>
        <w:spacing w:line="240" w:lineRule="auto"/>
        <w:ind/>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r>
      <w:r>
        <w:rPr>
          <w:rFonts w:hint="eastAsia" w:ascii="仿宋" w:hAnsi="仿宋" w:eastAsia="仿宋" w:cs="仿宋"/>
          <w:b/>
          <w:bCs/>
          <w:sz w:val="30"/>
          <w:szCs w:val="30"/>
          <w:lang w:val="en-US" w:eastAsia="zh-CN"/>
        </w:rPr>
      </w:r>
    </w:p>
    <w:p>
      <w:pPr>
        <w:pStyle w:val="658"/>
        <w:pBdr/>
        <w:spacing w:line="240" w:lineRule="auto"/>
        <w:ind/>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r>
      <w:r>
        <w:rPr>
          <w:rFonts w:hint="eastAsia" w:ascii="仿宋" w:hAnsi="仿宋" w:eastAsia="仿宋" w:cs="仿宋"/>
          <w:b/>
          <w:bCs/>
          <w:sz w:val="30"/>
          <w:szCs w:val="30"/>
          <w:lang w:val="en-US" w:eastAsia="zh-CN"/>
        </w:rPr>
      </w:r>
    </w:p>
    <w:p>
      <w:pPr>
        <w:pStyle w:val="658"/>
        <w:keepNext w:val="false"/>
        <w:keepLines w:val="false"/>
        <w:pageBreakBefore w:val="false"/>
        <w:widowControl w:val="false"/>
        <w:pBdr/>
        <w:spacing w:line="640" w:lineRule="exact"/>
        <w:ind/>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 xml:space="preserve">中共隆尧县委网络安全和信息化委员会办公室</w:t>
      </w:r>
      <w:r>
        <w:rPr>
          <w:rFonts w:hint="eastAsia" w:ascii="方正小标宋简体" w:hAnsi="方正小标宋简体" w:eastAsia="方正小标宋简体" w:cs="方正小标宋简体"/>
          <w:b w:val="0"/>
          <w:bCs w:val="0"/>
          <w:sz w:val="44"/>
          <w:szCs w:val="44"/>
          <w:lang w:val="en-US" w:eastAsia="zh-CN"/>
        </w:rPr>
      </w:r>
      <w:r>
        <w:rPr>
          <w:rFonts w:hint="eastAsia" w:ascii="方正小标宋简体" w:hAnsi="方正小标宋简体" w:eastAsia="方正小标宋简体" w:cs="方正小标宋简体"/>
          <w:b w:val="0"/>
          <w:bCs w:val="0"/>
          <w:sz w:val="44"/>
          <w:szCs w:val="44"/>
          <w:lang w:val="en-US" w:eastAsia="zh-CN"/>
        </w:rPr>
      </w:r>
    </w:p>
    <w:p>
      <w:pPr>
        <w:pStyle w:val="658"/>
        <w:keepNext w:val="false"/>
        <w:keepLines w:val="false"/>
        <w:pageBreakBefore w:val="false"/>
        <w:widowControl w:val="false"/>
        <w:pBdr/>
        <w:spacing w:line="640" w:lineRule="exact"/>
        <w:ind/>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 xml:space="preserve">部门整体支出绩效评价报告</w:t>
      </w:r>
      <w:r>
        <w:rPr>
          <w:rFonts w:hint="eastAsia" w:ascii="方正小标宋简体" w:hAnsi="方正小标宋简体" w:eastAsia="方正小标宋简体" w:cs="方正小标宋简体"/>
          <w:b w:val="0"/>
          <w:bCs w:val="0"/>
          <w:sz w:val="44"/>
          <w:szCs w:val="44"/>
          <w:lang w:val="en-US" w:eastAsia="zh-CN"/>
        </w:rPr>
      </w:r>
      <w:r>
        <w:rPr>
          <w:rFonts w:hint="eastAsia" w:ascii="方正小标宋简体" w:hAnsi="方正小标宋简体" w:eastAsia="方正小标宋简体" w:cs="方正小标宋简体"/>
          <w:b w:val="0"/>
          <w:bCs w:val="0"/>
          <w:sz w:val="44"/>
          <w:szCs w:val="44"/>
          <w:lang w:val="en-US" w:eastAsia="zh-CN"/>
        </w:rPr>
      </w:r>
    </w:p>
    <w:p>
      <w:pPr>
        <w:pStyle w:val="658"/>
        <w:numPr>
          <w:ilvl w:val="0"/>
          <w:numId w:val="0"/>
        </w:numPr>
        <w:pBdr/>
        <w:spacing/>
        <w:ind/>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一、基本概况</w:t>
      </w:r>
      <w:r>
        <w:rPr>
          <w:rFonts w:hint="eastAsia" w:ascii="黑体" w:hAnsi="黑体" w:eastAsia="黑体" w:cs="黑体"/>
          <w:sz w:val="32"/>
          <w:szCs w:val="32"/>
          <w:lang w:val="en-US" w:eastAsia="zh-CN"/>
        </w:rPr>
      </w:r>
      <w:r>
        <w:rPr>
          <w:rFonts w:hint="eastAsia" w:ascii="黑体" w:hAnsi="黑体" w:eastAsia="黑体" w:cs="黑体"/>
          <w:sz w:val="32"/>
          <w:szCs w:val="32"/>
          <w:lang w:val="en-US" w:eastAsia="zh-CN"/>
        </w:rPr>
      </w:r>
    </w:p>
    <w:p>
      <w:pPr>
        <w:pStyle w:val="658"/>
        <w:keepNext w:val="false"/>
        <w:keepLines w:val="false"/>
        <w:pageBreakBefore w:val="false"/>
        <w:numPr>
          <w:ilvl w:val="0"/>
          <w:numId w:val="0"/>
        </w:numPr>
        <w:pBd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1．主要职能</w:t>
      </w:r>
      <w:r>
        <w:rPr>
          <w:rFonts w:hint="eastAsia" w:ascii="仿宋_GB2312" w:hAnsi="仿宋_GB2312" w:eastAsia="仿宋_GB2312" w:cs="仿宋_GB2312"/>
          <w:sz w:val="32"/>
          <w:szCs w:val="32"/>
          <w:lang w:val="en-US" w:eastAsia="zh-CN"/>
        </w:rPr>
      </w:r>
      <w:r>
        <w:rPr>
          <w:rFonts w:hint="eastAsia" w:ascii="仿宋_GB2312" w:hAnsi="仿宋_GB2312" w:eastAsia="仿宋_GB2312" w:cs="仿宋_GB2312"/>
          <w:sz w:val="32"/>
          <w:szCs w:val="32"/>
          <w:lang w:val="en-US" w:eastAsia="zh-CN"/>
        </w:rPr>
      </w:r>
    </w:p>
    <w:p>
      <w:pPr>
        <w:pStyle w:val="661"/>
        <w:pBdr/>
        <w:spacing w:after="0" w:line="600" w:lineRule="exact"/>
        <w:ind w:firstLine="63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负责处理县委网络安全和信息化委员会日常事务工作；组织研究起草我县网络安全和信息化发展战略、宏观规划和相关政策；统筹协调全县网络安全保障体系和可信体系建设,牵头协调有关部门制定相关行业网络安全规划及保障评价指标体系,协调信息安</w:t>
      </w:r>
      <w:r>
        <w:rPr>
          <w:rFonts w:hint="eastAsia" w:ascii="仿宋_GB2312" w:hAnsi="仿宋_GB2312" w:eastAsia="仿宋_GB2312" w:cs="仿宋_GB2312"/>
          <w:sz w:val="32"/>
          <w:szCs w:val="32"/>
          <w:lang w:val="en-US" w:eastAsia="zh-CN"/>
        </w:rPr>
        <w:t xml:space="preserve">全保护工作；督促落实我县涉及政治、经济、文化、社会、生态及军事等各个领域的网络安全和信息化重大事项;负责协调处理网络安全和信息化重大突发事件与有关应急工作；负责全县互联网信息内容管理；负责指导协调全县网络舆情工作；推动全县网络阵地建设和重点新闻网站规划建设；推动全县网络社会工作和网络文化、网络文明建设;发展、联系、服务网络社会组织,指导互联网行业自律,推进网站党建工作；落实国家互联网信息服务资本准入和信息网络行业安全审查的有关政策；协调推进全县信息网络行业自主创新和发展；规划指导县内机构开展金融信息服务业务</w:t>
      </w:r>
      <w:r>
        <w:rPr>
          <w:rFonts w:hint="eastAsia" w:ascii="仿宋_GB2312" w:hAnsi="仿宋_GB2312" w:cs="仿宋_GB2312"/>
          <w:sz w:val="32"/>
          <w:szCs w:val="32"/>
          <w:lang w:val="en-US" w:eastAsia="zh-CN"/>
        </w:rPr>
        <w:t xml:space="preserve">；</w:t>
      </w:r>
      <w:r>
        <w:t xml:space="preserve">组织拟订网络安全和信息化干部人才队伍发展规划,组织开展网信系统干部教育培训和人才队伍建设,规划指导全县互联网新闻信息服务从业人员教育培训和考评工作,组织开展网络媒介素养教育</w:t>
      </w:r>
      <w:r>
        <w:rPr>
          <w:rFonts w:hint="eastAsia"/>
          <w:lang w:eastAsia="zh-CN"/>
        </w:rPr>
        <w:t xml:space="preserve">；</w:t>
      </w:r>
      <w:r>
        <w:t xml:space="preserve">组织开展相关领域的交流与合作</w:t>
      </w:r>
      <w:r>
        <w:rPr>
          <w:rFonts w:hint="eastAsia"/>
          <w:lang w:eastAsia="zh-CN"/>
        </w:rPr>
        <w:t xml:space="preserve">；</w:t>
      </w:r>
      <w:r>
        <w:t xml:space="preserve">指导、检查、推动各乡镇和有关部门网络安全和信息化工作</w:t>
      </w:r>
      <w:r>
        <w:rPr>
          <w:rFonts w:hint="eastAsia"/>
          <w:lang w:eastAsia="zh-CN"/>
        </w:rPr>
        <w:t xml:space="preserve">；</w:t>
      </w:r>
      <w:r>
        <w:t xml:space="preserve">完成省、市委网络安全和信息化委员会办公室(省、市互联网信息办公室)和县委、县政府及县委网络安全和信息化委员会、县委宣传部交办的其他任务</w:t>
      </w:r>
      <w:r>
        <w:rPr>
          <w:rFonts w:hint="eastAsia"/>
          <w:lang w:eastAsia="zh-CN"/>
        </w:rPr>
        <w:t xml:space="preserve">。</w:t>
      </w:r>
      <w:r>
        <w:rPr>
          <w:rFonts w:hint="eastAsia" w:ascii="仿宋_GB2312" w:hAnsi="仿宋_GB2312" w:eastAsia="仿宋_GB2312" w:cs="仿宋_GB2312"/>
          <w:sz w:val="32"/>
          <w:szCs w:val="32"/>
          <w:lang w:val="en-US" w:eastAsia="zh-CN"/>
        </w:rPr>
      </w:r>
      <w:r>
        <w:rPr>
          <w:rFonts w:hint="eastAsia" w:ascii="仿宋_GB2312" w:hAnsi="仿宋_GB2312" w:eastAsia="仿宋_GB2312" w:cs="仿宋_GB2312"/>
          <w:sz w:val="32"/>
          <w:szCs w:val="32"/>
          <w:lang w:val="en-US" w:eastAsia="zh-CN"/>
        </w:rPr>
      </w:r>
    </w:p>
    <w:p>
      <w:pPr>
        <w:pStyle w:val="658"/>
        <w:keepNext w:val="false"/>
        <w:keepLines w:val="false"/>
        <w:pageBreakBefore w:val="false"/>
        <w:numPr>
          <w:ilvl w:val="0"/>
          <w:numId w:val="1"/>
        </w:numPr>
        <w:pBd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机构情况</w:t>
      </w:r>
      <w:r>
        <w:rPr>
          <w:rFonts w:hint="eastAsia" w:ascii="仿宋_GB2312" w:hAnsi="仿宋_GB2312" w:eastAsia="仿宋_GB2312" w:cs="仿宋_GB2312"/>
          <w:sz w:val="32"/>
          <w:szCs w:val="32"/>
          <w:lang w:val="en-US" w:eastAsia="zh-CN"/>
        </w:rPr>
      </w:r>
      <w:r>
        <w:rPr>
          <w:rFonts w:hint="eastAsia" w:ascii="仿宋_GB2312" w:hAnsi="仿宋_GB2312" w:eastAsia="仿宋_GB2312" w:cs="仿宋_GB2312"/>
          <w:sz w:val="32"/>
          <w:szCs w:val="32"/>
          <w:lang w:val="en-US" w:eastAsia="zh-CN"/>
        </w:rPr>
      </w:r>
    </w:p>
    <w:p>
      <w:pPr>
        <w:pStyle w:val="658"/>
        <w:keepNext w:val="false"/>
        <w:keepLines w:val="false"/>
        <w:pageBreakBefore w:val="false"/>
        <w:numPr>
          <w:ilvl w:val="0"/>
          <w:numId w:val="0"/>
        </w:numPr>
        <w:pBd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中共隆尧县委网络安全和信息化委员会属隆尧县党政机关，行政编制人数7人，正科级领导指数1，副科级领导指数为2，内设综合股、业务股。</w:t>
      </w:r>
      <w:r>
        <w:rPr>
          <w:rFonts w:hint="eastAsia" w:ascii="仿宋_GB2312" w:hAnsi="仿宋_GB2312" w:eastAsia="仿宋_GB2312" w:cs="仿宋_GB2312"/>
          <w:sz w:val="32"/>
          <w:szCs w:val="32"/>
          <w:lang w:val="en-US" w:eastAsia="zh-CN"/>
        </w:rPr>
      </w:r>
      <w:r>
        <w:rPr>
          <w:rFonts w:hint="eastAsia" w:ascii="仿宋_GB2312" w:hAnsi="仿宋_GB2312" w:eastAsia="仿宋_GB2312" w:cs="仿宋_GB2312"/>
          <w:sz w:val="32"/>
          <w:szCs w:val="32"/>
          <w:lang w:val="en-US" w:eastAsia="zh-CN"/>
        </w:rPr>
      </w:r>
    </w:p>
    <w:p>
      <w:pPr>
        <w:pStyle w:val="658"/>
        <w:keepNext w:val="false"/>
        <w:keepLines w:val="false"/>
        <w:pageBreakBefore w:val="false"/>
        <w:numPr>
          <w:ilvl w:val="0"/>
          <w:numId w:val="2"/>
        </w:numPr>
        <w:pBd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人员情况</w:t>
      </w:r>
      <w:r>
        <w:rPr>
          <w:rFonts w:hint="eastAsia" w:ascii="仿宋_GB2312" w:hAnsi="仿宋_GB2312" w:eastAsia="仿宋_GB2312" w:cs="仿宋_GB2312"/>
          <w:sz w:val="32"/>
          <w:szCs w:val="32"/>
          <w:lang w:val="en-US" w:eastAsia="zh-CN"/>
        </w:rPr>
      </w:r>
      <w:r>
        <w:rPr>
          <w:rFonts w:hint="eastAsia" w:ascii="仿宋_GB2312" w:hAnsi="仿宋_GB2312" w:eastAsia="仿宋_GB2312" w:cs="仿宋_GB2312"/>
          <w:sz w:val="32"/>
          <w:szCs w:val="32"/>
          <w:lang w:val="en-US" w:eastAsia="zh-CN"/>
        </w:rPr>
      </w:r>
    </w:p>
    <w:p>
      <w:pPr>
        <w:pStyle w:val="658"/>
        <w:keepNext w:val="false"/>
        <w:keepLines w:val="false"/>
        <w:pageBreakBefore w:val="false"/>
        <w:numPr>
          <w:ilvl w:val="0"/>
          <w:numId w:val="0"/>
        </w:numPr>
        <w:pBd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核定行政编制7名，实有行政编制4名。主任1名，一般人员3名。</w:t>
      </w:r>
      <w:r>
        <w:rPr>
          <w:rFonts w:hint="eastAsia" w:ascii="仿宋_GB2312" w:hAnsi="仿宋_GB2312" w:eastAsia="仿宋_GB2312" w:cs="仿宋_GB2312"/>
          <w:sz w:val="32"/>
          <w:szCs w:val="32"/>
          <w:lang w:val="en-US" w:eastAsia="zh-CN"/>
        </w:rPr>
      </w:r>
      <w:r>
        <w:rPr>
          <w:rFonts w:hint="eastAsia" w:ascii="仿宋_GB2312" w:hAnsi="仿宋_GB2312" w:eastAsia="仿宋_GB2312" w:cs="仿宋_GB2312"/>
          <w:sz w:val="32"/>
          <w:szCs w:val="32"/>
          <w:lang w:val="en-US" w:eastAsia="zh-CN"/>
        </w:rPr>
      </w:r>
    </w:p>
    <w:p>
      <w:pPr>
        <w:pStyle w:val="658"/>
        <w:keepNext w:val="false"/>
        <w:keepLines w:val="false"/>
        <w:pageBreakBefore w:val="false"/>
        <w:numPr>
          <w:ilvl w:val="0"/>
          <w:numId w:val="2"/>
        </w:numPr>
        <w:pBd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部门履职总体目标</w:t>
      </w:r>
      <w:r>
        <w:rPr>
          <w:rFonts w:hint="eastAsia" w:ascii="仿宋_GB2312" w:hAnsi="仿宋_GB2312" w:eastAsia="仿宋_GB2312" w:cs="仿宋_GB2312"/>
          <w:sz w:val="32"/>
          <w:szCs w:val="32"/>
          <w:lang w:val="en-US" w:eastAsia="zh-CN"/>
        </w:rPr>
      </w:r>
      <w:r>
        <w:rPr>
          <w:rFonts w:hint="eastAsia" w:ascii="仿宋_GB2312" w:hAnsi="仿宋_GB2312" w:eastAsia="仿宋_GB2312" w:cs="仿宋_GB2312"/>
          <w:sz w:val="32"/>
          <w:szCs w:val="32"/>
          <w:lang w:val="en-US" w:eastAsia="zh-CN"/>
        </w:rPr>
      </w:r>
    </w:p>
    <w:p>
      <w:pPr>
        <w:pStyle w:val="658"/>
        <w:keepNext w:val="false"/>
        <w:keepLines w:val="false"/>
        <w:pageBreakBefore w:val="false"/>
        <w:numPr>
          <w:ilvl w:val="0"/>
          <w:numId w:val="0"/>
        </w:numPr>
        <w:pBd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进一步扩大网评员队伍，稳步加强网络评论和社会宣传工作；对域内微信公众号、微博、贴吧等平台进行备案管理；加强重大舆情处置引导工作。建立工作平台和运行机制。推动召开县委网信委第一次会议，通过相关制度性文件，初步建立网信工作平台和运行机制。开展网络安全宣传与专项检查。开展网站和自媒体基础信息摸排工作。</w:t>
      </w:r>
      <w:r>
        <w:rPr>
          <w:rFonts w:hint="eastAsia" w:ascii="仿宋_GB2312" w:hAnsi="仿宋_GB2312" w:eastAsia="仿宋_GB2312" w:cs="仿宋_GB2312"/>
          <w:sz w:val="32"/>
          <w:szCs w:val="32"/>
          <w:lang w:val="en-US" w:eastAsia="zh-CN"/>
        </w:rPr>
      </w:r>
      <w:r>
        <w:rPr>
          <w:rFonts w:hint="eastAsia" w:ascii="仿宋_GB2312" w:hAnsi="仿宋_GB2312" w:eastAsia="仿宋_GB2312" w:cs="仿宋_GB2312"/>
          <w:sz w:val="32"/>
          <w:szCs w:val="32"/>
          <w:lang w:val="en-US" w:eastAsia="zh-CN"/>
        </w:rPr>
      </w:r>
    </w:p>
    <w:p>
      <w:pPr>
        <w:pStyle w:val="658"/>
        <w:keepNext w:val="false"/>
        <w:keepLines w:val="false"/>
        <w:pageBreakBefore w:val="false"/>
        <w:numPr>
          <w:ilvl w:val="0"/>
          <w:numId w:val="0"/>
        </w:numPr>
        <w:pBd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5、主要任务和目标规划</w:t>
      </w:r>
      <w:r>
        <w:rPr>
          <w:rFonts w:hint="eastAsia" w:ascii="仿宋_GB2312" w:hAnsi="仿宋_GB2312" w:eastAsia="仿宋_GB2312" w:cs="仿宋_GB2312"/>
          <w:sz w:val="32"/>
          <w:szCs w:val="32"/>
          <w:lang w:val="en-US" w:eastAsia="zh-CN"/>
        </w:rPr>
      </w:r>
      <w:r>
        <w:rPr>
          <w:rFonts w:hint="eastAsia" w:ascii="仿宋_GB2312" w:hAnsi="仿宋_GB2312" w:eastAsia="仿宋_GB2312" w:cs="仿宋_GB2312"/>
          <w:sz w:val="32"/>
          <w:szCs w:val="32"/>
          <w:lang w:val="en-US" w:eastAsia="zh-CN"/>
        </w:rPr>
      </w:r>
    </w:p>
    <w:p>
      <w:pPr>
        <w:pStyle w:val="658"/>
        <w:keepNext w:val="false"/>
        <w:keepLines w:val="false"/>
        <w:pageBreakBefore w:val="false"/>
        <w:numPr>
          <w:ilvl w:val="0"/>
          <w:numId w:val="0"/>
        </w:numPr>
        <w:pBd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(1)进一步扩大网评员队伍至100人以上。</w:t>
      </w:r>
      <w:r>
        <w:rPr>
          <w:rFonts w:hint="eastAsia" w:ascii="仿宋_GB2312" w:hAnsi="仿宋_GB2312" w:eastAsia="仿宋_GB2312" w:cs="仿宋_GB2312"/>
          <w:sz w:val="32"/>
          <w:szCs w:val="32"/>
          <w:lang w:val="en-US" w:eastAsia="zh-CN"/>
        </w:rPr>
      </w:r>
      <w:r>
        <w:rPr>
          <w:rFonts w:hint="eastAsia" w:ascii="仿宋_GB2312" w:hAnsi="仿宋_GB2312" w:eastAsia="仿宋_GB2312" w:cs="仿宋_GB2312"/>
          <w:sz w:val="32"/>
          <w:szCs w:val="32"/>
          <w:lang w:val="en-US" w:eastAsia="zh-CN"/>
        </w:rPr>
      </w:r>
    </w:p>
    <w:p>
      <w:pPr>
        <w:pStyle w:val="658"/>
        <w:keepNext w:val="false"/>
        <w:keepLines w:val="false"/>
        <w:pageBreakBefore w:val="false"/>
        <w:numPr>
          <w:ilvl w:val="0"/>
          <w:numId w:val="0"/>
        </w:numPr>
        <w:pBd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(2)对域内微信公众号等平台进行备案管理。</w:t>
      </w:r>
      <w:r>
        <w:rPr>
          <w:rFonts w:hint="eastAsia" w:ascii="仿宋_GB2312" w:hAnsi="仿宋_GB2312" w:eastAsia="仿宋_GB2312" w:cs="仿宋_GB2312"/>
          <w:sz w:val="32"/>
          <w:szCs w:val="32"/>
          <w:lang w:val="en-US" w:eastAsia="zh-CN"/>
        </w:rPr>
      </w:r>
      <w:r>
        <w:rPr>
          <w:rFonts w:hint="eastAsia" w:ascii="仿宋_GB2312" w:hAnsi="仿宋_GB2312" w:eastAsia="仿宋_GB2312" w:cs="仿宋_GB2312"/>
          <w:sz w:val="32"/>
          <w:szCs w:val="32"/>
          <w:lang w:val="en-US" w:eastAsia="zh-CN"/>
        </w:rPr>
      </w:r>
    </w:p>
    <w:p>
      <w:pPr>
        <w:pStyle w:val="658"/>
        <w:keepNext w:val="false"/>
        <w:keepLines w:val="false"/>
        <w:pageBreakBefore w:val="false"/>
        <w:numPr>
          <w:ilvl w:val="0"/>
          <w:numId w:val="0"/>
        </w:numPr>
        <w:pBd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(3)加强重大舆情处置引导工作，及时处置网络突发舆情。</w:t>
      </w:r>
      <w:r>
        <w:rPr>
          <w:rFonts w:hint="eastAsia" w:ascii="仿宋_GB2312" w:hAnsi="仿宋_GB2312" w:eastAsia="仿宋_GB2312" w:cs="仿宋_GB2312"/>
          <w:sz w:val="32"/>
          <w:szCs w:val="32"/>
          <w:lang w:val="en-US" w:eastAsia="zh-CN"/>
        </w:rPr>
      </w:r>
      <w:r>
        <w:rPr>
          <w:rFonts w:hint="eastAsia" w:ascii="仿宋_GB2312" w:hAnsi="仿宋_GB2312" w:eastAsia="仿宋_GB2312" w:cs="仿宋_GB2312"/>
          <w:sz w:val="32"/>
          <w:szCs w:val="32"/>
          <w:lang w:val="en-US" w:eastAsia="zh-CN"/>
        </w:rPr>
      </w:r>
    </w:p>
    <w:p>
      <w:pPr>
        <w:pStyle w:val="658"/>
        <w:keepNext w:val="false"/>
        <w:keepLines w:val="false"/>
        <w:pageBreakBefore w:val="false"/>
        <w:numPr>
          <w:ilvl w:val="0"/>
          <w:numId w:val="0"/>
        </w:numPr>
        <w:pBd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(4)建立工作平台和运行机制。推动召开县委网信委第一次会议，通过相关制度性文件，初步建立网信工作平台和运行机制。</w:t>
      </w:r>
      <w:r>
        <w:rPr>
          <w:rFonts w:hint="eastAsia" w:ascii="仿宋_GB2312" w:hAnsi="仿宋_GB2312" w:eastAsia="仿宋_GB2312" w:cs="仿宋_GB2312"/>
          <w:sz w:val="32"/>
          <w:szCs w:val="32"/>
          <w:lang w:val="en-US" w:eastAsia="zh-CN"/>
        </w:rPr>
      </w:r>
      <w:r>
        <w:rPr>
          <w:rFonts w:hint="eastAsia" w:ascii="仿宋_GB2312" w:hAnsi="仿宋_GB2312" w:eastAsia="仿宋_GB2312" w:cs="仿宋_GB2312"/>
          <w:sz w:val="32"/>
          <w:szCs w:val="32"/>
          <w:lang w:val="en-US" w:eastAsia="zh-CN"/>
        </w:rPr>
      </w:r>
    </w:p>
    <w:p>
      <w:pPr>
        <w:pStyle w:val="658"/>
        <w:keepNext w:val="false"/>
        <w:keepLines w:val="false"/>
        <w:pageBreakBefore w:val="false"/>
        <w:numPr>
          <w:ilvl w:val="0"/>
          <w:numId w:val="0"/>
        </w:numPr>
        <w:pBd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(5)开展网络安全宣传与专项检查。</w:t>
      </w:r>
      <w:r>
        <w:rPr>
          <w:rFonts w:hint="eastAsia" w:ascii="仿宋_GB2312" w:hAnsi="仿宋_GB2312" w:eastAsia="仿宋_GB2312" w:cs="仿宋_GB2312"/>
          <w:sz w:val="32"/>
          <w:szCs w:val="32"/>
          <w:lang w:val="en-US" w:eastAsia="zh-CN"/>
        </w:rPr>
      </w:r>
      <w:r>
        <w:rPr>
          <w:rFonts w:hint="eastAsia" w:ascii="仿宋_GB2312" w:hAnsi="仿宋_GB2312" w:eastAsia="仿宋_GB2312" w:cs="仿宋_GB2312"/>
          <w:sz w:val="32"/>
          <w:szCs w:val="32"/>
          <w:lang w:val="en-US" w:eastAsia="zh-CN"/>
        </w:rPr>
      </w:r>
    </w:p>
    <w:p>
      <w:pPr>
        <w:pStyle w:val="658"/>
        <w:keepNext w:val="false"/>
        <w:keepLines w:val="false"/>
        <w:pageBreakBefore w:val="false"/>
        <w:numPr>
          <w:ilvl w:val="0"/>
          <w:numId w:val="0"/>
        </w:numPr>
        <w:pBd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(6)开展网站和自媒体基础信息摸排工作。</w:t>
      </w:r>
      <w:r>
        <w:rPr>
          <w:rFonts w:hint="eastAsia" w:ascii="仿宋_GB2312" w:hAnsi="仿宋_GB2312" w:eastAsia="仿宋_GB2312" w:cs="仿宋_GB2312"/>
          <w:sz w:val="32"/>
          <w:szCs w:val="32"/>
          <w:lang w:val="en-US" w:eastAsia="zh-CN"/>
        </w:rPr>
      </w:r>
      <w:r>
        <w:rPr>
          <w:rFonts w:hint="eastAsia" w:ascii="仿宋_GB2312" w:hAnsi="仿宋_GB2312" w:eastAsia="仿宋_GB2312" w:cs="仿宋_GB2312"/>
          <w:sz w:val="32"/>
          <w:szCs w:val="32"/>
          <w:lang w:val="en-US" w:eastAsia="zh-CN"/>
        </w:rPr>
      </w:r>
    </w:p>
    <w:p>
      <w:pPr>
        <w:pStyle w:val="658"/>
        <w:keepNext w:val="false"/>
        <w:keepLines w:val="false"/>
        <w:pageBreakBefore w:val="false"/>
        <w:numPr>
          <w:ilvl w:val="0"/>
          <w:numId w:val="0"/>
        </w:numPr>
        <w:pBd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6、预算资金安排及资金支出情况</w:t>
      </w:r>
      <w:r>
        <w:rPr>
          <w:rFonts w:hint="eastAsia" w:ascii="仿宋_GB2312" w:hAnsi="仿宋_GB2312" w:eastAsia="仿宋_GB2312" w:cs="仿宋_GB2312"/>
          <w:sz w:val="32"/>
          <w:szCs w:val="32"/>
          <w:lang w:val="en-US" w:eastAsia="zh-CN"/>
        </w:rPr>
      </w:r>
      <w:r>
        <w:rPr>
          <w:rFonts w:hint="eastAsia" w:ascii="仿宋_GB2312" w:hAnsi="仿宋_GB2312" w:eastAsia="仿宋_GB2312" w:cs="仿宋_GB2312"/>
          <w:sz w:val="32"/>
          <w:szCs w:val="32"/>
          <w:lang w:val="en-US" w:eastAsia="zh-CN"/>
        </w:rPr>
      </w:r>
    </w:p>
    <w:p>
      <w:pPr>
        <w:pStyle w:val="661"/>
        <w:keepNext w:val="false"/>
        <w:keepLines w:val="false"/>
        <w:pageBreakBefore w:val="false"/>
        <w:pBdr/>
        <w:spacing w:after="0" w:line="560" w:lineRule="exact"/>
        <w:ind w:firstLine="472"/>
        <w:rPr>
          <w:rFonts w:hint="eastAsia" w:ascii="仿宋_GB2312" w:hAnsi="仿宋_GB2312" w:eastAsia="仿宋_GB2312" w:cs="仿宋_GB2312"/>
          <w:spacing w:val="0"/>
          <w:sz w:val="32"/>
          <w:szCs w:val="32"/>
          <w:lang w:val="en-US" w:eastAsia="zh-CN" w:bidi="ar-SA"/>
        </w:rPr>
      </w:pPr>
      <w:r>
        <w:rPr>
          <w:rFonts w:hint="eastAsia" w:ascii="仿宋_GB2312" w:hAnsi="仿宋_GB2312" w:eastAsia="仿宋_GB2312" w:cs="仿宋_GB2312"/>
          <w:spacing w:val="0"/>
          <w:sz w:val="32"/>
          <w:szCs w:val="32"/>
          <w:lang w:val="en-US" w:eastAsia="zh-CN" w:bidi="ar-SA"/>
        </w:rPr>
        <w:t xml:space="preserve"> 2019年</w:t>
      </w:r>
      <w:r>
        <w:rPr>
          <w:rFonts w:hint="eastAsia" w:ascii="仿宋_GB2312" w:hAnsi="仿宋_GB2312" w:cs="仿宋_GB2312"/>
          <w:spacing w:val="0"/>
          <w:sz w:val="32"/>
          <w:szCs w:val="32"/>
          <w:lang w:val="en-US" w:eastAsia="zh-CN" w:bidi="ar-SA"/>
        </w:rPr>
        <w:t xml:space="preserve">我单位为机构改革新成立单位，经费为宣传部资金划转。</w:t>
      </w:r>
      <w:r>
        <w:rPr>
          <w:rFonts w:hint="eastAsia" w:ascii="仿宋_GB2312" w:hAnsi="仿宋_GB2312" w:eastAsia="仿宋_GB2312" w:cs="仿宋_GB2312"/>
          <w:spacing w:val="0"/>
          <w:sz w:val="32"/>
          <w:szCs w:val="32"/>
          <w:lang w:val="en-US" w:eastAsia="zh-CN" w:bidi="ar-SA"/>
        </w:rPr>
        <w:t xml:space="preserve">部门收入年初预算数</w:t>
      </w:r>
      <w:r>
        <w:rPr>
          <w:rFonts w:hint="eastAsia" w:ascii="仿宋_GB2312" w:hAnsi="仿宋_GB2312" w:cs="仿宋_GB2312"/>
          <w:spacing w:val="0"/>
          <w:sz w:val="32"/>
          <w:szCs w:val="32"/>
          <w:lang w:val="en-US" w:eastAsia="zh-CN" w:bidi="ar-SA"/>
        </w:rPr>
        <w:t xml:space="preserve">20</w:t>
      </w:r>
      <w:r>
        <w:rPr>
          <w:rFonts w:hint="eastAsia" w:ascii="仿宋_GB2312" w:hAnsi="仿宋_GB2312" w:eastAsia="仿宋_GB2312" w:cs="仿宋_GB2312"/>
          <w:spacing w:val="0"/>
          <w:sz w:val="32"/>
          <w:szCs w:val="32"/>
          <w:lang w:val="en-US" w:eastAsia="zh-CN" w:bidi="ar-SA"/>
        </w:rPr>
        <w:t xml:space="preserve">万元，支出年初预算数</w:t>
      </w:r>
      <w:r>
        <w:rPr>
          <w:rFonts w:hint="eastAsia" w:ascii="仿宋_GB2312" w:hAnsi="仿宋_GB2312" w:cs="仿宋_GB2312"/>
          <w:spacing w:val="0"/>
          <w:sz w:val="32"/>
          <w:szCs w:val="32"/>
          <w:lang w:val="en-US" w:eastAsia="zh-CN" w:bidi="ar-SA"/>
        </w:rPr>
        <w:t xml:space="preserve">20</w:t>
      </w:r>
      <w:r>
        <w:rPr>
          <w:rFonts w:hint="eastAsia" w:ascii="仿宋_GB2312" w:hAnsi="仿宋_GB2312" w:eastAsia="仿宋_GB2312" w:cs="仿宋_GB2312"/>
          <w:spacing w:val="0"/>
          <w:sz w:val="32"/>
          <w:szCs w:val="32"/>
          <w:lang w:val="en-US" w:eastAsia="zh-CN" w:bidi="ar-SA"/>
        </w:rPr>
        <w:t xml:space="preserve">万元，调整后的年初结余为0万元。</w:t>
      </w:r>
      <w:r>
        <w:rPr>
          <w:rFonts w:hint="eastAsia" w:ascii="仿宋_GB2312" w:hAnsi="仿宋_GB2312" w:eastAsia="仿宋_GB2312" w:cs="仿宋_GB2312"/>
          <w:spacing w:val="0"/>
          <w:sz w:val="32"/>
          <w:szCs w:val="32"/>
          <w:lang w:val="en-US" w:eastAsia="zh-CN" w:bidi="ar-SA"/>
        </w:rPr>
      </w:r>
      <w:r>
        <w:rPr>
          <w:rFonts w:hint="eastAsia" w:ascii="仿宋_GB2312" w:hAnsi="仿宋_GB2312" w:eastAsia="仿宋_GB2312" w:cs="仿宋_GB2312"/>
          <w:spacing w:val="0"/>
          <w:sz w:val="32"/>
          <w:szCs w:val="32"/>
          <w:lang w:val="en-US" w:eastAsia="zh-CN" w:bidi="ar-SA"/>
        </w:rPr>
      </w:r>
    </w:p>
    <w:p>
      <w:pPr>
        <w:pStyle w:val="658"/>
        <w:keepNext w:val="false"/>
        <w:keepLines w:val="false"/>
        <w:pageBreakBefore w:val="false"/>
        <w:pBdr/>
        <w:spacing w:line="560" w:lineRule="exact"/>
        <w:ind/>
        <w:rPr>
          <w:rFonts w:hint="eastAsia" w:ascii="黑体" w:hAnsi="黑体" w:eastAsia="黑体" w:cs="黑体"/>
          <w:spacing w:val="0"/>
          <w:sz w:val="32"/>
          <w:szCs w:val="32"/>
          <w:lang w:val="en-US" w:eastAsia="zh-CN" w:bidi="ar-SA"/>
        </w:rPr>
      </w:pPr>
      <w:r>
        <w:rPr>
          <w:rFonts w:hint="eastAsia" w:ascii="黑体" w:hAnsi="黑体" w:eastAsia="黑体" w:cs="黑体"/>
          <w:spacing w:val="0"/>
          <w:sz w:val="32"/>
          <w:szCs w:val="32"/>
          <w:lang w:val="en-US" w:eastAsia="zh-CN" w:bidi="ar-SA"/>
        </w:rPr>
        <w:t xml:space="preserve">二、收入支出预算执行情况</w:t>
      </w:r>
      <w:r>
        <w:rPr>
          <w:rFonts w:hint="eastAsia" w:ascii="黑体" w:hAnsi="黑体" w:eastAsia="黑体" w:cs="黑体"/>
          <w:spacing w:val="0"/>
          <w:sz w:val="32"/>
          <w:szCs w:val="32"/>
          <w:lang w:val="en-US" w:eastAsia="zh-CN" w:bidi="ar-SA"/>
        </w:rPr>
      </w:r>
      <w:r>
        <w:rPr>
          <w:rFonts w:hint="eastAsia" w:ascii="黑体" w:hAnsi="黑体" w:eastAsia="黑体" w:cs="黑体"/>
          <w:spacing w:val="0"/>
          <w:sz w:val="32"/>
          <w:szCs w:val="32"/>
          <w:lang w:val="en-US" w:eastAsia="zh-CN" w:bidi="ar-SA"/>
        </w:rPr>
      </w:r>
    </w:p>
    <w:p>
      <w:pPr>
        <w:pStyle w:val="661"/>
        <w:keepNext w:val="false"/>
        <w:keepLines w:val="false"/>
        <w:pageBreakBefore w:val="false"/>
        <w:pBdr/>
        <w:spacing w:line="560" w:lineRule="exact"/>
        <w:ind w:firstLine="472"/>
        <w:rPr>
          <w:rFonts w:hint="eastAsia" w:ascii="仿宋_GB2312" w:hAnsi="仿宋_GB2312" w:eastAsia="仿宋_GB2312" w:cs="仿宋_GB2312"/>
          <w:spacing w:val="0"/>
          <w:sz w:val="32"/>
          <w:szCs w:val="32"/>
          <w:lang w:val="en-US" w:eastAsia="zh-CN" w:bidi="ar-SA"/>
        </w:rPr>
      </w:pPr>
      <w:r>
        <w:rPr>
          <w:rFonts w:hint="eastAsia" w:ascii="仿宋_GB2312" w:hAnsi="仿宋_GB2312" w:eastAsia="仿宋_GB2312" w:cs="仿宋_GB2312"/>
          <w:spacing w:val="0"/>
          <w:sz w:val="32"/>
          <w:szCs w:val="32"/>
          <w:lang w:val="en-US" w:eastAsia="zh-CN" w:bidi="ar-SA"/>
        </w:rPr>
        <w:t xml:space="preserve">1．收入支出与预算对比分析</w:t>
      </w:r>
      <w:r>
        <w:rPr>
          <w:rFonts w:hint="eastAsia" w:ascii="仿宋_GB2312" w:hAnsi="仿宋_GB2312" w:eastAsia="仿宋_GB2312" w:cs="仿宋_GB2312"/>
          <w:spacing w:val="0"/>
          <w:sz w:val="32"/>
          <w:szCs w:val="32"/>
          <w:lang w:val="en-US" w:eastAsia="zh-CN" w:bidi="ar-SA"/>
        </w:rPr>
      </w:r>
      <w:r>
        <w:rPr>
          <w:rFonts w:hint="eastAsia" w:ascii="仿宋_GB2312" w:hAnsi="仿宋_GB2312" w:eastAsia="仿宋_GB2312" w:cs="仿宋_GB2312"/>
          <w:spacing w:val="0"/>
          <w:sz w:val="32"/>
          <w:szCs w:val="32"/>
          <w:lang w:val="en-US" w:eastAsia="zh-CN" w:bidi="ar-SA"/>
        </w:rPr>
      </w:r>
    </w:p>
    <w:p>
      <w:pPr>
        <w:pStyle w:val="661"/>
        <w:keepNext w:val="false"/>
        <w:keepLines w:val="false"/>
        <w:pageBreakBefore w:val="false"/>
        <w:pBdr/>
        <w:spacing w:line="560" w:lineRule="exact"/>
        <w:ind w:firstLine="472"/>
        <w:rPr>
          <w:rFonts w:hint="eastAsia" w:ascii="仿宋_GB2312" w:hAnsi="仿宋_GB2312" w:eastAsia="仿宋_GB2312" w:cs="仿宋_GB2312"/>
          <w:spacing w:val="0"/>
          <w:sz w:val="32"/>
          <w:szCs w:val="32"/>
          <w:lang w:val="en-US" w:eastAsia="zh-CN" w:bidi="ar-SA"/>
        </w:rPr>
      </w:pPr>
      <w:r>
        <w:rPr>
          <w:rFonts w:hint="eastAsia" w:ascii="仿宋_GB2312" w:hAnsi="仿宋_GB2312" w:eastAsia="仿宋_GB2312" w:cs="仿宋_GB2312"/>
          <w:spacing w:val="0"/>
          <w:sz w:val="32"/>
          <w:szCs w:val="32"/>
          <w:lang w:val="en-US" w:eastAsia="zh-CN" w:bidi="ar-SA"/>
        </w:rPr>
        <w:t xml:space="preserve">全年实际收入</w:t>
      </w:r>
      <w:r>
        <w:rPr>
          <w:rFonts w:hint="eastAsia" w:ascii="仿宋_GB2312" w:hAnsi="仿宋_GB2312" w:cs="仿宋_GB2312"/>
          <w:spacing w:val="0"/>
          <w:sz w:val="32"/>
          <w:szCs w:val="32"/>
          <w:lang w:val="en-US" w:eastAsia="zh-CN" w:bidi="ar-SA"/>
        </w:rPr>
        <w:t xml:space="preserve">20</w:t>
      </w:r>
      <w:r>
        <w:rPr>
          <w:rFonts w:hint="eastAsia" w:ascii="仿宋_GB2312" w:hAnsi="仿宋_GB2312" w:eastAsia="仿宋_GB2312" w:cs="仿宋_GB2312"/>
          <w:spacing w:val="0"/>
          <w:sz w:val="32"/>
          <w:szCs w:val="32"/>
          <w:lang w:val="en-US" w:eastAsia="zh-CN" w:bidi="ar-SA"/>
        </w:rPr>
        <w:t xml:space="preserve">万元，年初结余调整前为0万元。实际支出</w:t>
      </w:r>
      <w:r>
        <w:rPr>
          <w:rFonts w:hint="eastAsia" w:ascii="仿宋_GB2312" w:hAnsi="仿宋_GB2312" w:cs="仿宋_GB2312"/>
          <w:spacing w:val="0"/>
          <w:sz w:val="32"/>
          <w:szCs w:val="32"/>
          <w:lang w:val="en-US" w:eastAsia="zh-CN" w:bidi="ar-SA"/>
        </w:rPr>
        <w:t xml:space="preserve">20</w:t>
      </w:r>
      <w:r>
        <w:rPr>
          <w:rFonts w:hint="eastAsia" w:ascii="仿宋_GB2312" w:hAnsi="仿宋_GB2312" w:eastAsia="仿宋_GB2312" w:cs="仿宋_GB2312"/>
          <w:spacing w:val="0"/>
          <w:sz w:val="32"/>
          <w:szCs w:val="32"/>
          <w:lang w:val="en-US" w:eastAsia="zh-CN" w:bidi="ar-SA"/>
        </w:rPr>
        <w:t xml:space="preserve">万元，结余0万元。决算情况与预算情况相差不大，预算执行情况较好。</w:t>
      </w:r>
      <w:r>
        <w:rPr>
          <w:rFonts w:hint="eastAsia" w:ascii="仿宋_GB2312" w:hAnsi="仿宋_GB2312" w:eastAsia="仿宋_GB2312" w:cs="仿宋_GB2312"/>
          <w:spacing w:val="0"/>
          <w:sz w:val="32"/>
          <w:szCs w:val="32"/>
          <w:lang w:val="en-US" w:eastAsia="zh-CN" w:bidi="ar-SA"/>
        </w:rPr>
      </w:r>
      <w:r>
        <w:rPr>
          <w:rFonts w:hint="eastAsia" w:ascii="仿宋_GB2312" w:hAnsi="仿宋_GB2312" w:eastAsia="仿宋_GB2312" w:cs="仿宋_GB2312"/>
          <w:spacing w:val="0"/>
          <w:sz w:val="32"/>
          <w:szCs w:val="32"/>
          <w:lang w:val="en-US" w:eastAsia="zh-CN" w:bidi="ar-SA"/>
        </w:rPr>
      </w:r>
    </w:p>
    <w:p>
      <w:pPr>
        <w:pStyle w:val="658"/>
        <w:keepNext w:val="false"/>
        <w:keepLines w:val="false"/>
        <w:pageBreakBefore w:val="false"/>
        <w:pBdr/>
        <w:spacing w:line="560" w:lineRule="exact"/>
        <w:ind w:firstLine="640"/>
        <w:rPr>
          <w:rFonts w:hint="eastAsia" w:ascii="仿宋_GB2312" w:hAnsi="仿宋_GB2312" w:eastAsia="仿宋_GB2312" w:cs="仿宋_GB2312"/>
          <w:spacing w:val="0"/>
          <w:sz w:val="32"/>
          <w:szCs w:val="32"/>
          <w:lang w:val="en-US" w:eastAsia="zh-CN" w:bidi="ar-SA"/>
        </w:rPr>
      </w:pPr>
      <w:r>
        <w:rPr>
          <w:rFonts w:hint="eastAsia" w:ascii="仿宋_GB2312" w:hAnsi="仿宋_GB2312" w:eastAsia="仿宋_GB2312" w:cs="仿宋_GB2312"/>
          <w:spacing w:val="0"/>
          <w:sz w:val="32"/>
          <w:szCs w:val="32"/>
          <w:lang w:val="en-US" w:eastAsia="zh-CN" w:bidi="ar-SA"/>
        </w:rPr>
        <w:t xml:space="preserve">2．收入支出结构分析</w:t>
      </w:r>
      <w:r>
        <w:rPr>
          <w:rFonts w:hint="eastAsia" w:ascii="仿宋_GB2312" w:hAnsi="仿宋_GB2312" w:eastAsia="仿宋_GB2312" w:cs="仿宋_GB2312"/>
          <w:spacing w:val="0"/>
          <w:sz w:val="32"/>
          <w:szCs w:val="32"/>
          <w:lang w:val="en-US" w:eastAsia="zh-CN" w:bidi="ar-SA"/>
        </w:rPr>
      </w:r>
      <w:r>
        <w:rPr>
          <w:rFonts w:hint="eastAsia" w:ascii="仿宋_GB2312" w:hAnsi="仿宋_GB2312" w:eastAsia="仿宋_GB2312" w:cs="仿宋_GB2312"/>
          <w:spacing w:val="0"/>
          <w:sz w:val="32"/>
          <w:szCs w:val="32"/>
          <w:lang w:val="en-US" w:eastAsia="zh-CN" w:bidi="ar-SA"/>
        </w:rPr>
      </w:r>
    </w:p>
    <w:p>
      <w:pPr>
        <w:pStyle w:val="658"/>
        <w:keepNext w:val="false"/>
        <w:keepLines w:val="false"/>
        <w:pageBreakBefore w:val="false"/>
        <w:widowControl w:val="true"/>
        <w:pBdr/>
        <w:spacing w:line="560" w:lineRule="exact"/>
        <w:ind w:firstLine="480"/>
        <w:rPr>
          <w:rFonts w:hint="eastAsia" w:ascii="仿宋_GB2312" w:hAnsi="仿宋_GB2312" w:eastAsia="仿宋_GB2312" w:cs="仿宋_GB2312"/>
          <w:spacing w:val="0"/>
          <w:sz w:val="32"/>
          <w:szCs w:val="32"/>
          <w:lang w:val="en-US" w:eastAsia="zh-CN" w:bidi="ar-SA"/>
        </w:rPr>
      </w:pPr>
      <w:r>
        <w:rPr>
          <w:rFonts w:hint="eastAsia" w:ascii="仿宋_GB2312" w:hAnsi="仿宋_GB2312" w:eastAsia="仿宋_GB2312" w:cs="仿宋_GB2312"/>
          <w:spacing w:val="0"/>
          <w:sz w:val="32"/>
          <w:szCs w:val="32"/>
          <w:lang w:val="en-US" w:eastAsia="zh-CN" w:bidi="ar-SA"/>
        </w:rPr>
        <w:t xml:space="preserve">全年实际收入20万元，上年度结转结余0万元。均为一般公共预算收入。无人员经费，无日常公用经费。</w:t>
      </w:r>
      <w:r>
        <w:rPr>
          <w:rFonts w:hint="eastAsia" w:ascii="仿宋_GB2312" w:hAnsi="仿宋_GB2312" w:eastAsia="仿宋_GB2312" w:cs="仿宋_GB2312"/>
          <w:spacing w:val="0"/>
          <w:sz w:val="32"/>
          <w:szCs w:val="32"/>
          <w:lang w:val="en-US" w:eastAsia="zh-CN" w:bidi="ar-SA"/>
        </w:rPr>
      </w:r>
      <w:r>
        <w:rPr>
          <w:rFonts w:hint="eastAsia" w:ascii="仿宋_GB2312" w:hAnsi="仿宋_GB2312" w:eastAsia="仿宋_GB2312" w:cs="仿宋_GB2312"/>
          <w:spacing w:val="0"/>
          <w:sz w:val="32"/>
          <w:szCs w:val="32"/>
          <w:lang w:val="en-US" w:eastAsia="zh-CN" w:bidi="ar-SA"/>
        </w:rPr>
      </w:r>
    </w:p>
    <w:p>
      <w:pPr>
        <w:pStyle w:val="658"/>
        <w:keepNext w:val="false"/>
        <w:keepLines w:val="false"/>
        <w:pageBreakBefore w:val="false"/>
        <w:widowControl w:val="true"/>
        <w:numPr>
          <w:ilvl w:val="0"/>
          <w:numId w:val="0"/>
        </w:numPr>
        <w:pBdr/>
        <w:spacing w:line="560" w:lineRule="exact"/>
        <w:ind w:firstLine="64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三、预算绩效管理开展及整体绩效实现情况</w:t>
      </w:r>
      <w:r>
        <w:rPr>
          <w:rFonts w:hint="eastAsia" w:ascii="黑体" w:hAnsi="黑体" w:eastAsia="黑体" w:cs="黑体"/>
          <w:sz w:val="32"/>
          <w:szCs w:val="32"/>
          <w:lang w:val="en-US" w:eastAsia="zh-CN"/>
        </w:rPr>
      </w:r>
      <w:r>
        <w:rPr>
          <w:rFonts w:hint="eastAsia" w:ascii="黑体" w:hAnsi="黑体" w:eastAsia="黑体" w:cs="黑体"/>
          <w:sz w:val="32"/>
          <w:szCs w:val="32"/>
          <w:lang w:val="en-US" w:eastAsia="zh-CN"/>
        </w:rPr>
      </w:r>
    </w:p>
    <w:p>
      <w:pPr>
        <w:pStyle w:val="658"/>
        <w:keepNext w:val="false"/>
        <w:keepLines w:val="false"/>
        <w:pageBreakBefore w:val="false"/>
        <w:widowControl w:val="true"/>
        <w:numPr>
          <w:ilvl w:val="0"/>
          <w:numId w:val="0"/>
        </w:numPr>
        <w:pBd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0"/>
          <w:sz w:val="32"/>
          <w:szCs w:val="32"/>
          <w:lang w:val="en-US" w:eastAsia="zh-CN" w:bidi="ar-SA"/>
        </w:rPr>
        <w:t xml:space="preserve"> 2019年</w:t>
      </w:r>
      <w:r>
        <w:rPr>
          <w:rFonts w:hint="eastAsia" w:ascii="仿宋_GB2312" w:hAnsi="仿宋_GB2312" w:cs="仿宋_GB2312"/>
          <w:spacing w:val="0"/>
          <w:sz w:val="32"/>
          <w:szCs w:val="32"/>
          <w:lang w:val="en-US" w:eastAsia="zh-CN" w:bidi="ar-SA"/>
        </w:rPr>
        <w:t xml:space="preserve">我单位为机构改革新成立单位，经费为2019年9月宣传部资金划转。</w:t>
      </w:r>
      <w:r>
        <w:rPr>
          <w:rFonts w:hint="eastAsia" w:ascii="仿宋_GB2312" w:hAnsi="仿宋_GB2312" w:eastAsia="仿宋_GB2312" w:cs="仿宋_GB2312"/>
          <w:sz w:val="32"/>
          <w:szCs w:val="32"/>
          <w:lang w:val="en-US" w:eastAsia="zh-CN"/>
        </w:rPr>
        <w:t xml:space="preserve">2019年我单位整体绩效实现情况较好，基本实现年初设定的绩效目标，各项工作有序推进，得到了全县广大团员青年和少队员们的一致认可。</w:t>
      </w:r>
      <w:r>
        <w:rPr>
          <w:rFonts w:hint="eastAsia" w:ascii="仿宋_GB2312" w:hAnsi="仿宋_GB2312" w:eastAsia="仿宋_GB2312" w:cs="仿宋_GB2312"/>
          <w:sz w:val="32"/>
          <w:szCs w:val="32"/>
          <w:lang w:val="en-US" w:eastAsia="zh-CN"/>
        </w:rPr>
      </w:r>
      <w:r>
        <w:rPr>
          <w:rFonts w:hint="eastAsia" w:ascii="仿宋_GB2312" w:hAnsi="仿宋_GB2312" w:eastAsia="仿宋_GB2312" w:cs="仿宋_GB2312"/>
          <w:sz w:val="32"/>
          <w:szCs w:val="32"/>
          <w:lang w:val="en-US" w:eastAsia="zh-CN"/>
        </w:rPr>
      </w:r>
    </w:p>
    <w:p>
      <w:pPr>
        <w:pStyle w:val="658"/>
        <w:keepNext w:val="false"/>
        <w:keepLines w:val="false"/>
        <w:pageBreakBefore w:val="false"/>
        <w:numPr>
          <w:ilvl w:val="0"/>
          <w:numId w:val="0"/>
        </w:numPr>
        <w:pBdr/>
        <w:spacing w:line="560" w:lineRule="exact"/>
        <w:ind w:firstLine="96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r>
      <w:r>
        <w:rPr>
          <w:rFonts w:hint="eastAsia" w:ascii="黑体" w:hAnsi="黑体" w:eastAsia="黑体" w:cs="黑体"/>
          <w:sz w:val="32"/>
          <w:szCs w:val="32"/>
          <w:lang w:val="en-US" w:eastAsia="zh-CN"/>
        </w:rPr>
      </w:r>
    </w:p>
    <w:p>
      <w:pPr>
        <w:pStyle w:val="658"/>
        <w:keepNext w:val="false"/>
        <w:keepLines w:val="false"/>
        <w:pageBreakBefore w:val="false"/>
        <w:numPr>
          <w:ilvl w:val="0"/>
          <w:numId w:val="0"/>
        </w:numPr>
        <w:pBdr/>
        <w:spacing w:line="560" w:lineRule="exact"/>
        <w:ind/>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四、绩效评价的组织实施情况</w:t>
      </w:r>
      <w:r>
        <w:rPr>
          <w:rFonts w:hint="eastAsia" w:ascii="黑体" w:hAnsi="黑体" w:eastAsia="黑体" w:cs="黑体"/>
          <w:sz w:val="32"/>
          <w:szCs w:val="32"/>
          <w:lang w:val="en-US" w:eastAsia="zh-CN"/>
        </w:rPr>
      </w:r>
      <w:r>
        <w:rPr>
          <w:rFonts w:hint="eastAsia" w:ascii="黑体" w:hAnsi="黑体" w:eastAsia="黑体" w:cs="黑体"/>
          <w:sz w:val="32"/>
          <w:szCs w:val="32"/>
          <w:lang w:val="en-US" w:eastAsia="zh-CN"/>
        </w:rPr>
      </w:r>
    </w:p>
    <w:p>
      <w:pPr>
        <w:pStyle w:val="663"/>
        <w:keepNext w:val="false"/>
        <w:keepLines w:val="false"/>
        <w:pageBreakBefore w:val="false"/>
        <w:widowControl w:val="true"/>
        <w:suppressLineNumbers w:val="false"/>
        <w:pBdr>
          <w:top w:val="none" w:color="000000" w:sz="0" w:space="0"/>
          <w:left w:val="none" w:color="000000" w:sz="0" w:space="0"/>
          <w:bottom w:val="none" w:color="000000" w:sz="0" w:space="0"/>
          <w:right w:val="none" w:color="000000" w:sz="0" w:space="0"/>
        </w:pBdr>
        <w:shd w:val="clear" w:color="auto" w:fill="ffffff"/>
        <w:spacing w:after="60" w:afterAutospacing="0" w:before="60" w:beforeAutospacing="0" w:line="560" w:lineRule="exact"/>
        <w:ind w:right="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bidi="ar-SA"/>
        </w:rPr>
        <w:t xml:space="preserve">在开展绩效评价工作中，我单位主要采取单位自评的办法，逐步推进项目评价工作的实施。对2019年的事务管理项目进行评价自评工作，2019管理项目的经费是20万元，组织实施自评工作。按照要求成立了评价工作组，较好地完成了自评工作。通过自评工作的开展，逐步扭转了单位“重预算轻管理，重分配轻监督，重使用轻效益”的现象，为财政资金的配置运用更加合理提供了依据，有效地推动了源头防腐和廉政建设，促进了项目实施发挥应有的经济效益和社会效益。</w:t>
      </w:r>
      <w:r>
        <w:rPr>
          <w:rFonts w:hint="eastAsia" w:ascii="仿宋_GB2312" w:hAnsi="仿宋_GB2312" w:eastAsia="仿宋_GB2312" w:cs="仿宋_GB2312"/>
          <w:sz w:val="32"/>
          <w:szCs w:val="32"/>
          <w:lang w:val="en-US" w:eastAsia="zh-CN"/>
        </w:rPr>
      </w:r>
      <w:r>
        <w:rPr>
          <w:rFonts w:hint="eastAsia" w:ascii="仿宋_GB2312" w:hAnsi="仿宋_GB2312" w:eastAsia="仿宋_GB2312" w:cs="仿宋_GB2312"/>
          <w:sz w:val="32"/>
          <w:szCs w:val="32"/>
          <w:lang w:val="en-US" w:eastAsia="zh-CN"/>
        </w:rPr>
      </w:r>
    </w:p>
    <w:p>
      <w:pPr>
        <w:pStyle w:val="658"/>
        <w:keepNext w:val="false"/>
        <w:keepLines w:val="false"/>
        <w:pageBreakBefore w:val="false"/>
        <w:numPr>
          <w:ilvl w:val="0"/>
          <w:numId w:val="0"/>
        </w:numPr>
        <w:pBdr/>
        <w:spacing w:line="560" w:lineRule="exact"/>
        <w:ind/>
        <w:rPr>
          <w:rFonts w:hint="eastAsia" w:ascii="仿宋_GB2312" w:hAnsi="仿宋_GB2312" w:eastAsia="黑体" w:cs="仿宋_GB2312"/>
          <w:sz w:val="32"/>
          <w:szCs w:val="32"/>
          <w:lang w:val="en-US" w:eastAsia="zh-CN"/>
        </w:rPr>
      </w:pPr>
      <w:r>
        <w:rPr>
          <w:rFonts w:hint="eastAsia" w:ascii="仿宋_GB2312" w:hAnsi="仿宋_GB2312" w:eastAsia="黑体" w:cs="仿宋_GB2312"/>
          <w:sz w:val="32"/>
          <w:szCs w:val="32"/>
          <w:lang w:val="en-US" w:eastAsia="zh-CN"/>
        </w:rPr>
        <w:t xml:space="preserve">五、各项绩效目标的实现程度及差异性原因分析</w:t>
      </w:r>
      <w:r>
        <w:rPr>
          <w:rFonts w:hint="eastAsia" w:ascii="仿宋_GB2312" w:hAnsi="仿宋_GB2312" w:eastAsia="黑体" w:cs="仿宋_GB2312"/>
          <w:sz w:val="32"/>
          <w:szCs w:val="32"/>
          <w:lang w:val="en-US" w:eastAsia="zh-CN"/>
        </w:rPr>
      </w:r>
      <w:r>
        <w:rPr>
          <w:rFonts w:hint="eastAsia" w:ascii="仿宋_GB2312" w:hAnsi="仿宋_GB2312" w:eastAsia="黑体" w:cs="仿宋_GB2312"/>
          <w:sz w:val="32"/>
          <w:szCs w:val="32"/>
          <w:lang w:val="en-US" w:eastAsia="zh-CN"/>
        </w:rPr>
      </w:r>
    </w:p>
    <w:p>
      <w:pPr>
        <w:pStyle w:val="658"/>
        <w:keepNext w:val="false"/>
        <w:keepLines w:val="false"/>
        <w:pageBreakBefore w:val="false"/>
        <w:numPr>
          <w:ilvl w:val="0"/>
          <w:numId w:val="0"/>
        </w:numPr>
        <w:pBdr/>
        <w:spacing w:line="560" w:lineRule="exact"/>
        <w:ind w:firstLine="96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通过自评，我单位各项绩效目标基本实现。</w:t>
      </w:r>
      <w:r>
        <w:rPr>
          <w:rFonts w:hint="eastAsia" w:ascii="仿宋_GB2312" w:hAnsi="仿宋_GB2312" w:eastAsia="仿宋_GB2312" w:cs="仿宋_GB2312"/>
          <w:sz w:val="32"/>
          <w:szCs w:val="32"/>
          <w:lang w:val="en-US" w:eastAsia="zh-CN"/>
        </w:rPr>
      </w:r>
      <w:r>
        <w:rPr>
          <w:rFonts w:hint="eastAsia" w:ascii="仿宋_GB2312" w:hAnsi="仿宋_GB2312" w:eastAsia="仿宋_GB2312" w:cs="仿宋_GB2312"/>
          <w:sz w:val="32"/>
          <w:szCs w:val="32"/>
          <w:lang w:val="en-US" w:eastAsia="zh-CN"/>
        </w:rPr>
      </w:r>
    </w:p>
    <w:p>
      <w:pPr>
        <w:pStyle w:val="658"/>
        <w:keepNext w:val="false"/>
        <w:keepLines w:val="false"/>
        <w:pageBreakBefore w:val="false"/>
        <w:numPr>
          <w:ilvl w:val="0"/>
          <w:numId w:val="0"/>
        </w:numPr>
        <w:pBdr/>
        <w:spacing w:line="560" w:lineRule="exact"/>
        <w:ind/>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六、存在问题及建议</w:t>
      </w:r>
      <w:r>
        <w:rPr>
          <w:rFonts w:hint="eastAsia" w:ascii="黑体" w:hAnsi="黑体" w:eastAsia="黑体" w:cs="黑体"/>
          <w:sz w:val="32"/>
          <w:szCs w:val="32"/>
          <w:lang w:val="en-US" w:eastAsia="zh-CN"/>
        </w:rPr>
      </w:r>
      <w:r>
        <w:rPr>
          <w:rFonts w:hint="eastAsia" w:ascii="黑体" w:hAnsi="黑体" w:eastAsia="黑体" w:cs="黑体"/>
          <w:sz w:val="32"/>
          <w:szCs w:val="32"/>
          <w:lang w:val="en-US" w:eastAsia="zh-CN"/>
        </w:rPr>
      </w:r>
    </w:p>
    <w:p>
      <w:pPr>
        <w:pStyle w:val="658"/>
        <w:keepNext w:val="false"/>
        <w:keepLines w:val="false"/>
        <w:pageBreakBefore w:val="false"/>
        <w:numPr>
          <w:ilvl w:val="0"/>
          <w:numId w:val="0"/>
        </w:numPr>
        <w:pBd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我单位财务人员业务能力还有待进一步提高。由于我单位为新成立单位，人员对于预算绩效管理工作开展时间较短，加上缺乏系统培训，致使我单位人员对这项工作的熟悉程度还不够，业务能力有待提升。</w:t>
      </w:r>
      <w:r>
        <w:rPr>
          <w:rFonts w:hint="eastAsia" w:ascii="仿宋_GB2312" w:hAnsi="仿宋_GB2312" w:eastAsia="仿宋_GB2312" w:cs="仿宋_GB2312"/>
          <w:sz w:val="32"/>
          <w:szCs w:val="32"/>
          <w:lang w:val="en-US" w:eastAsia="zh-CN"/>
        </w:rPr>
      </w:r>
      <w:r>
        <w:rPr>
          <w:rFonts w:hint="eastAsia" w:ascii="仿宋_GB2312" w:hAnsi="仿宋_GB2312" w:eastAsia="仿宋_GB2312" w:cs="仿宋_GB2312"/>
          <w:sz w:val="32"/>
          <w:szCs w:val="32"/>
          <w:lang w:val="en-US" w:eastAsia="zh-CN"/>
        </w:rPr>
      </w:r>
    </w:p>
    <w:p>
      <w:pPr>
        <w:pStyle w:val="658"/>
        <w:keepNext w:val="false"/>
        <w:keepLines w:val="false"/>
        <w:pageBreakBefore w:val="false"/>
        <w:numPr>
          <w:ilvl w:val="0"/>
          <w:numId w:val="0"/>
        </w:numPr>
        <w:pBd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建议县财政部门组织开展相关业务培训指导。</w:t>
      </w:r>
      <w:r>
        <w:rPr>
          <w:rFonts w:hint="eastAsia" w:ascii="仿宋_GB2312" w:hAnsi="仿宋_GB2312" w:eastAsia="仿宋_GB2312" w:cs="仿宋_GB2312"/>
          <w:sz w:val="32"/>
          <w:szCs w:val="32"/>
          <w:lang w:val="en-US" w:eastAsia="zh-CN"/>
        </w:rPr>
      </w:r>
      <w:r>
        <w:rPr>
          <w:rFonts w:hint="eastAsia" w:ascii="仿宋_GB2312" w:hAnsi="仿宋_GB2312" w:eastAsia="仿宋_GB2312" w:cs="仿宋_GB2312"/>
          <w:sz w:val="32"/>
          <w:szCs w:val="32"/>
          <w:lang w:val="en-US" w:eastAsia="zh-CN"/>
        </w:rPr>
      </w:r>
    </w:p>
    <w:sectPr>
      <w:footerReference w:type="default" r:id="rId9"/>
      <w:footerReference w:type="even" r:id="rId10"/>
      <w:footnotePr/>
      <w:endnotePr/>
      <w:type w:val="nextPage"/>
      <w:pgSz w:h="16838" w:orient="landscape" w:w="11906"/>
      <w:pgMar w:top="1985" w:right="1418" w:bottom="1985" w:left="1418" w:header="851" w:footer="1701"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panose1 w:val="02010609060101010101"/>
  </w:font>
  <w:font w:name="新宋体">
    <w:panose1 w:val="02010609030101010101"/>
  </w:font>
  <w:font w:name="仿宋">
    <w:panose1 w:val="02010609060101010101"/>
  </w:font>
  <w:font w:name="Symbol">
    <w:panose1 w:val="05050102010706020507"/>
  </w:font>
  <w:font w:name="Wingdings">
    <w:panose1 w:val="05000000000000000000"/>
  </w:font>
  <w:font w:name="方正小标宋简体">
    <w:panose1 w:val="03000509000000000000"/>
  </w:font>
  <w:font w:name="仿宋_GB2312">
    <w:panose1 w:val="02010609030101010101"/>
  </w:font>
  <w:font w:name="Courier New">
    <w:panose1 w:val="02070309020205020404"/>
  </w:font>
  <w:font w:name="Times New Roman">
    <w:panose1 w:val="02020603050405020304"/>
  </w:font>
  <w:font w:name="Arial">
    <w:panose1 w:val="020B0604020202020204"/>
  </w:font>
  <w:font w:name="宋体">
    <w:panose1 w:val="02010600030101010101"/>
  </w:font>
  <w:font w:name="等线">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62"/>
      <w:framePr w:hAnchor="margin" w:vAnchor="text" w:wrap="around" w:xAlign="outside" w:y="1"/>
      <w:pBdr/>
      <w:tabs>
        <w:tab w:val="center" w:leader="none" w:pos="4153"/>
        <w:tab w:val="right" w:leader="none" w:pos="8306"/>
      </w:tabs>
      <w:spacing/>
      <w:ind/>
      <w:rPr>
        <w:rStyle w:val="664"/>
        <w:rFonts w:ascii="宋体" w:hAnsi="宋体" w:eastAsia="宋体"/>
        <w:sz w:val="28"/>
        <w:szCs w:val="28"/>
      </w:rPr>
    </w:pPr>
    <w:r>
      <w:rPr>
        <w:rStyle w:val="664"/>
        <w:rFonts w:hint="eastAsia" w:ascii="宋体" w:hAnsi="宋体" w:eastAsia="宋体"/>
        <w:sz w:val="28"/>
        <w:szCs w:val="28"/>
      </w:rPr>
      <w:t xml:space="preserve">-</w:t>
    </w:r>
    <w:r>
      <w:rPr>
        <w:rFonts w:ascii="宋体" w:hAnsi="宋体" w:eastAsia="宋体"/>
        <w:sz w:val="28"/>
        <w:szCs w:val="28"/>
      </w:rPr>
      <w:fldChar w:fldCharType="begin"/>
    </w:r>
    <w:r>
      <w:rPr>
        <w:rStyle w:val="664"/>
        <w:rFonts w:ascii="宋体" w:hAnsi="宋体" w:eastAsia="宋体"/>
        <w:sz w:val="28"/>
        <w:szCs w:val="28"/>
      </w:rPr>
      <w:instrText xml:space="preserve">PAGE  </w:instrText>
    </w:r>
    <w:r>
      <w:rPr>
        <w:rFonts w:ascii="宋体" w:hAnsi="宋体" w:eastAsia="宋体"/>
        <w:sz w:val="28"/>
        <w:szCs w:val="28"/>
      </w:rPr>
      <w:fldChar w:fldCharType="separate"/>
    </w:r>
    <w:r>
      <w:rPr>
        <w:rStyle w:val="664"/>
        <w:rFonts w:ascii="宋体" w:hAnsi="宋体" w:eastAsia="宋体"/>
        <w:sz w:val="28"/>
        <w:szCs w:val="28"/>
      </w:rPr>
      <w:t xml:space="preserve">6</w:t>
    </w:r>
    <w:r>
      <w:rPr>
        <w:rFonts w:ascii="宋体" w:hAnsi="宋体" w:eastAsia="宋体"/>
        <w:sz w:val="28"/>
        <w:szCs w:val="28"/>
      </w:rPr>
      <w:fldChar w:fldCharType="end"/>
    </w:r>
    <w:r>
      <w:rPr>
        <w:rStyle w:val="664"/>
        <w:rFonts w:hint="eastAsia" w:ascii="宋体" w:hAnsi="宋体" w:eastAsia="宋体"/>
        <w:sz w:val="28"/>
        <w:szCs w:val="28"/>
      </w:rPr>
      <w:t xml:space="preserve">-</w:t>
    </w:r>
    <w:r>
      <w:rPr>
        <w:rStyle w:val="664"/>
        <w:rFonts w:ascii="宋体" w:hAnsi="宋体" w:eastAsia="宋体"/>
        <w:sz w:val="28"/>
        <w:szCs w:val="28"/>
      </w:rPr>
    </w:r>
    <w:r>
      <w:rPr>
        <w:rStyle w:val="664"/>
        <w:rFonts w:ascii="宋体" w:hAnsi="宋体" w:eastAsia="宋体"/>
        <w:sz w:val="28"/>
        <w:szCs w:val="28"/>
      </w:rPr>
    </w:r>
  </w:p>
  <w:p>
    <w:pPr>
      <w:pStyle w:val="662"/>
      <w:pBdr/>
      <w:tabs>
        <w:tab w:val="center" w:leader="none" w:pos="4153"/>
        <w:tab w:val="right" w:leader="none" w:pos="8306"/>
      </w:tabs>
      <w:spacing/>
      <w:ind w:right="360" w:firstLine="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62"/>
      <w:framePr w:hAnchor="margin" w:vAnchor="text" w:wrap="around" w:xAlign="outside" w:y="1"/>
      <w:pBdr/>
      <w:tabs>
        <w:tab w:val="center" w:leader="none" w:pos="4153"/>
        <w:tab w:val="right" w:leader="none" w:pos="8306"/>
      </w:tabs>
      <w:spacing/>
      <w:ind/>
      <w:rPr>
        <w:rStyle w:val="664"/>
      </w:rPr>
    </w:pPr>
    <w:r>
      <w:fldChar w:fldCharType="begin"/>
    </w:r>
    <w:r>
      <w:rPr>
        <w:rStyle w:val="664"/>
      </w:rPr>
      <w:instrText xml:space="preserve">PAGE  </w:instrText>
    </w:r>
    <w:r>
      <w:fldChar w:fldCharType="end"/>
    </w:r>
    <w:r>
      <w:rPr>
        <w:rStyle w:val="664"/>
      </w:rPr>
    </w:r>
    <w:r>
      <w:rPr>
        <w:rStyle w:val="664"/>
      </w:rPr>
    </w:r>
  </w:p>
  <w:p>
    <w:pPr>
      <w:pStyle w:val="662"/>
      <w:pBdr/>
      <w:tabs>
        <w:tab w:val="center" w:leader="none" w:pos="4153"/>
        <w:tab w:val="right" w:leader="none" w:pos="8306"/>
      </w:tabs>
      <w:spacing/>
      <w:ind w:right="360" w:firstLine="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pPr>
      <w:rPr/>
      <w:start w:val="2"/>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abstractNum w:abstractNumId="1">
    <w:lvl w:ilvl="0">
      <w:isLgl w:val="false"/>
      <w:lvlJc w:val="left"/>
      <w:lvlText w:val="%1．"/>
      <w:numFmt w:val="decimal"/>
      <w:pPr>
        <w:pBdr/>
        <w:spacing/>
        <w:ind/>
      </w:pPr>
      <w:rPr/>
      <w:start w:val="3"/>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splitPgBreakAndParaMark w:val="tru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宋体" w:cs="Calibri"/>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58"/>
    <w:next w:val="658"/>
    <w:link w:val="14"/>
    <w:uiPriority w:val="9"/>
    <w:qFormat/>
    <w:pPr>
      <w:keepNext w:val="true"/>
      <w:keepLines w:val="true"/>
      <w:pBdr/>
      <w:spacing w:after="200" w:before="480"/>
      <w:ind/>
      <w:outlineLvl w:val="0"/>
    </w:pPr>
    <w:rPr>
      <w:rFonts w:ascii="等线" w:hAnsi="等线" w:eastAsia="等线" w:cs="等线"/>
      <w:sz w:val="40"/>
      <w:szCs w:val="40"/>
    </w:rPr>
  </w:style>
  <w:style w:type="character" w:styleId="14">
    <w:name w:val="Heading 1 Char"/>
    <w:basedOn w:val="11"/>
    <w:link w:val="13"/>
    <w:uiPriority w:val="9"/>
    <w:pPr>
      <w:pBdr/>
      <w:spacing/>
      <w:ind/>
    </w:pPr>
    <w:rPr>
      <w:rFonts w:ascii="等线" w:hAnsi="等线" w:eastAsia="等线" w:cs="等线"/>
      <w:sz w:val="40"/>
      <w:szCs w:val="40"/>
    </w:rPr>
  </w:style>
  <w:style w:type="paragraph" w:styleId="15">
    <w:name w:val="Heading 2"/>
    <w:basedOn w:val="658"/>
    <w:next w:val="658"/>
    <w:link w:val="16"/>
    <w:uiPriority w:val="9"/>
    <w:unhideWhenUsed/>
    <w:qFormat/>
    <w:pPr>
      <w:keepNext w:val="true"/>
      <w:keepLines w:val="true"/>
      <w:pBdr/>
      <w:spacing w:after="200" w:before="360"/>
      <w:ind/>
      <w:outlineLvl w:val="1"/>
    </w:pPr>
    <w:rPr>
      <w:rFonts w:ascii="等线" w:hAnsi="等线" w:eastAsia="等线" w:cs="等线"/>
      <w:sz w:val="34"/>
    </w:rPr>
  </w:style>
  <w:style w:type="character" w:styleId="16">
    <w:name w:val="Heading 2 Char"/>
    <w:basedOn w:val="11"/>
    <w:link w:val="15"/>
    <w:uiPriority w:val="9"/>
    <w:pPr>
      <w:pBdr/>
      <w:spacing/>
      <w:ind/>
    </w:pPr>
    <w:rPr>
      <w:rFonts w:ascii="等线" w:hAnsi="等线" w:eastAsia="等线" w:cs="等线"/>
      <w:sz w:val="34"/>
    </w:rPr>
  </w:style>
  <w:style w:type="paragraph" w:styleId="17">
    <w:name w:val="Heading 3"/>
    <w:basedOn w:val="658"/>
    <w:next w:val="658"/>
    <w:link w:val="18"/>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18">
    <w:name w:val="Heading 3 Char"/>
    <w:basedOn w:val="11"/>
    <w:link w:val="17"/>
    <w:uiPriority w:val="9"/>
    <w:pPr>
      <w:pBdr/>
      <w:spacing/>
      <w:ind/>
    </w:pPr>
    <w:rPr>
      <w:rFonts w:ascii="等线" w:hAnsi="等线" w:eastAsia="等线" w:cs="等线"/>
      <w:sz w:val="30"/>
      <w:szCs w:val="30"/>
    </w:rPr>
  </w:style>
  <w:style w:type="paragraph" w:styleId="19">
    <w:name w:val="Heading 4"/>
    <w:basedOn w:val="658"/>
    <w:next w:val="658"/>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11"/>
    <w:link w:val="19"/>
    <w:uiPriority w:val="9"/>
    <w:pPr>
      <w:pBdr/>
      <w:spacing/>
      <w:ind/>
    </w:pPr>
    <w:rPr>
      <w:rFonts w:ascii="等线" w:hAnsi="等线" w:eastAsia="等线" w:cs="等线"/>
      <w:b/>
      <w:bCs/>
      <w:sz w:val="26"/>
      <w:szCs w:val="26"/>
    </w:rPr>
  </w:style>
  <w:style w:type="paragraph" w:styleId="21">
    <w:name w:val="Heading 5"/>
    <w:basedOn w:val="658"/>
    <w:next w:val="658"/>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11"/>
    <w:link w:val="21"/>
    <w:uiPriority w:val="9"/>
    <w:pPr>
      <w:pBdr/>
      <w:spacing/>
      <w:ind/>
    </w:pPr>
    <w:rPr>
      <w:rFonts w:ascii="等线" w:hAnsi="等线" w:eastAsia="等线" w:cs="等线"/>
      <w:b/>
      <w:bCs/>
      <w:sz w:val="24"/>
      <w:szCs w:val="24"/>
    </w:rPr>
  </w:style>
  <w:style w:type="paragraph" w:styleId="23">
    <w:name w:val="Heading 6"/>
    <w:basedOn w:val="658"/>
    <w:next w:val="658"/>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11"/>
    <w:link w:val="23"/>
    <w:uiPriority w:val="9"/>
    <w:pPr>
      <w:pBdr/>
      <w:spacing/>
      <w:ind/>
    </w:pPr>
    <w:rPr>
      <w:rFonts w:ascii="等线" w:hAnsi="等线" w:eastAsia="等线" w:cs="等线"/>
      <w:b/>
      <w:bCs/>
      <w:sz w:val="22"/>
      <w:szCs w:val="22"/>
    </w:rPr>
  </w:style>
  <w:style w:type="paragraph" w:styleId="25">
    <w:name w:val="Heading 7"/>
    <w:basedOn w:val="658"/>
    <w:next w:val="658"/>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11"/>
    <w:link w:val="25"/>
    <w:uiPriority w:val="9"/>
    <w:pPr>
      <w:pBdr/>
      <w:spacing/>
      <w:ind/>
    </w:pPr>
    <w:rPr>
      <w:rFonts w:ascii="等线" w:hAnsi="等线" w:eastAsia="等线" w:cs="等线"/>
      <w:b/>
      <w:bCs/>
      <w:i/>
      <w:iCs/>
      <w:sz w:val="22"/>
      <w:szCs w:val="22"/>
    </w:rPr>
  </w:style>
  <w:style w:type="paragraph" w:styleId="27">
    <w:name w:val="Heading 8"/>
    <w:basedOn w:val="658"/>
    <w:next w:val="658"/>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11"/>
    <w:link w:val="27"/>
    <w:uiPriority w:val="9"/>
    <w:pPr>
      <w:pBdr/>
      <w:spacing/>
      <w:ind/>
    </w:pPr>
    <w:rPr>
      <w:rFonts w:ascii="等线" w:hAnsi="等线" w:eastAsia="等线" w:cs="等线"/>
      <w:i/>
      <w:iCs/>
      <w:sz w:val="22"/>
      <w:szCs w:val="22"/>
    </w:rPr>
  </w:style>
  <w:style w:type="paragraph" w:styleId="29">
    <w:name w:val="Heading 9"/>
    <w:basedOn w:val="658"/>
    <w:next w:val="658"/>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11"/>
    <w:link w:val="29"/>
    <w:uiPriority w:val="9"/>
    <w:pPr>
      <w:pBdr/>
      <w:spacing/>
      <w:ind/>
    </w:pPr>
    <w:rPr>
      <w:rFonts w:ascii="等线" w:hAnsi="等线" w:eastAsia="等线" w:cs="等线"/>
      <w:i/>
      <w:iCs/>
      <w:sz w:val="21"/>
      <w:szCs w:val="21"/>
    </w:rPr>
  </w:style>
  <w:style w:type="paragraph" w:styleId="31">
    <w:name w:val="List Paragraph"/>
    <w:basedOn w:val="658"/>
    <w:uiPriority w:val="34"/>
    <w:qFormat/>
    <w:pPr>
      <w:pBdr/>
      <w:spacing/>
      <w:ind w:left="720"/>
      <w:contextualSpacing w:val="true"/>
    </w:pPr>
  </w:style>
  <w:style w:type="paragraph" w:styleId="33">
    <w:name w:val="No Spacing"/>
    <w:uiPriority w:val="1"/>
    <w:qFormat/>
    <w:pPr>
      <w:pBdr/>
      <w:spacing w:after="0" w:before="0" w:line="240" w:lineRule="auto"/>
      <w:ind/>
    </w:pPr>
  </w:style>
  <w:style w:type="paragraph" w:styleId="34">
    <w:name w:val="Title"/>
    <w:basedOn w:val="658"/>
    <w:next w:val="658"/>
    <w:link w:val="35"/>
    <w:uiPriority w:val="10"/>
    <w:qFormat/>
    <w:pPr>
      <w:pBdr/>
      <w:spacing w:after="200" w:before="300"/>
      <w:ind/>
      <w:contextualSpacing w:val="true"/>
    </w:pPr>
    <w:rPr>
      <w:sz w:val="48"/>
      <w:szCs w:val="48"/>
    </w:rPr>
  </w:style>
  <w:style w:type="character" w:styleId="35">
    <w:name w:val="Title Char"/>
    <w:basedOn w:val="11"/>
    <w:link w:val="34"/>
    <w:uiPriority w:val="10"/>
    <w:pPr>
      <w:pBdr/>
      <w:spacing/>
      <w:ind/>
    </w:pPr>
    <w:rPr>
      <w:sz w:val="48"/>
      <w:szCs w:val="48"/>
    </w:rPr>
  </w:style>
  <w:style w:type="paragraph" w:styleId="36">
    <w:name w:val="Subtitle"/>
    <w:basedOn w:val="658"/>
    <w:next w:val="658"/>
    <w:link w:val="37"/>
    <w:uiPriority w:val="11"/>
    <w:qFormat/>
    <w:pPr>
      <w:pBdr/>
      <w:spacing w:after="200" w:before="200"/>
      <w:ind/>
    </w:pPr>
    <w:rPr>
      <w:sz w:val="24"/>
      <w:szCs w:val="24"/>
    </w:rPr>
  </w:style>
  <w:style w:type="character" w:styleId="37">
    <w:name w:val="Subtitle Char"/>
    <w:basedOn w:val="11"/>
    <w:link w:val="36"/>
    <w:uiPriority w:val="11"/>
    <w:pPr>
      <w:pBdr/>
      <w:spacing/>
      <w:ind/>
    </w:pPr>
    <w:rPr>
      <w:sz w:val="24"/>
      <w:szCs w:val="24"/>
    </w:rPr>
  </w:style>
  <w:style w:type="paragraph" w:styleId="38">
    <w:name w:val="Quote"/>
    <w:basedOn w:val="658"/>
    <w:next w:val="658"/>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58"/>
    <w:next w:val="658"/>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paragraph" w:styleId="42">
    <w:name w:val="Header"/>
    <w:basedOn w:val="658"/>
    <w:link w:val="43"/>
    <w:uiPriority w:val="99"/>
    <w:unhideWhenUsed/>
    <w:pPr>
      <w:pBdr/>
      <w:tabs>
        <w:tab w:val="center" w:leader="none" w:pos="7143"/>
        <w:tab w:val="right" w:leader="none" w:pos="14287"/>
      </w:tabs>
      <w:spacing w:after="0" w:line="240" w:lineRule="auto"/>
      <w:ind/>
    </w:pPr>
  </w:style>
  <w:style w:type="character" w:styleId="43">
    <w:name w:val="Header Char"/>
    <w:basedOn w:val="11"/>
    <w:link w:val="42"/>
    <w:uiPriority w:val="99"/>
    <w:pPr>
      <w:pBdr/>
      <w:spacing/>
      <w:ind/>
    </w:pPr>
  </w:style>
  <w:style w:type="paragraph" w:styleId="44">
    <w:name w:val="Footer"/>
    <w:basedOn w:val="658"/>
    <w:link w:val="47"/>
    <w:uiPriority w:val="99"/>
    <w:unhideWhenUsed/>
    <w:pPr>
      <w:pBdr/>
      <w:tabs>
        <w:tab w:val="center" w:leader="none" w:pos="7143"/>
        <w:tab w:val="right" w:leader="none" w:pos="14287"/>
      </w:tabs>
      <w:spacing w:after="0" w:line="240" w:lineRule="auto"/>
      <w:ind/>
    </w:pPr>
  </w:style>
  <w:style w:type="character" w:styleId="45">
    <w:name w:val="Footer Char"/>
    <w:basedOn w:val="11"/>
    <w:link w:val="44"/>
    <w:uiPriority w:val="99"/>
    <w:pPr>
      <w:pBdr/>
      <w:spacing/>
      <w:ind/>
    </w:pPr>
  </w:style>
  <w:style w:type="paragraph" w:styleId="46">
    <w:name w:val="Caption"/>
    <w:basedOn w:val="658"/>
    <w:next w:val="658"/>
    <w:uiPriority w:val="35"/>
    <w:semiHidden/>
    <w:unhideWhenUsed/>
    <w:qFormat/>
    <w:pPr>
      <w:pBdr/>
      <w:spacing w:line="276" w:lineRule="auto"/>
      <w:ind/>
    </w:pPr>
    <w:rPr>
      <w:b/>
      <w:bCs/>
      <w:color w:val="4f81bd" w:themeColor="accent1"/>
      <w:sz w:val="18"/>
      <w:szCs w:val="18"/>
    </w:rPr>
  </w:style>
  <w:style w:type="character" w:styleId="47">
    <w:name w:val="Caption Char"/>
    <w:basedOn w:val="46"/>
    <w:link w:val="44"/>
    <w:uiPriority w:val="99"/>
    <w:pPr>
      <w:pBdr/>
      <w:spacing/>
      <w:ind/>
    </w:pPr>
  </w:style>
  <w:style w:type="table" w:styleId="48">
    <w:name w:val="Table Grid"/>
    <w:basedOn w:val="32"/>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3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3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3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3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3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3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3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3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3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3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3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3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3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3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3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3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3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3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3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3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3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3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3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3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3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3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3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3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3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3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3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3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3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3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3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3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3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3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3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3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3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3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3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3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3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3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3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3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3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3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3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3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3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3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3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3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3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3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3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3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3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3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3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3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3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3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3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58"/>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11"/>
    <w:uiPriority w:val="99"/>
    <w:unhideWhenUsed/>
    <w:pPr>
      <w:pBdr/>
      <w:spacing/>
      <w:ind/>
    </w:pPr>
    <w:rPr>
      <w:vertAlign w:val="superscript"/>
    </w:rPr>
  </w:style>
  <w:style w:type="paragraph" w:styleId="178">
    <w:name w:val="endnote text"/>
    <w:basedOn w:val="658"/>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11"/>
    <w:uiPriority w:val="99"/>
    <w:semiHidden/>
    <w:unhideWhenUsed/>
    <w:pPr>
      <w:pBdr/>
      <w:spacing/>
      <w:ind/>
    </w:pPr>
    <w:rPr>
      <w:vertAlign w:val="superscript"/>
    </w:rPr>
  </w:style>
  <w:style w:type="paragraph" w:styleId="181">
    <w:name w:val="toc 1"/>
    <w:basedOn w:val="658"/>
    <w:next w:val="658"/>
    <w:uiPriority w:val="39"/>
    <w:unhideWhenUsed/>
    <w:pPr>
      <w:pBdr/>
      <w:spacing w:after="57"/>
      <w:ind w:right="0" w:firstLine="0" w:left="0"/>
    </w:pPr>
  </w:style>
  <w:style w:type="paragraph" w:styleId="182">
    <w:name w:val="toc 2"/>
    <w:basedOn w:val="658"/>
    <w:next w:val="658"/>
    <w:uiPriority w:val="39"/>
    <w:unhideWhenUsed/>
    <w:pPr>
      <w:pBdr/>
      <w:spacing w:after="57"/>
      <w:ind w:right="0" w:firstLine="0" w:left="283"/>
    </w:pPr>
  </w:style>
  <w:style w:type="paragraph" w:styleId="183">
    <w:name w:val="toc 3"/>
    <w:basedOn w:val="658"/>
    <w:next w:val="658"/>
    <w:uiPriority w:val="39"/>
    <w:unhideWhenUsed/>
    <w:pPr>
      <w:pBdr/>
      <w:spacing w:after="57"/>
      <w:ind w:right="0" w:firstLine="0" w:left="567"/>
    </w:pPr>
  </w:style>
  <w:style w:type="paragraph" w:styleId="184">
    <w:name w:val="toc 4"/>
    <w:basedOn w:val="658"/>
    <w:next w:val="658"/>
    <w:uiPriority w:val="39"/>
    <w:unhideWhenUsed/>
    <w:pPr>
      <w:pBdr/>
      <w:spacing w:after="57"/>
      <w:ind w:right="0" w:firstLine="0" w:left="850"/>
    </w:pPr>
  </w:style>
  <w:style w:type="paragraph" w:styleId="185">
    <w:name w:val="toc 5"/>
    <w:basedOn w:val="658"/>
    <w:next w:val="658"/>
    <w:uiPriority w:val="39"/>
    <w:unhideWhenUsed/>
    <w:pPr>
      <w:pBdr/>
      <w:spacing w:after="57"/>
      <w:ind w:right="0" w:firstLine="0" w:left="1134"/>
    </w:pPr>
  </w:style>
  <w:style w:type="paragraph" w:styleId="186">
    <w:name w:val="toc 6"/>
    <w:basedOn w:val="658"/>
    <w:next w:val="658"/>
    <w:uiPriority w:val="39"/>
    <w:unhideWhenUsed/>
    <w:pPr>
      <w:pBdr/>
      <w:spacing w:after="57"/>
      <w:ind w:right="0" w:firstLine="0" w:left="1417"/>
    </w:pPr>
  </w:style>
  <w:style w:type="paragraph" w:styleId="187">
    <w:name w:val="toc 7"/>
    <w:basedOn w:val="658"/>
    <w:next w:val="658"/>
    <w:uiPriority w:val="39"/>
    <w:unhideWhenUsed/>
    <w:pPr>
      <w:pBdr/>
      <w:spacing w:after="57"/>
      <w:ind w:right="0" w:firstLine="0" w:left="1701"/>
    </w:pPr>
  </w:style>
  <w:style w:type="paragraph" w:styleId="188">
    <w:name w:val="toc 8"/>
    <w:basedOn w:val="658"/>
    <w:next w:val="658"/>
    <w:uiPriority w:val="39"/>
    <w:unhideWhenUsed/>
    <w:pPr>
      <w:pBdr/>
      <w:spacing w:after="57"/>
      <w:ind w:right="0" w:firstLine="0" w:left="1984"/>
    </w:pPr>
  </w:style>
  <w:style w:type="paragraph" w:styleId="189">
    <w:name w:val="toc 9"/>
    <w:basedOn w:val="658"/>
    <w:next w:val="658"/>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58"/>
    <w:next w:val="658"/>
    <w:uiPriority w:val="99"/>
    <w:unhideWhenUsed/>
    <w:pPr>
      <w:pBdr/>
      <w:spacing w:after="0" w:afterAutospacing="0"/>
      <w:ind/>
    </w:pPr>
  </w:style>
  <w:style w:type="paragraph" w:styleId="658" w:default="1">
    <w:name w:val="Normal"/>
    <w:next w:val="658"/>
    <w:link w:val="658"/>
    <w:qFormat/>
    <w:pPr>
      <w:widowControl w:val="false"/>
      <w:pBdr/>
      <w:spacing/>
      <w:ind/>
      <w:jc w:val="both"/>
    </w:pPr>
    <w:rPr>
      <w:rFonts w:ascii="Calibri" w:hAnsi="Calibri" w:eastAsia="宋体" w:cs="Times New Roman"/>
      <w:sz w:val="21"/>
      <w:szCs w:val="22"/>
      <w:lang w:val="en-US" w:eastAsia="zh-CN" w:bidi="ar-SA"/>
    </w:rPr>
  </w:style>
  <w:style w:type="character" w:styleId="659">
    <w:name w:val="默认段落字体"/>
    <w:next w:val="659"/>
    <w:link w:val="658"/>
    <w:semiHidden/>
    <w:pPr>
      <w:pBdr/>
      <w:spacing/>
      <w:ind/>
    </w:pPr>
  </w:style>
  <w:style w:type="table" w:styleId="660">
    <w:name w:val="普通表格"/>
    <w:next w:val="660"/>
    <w:link w:val="658"/>
    <w:semiHidden/>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61">
    <w:name w:val="正文文本"/>
    <w:basedOn w:val="658"/>
    <w:next w:val="661"/>
    <w:link w:val="658"/>
    <w:uiPriority w:val="99"/>
    <w:qFormat/>
    <w:pPr>
      <w:pBdr/>
      <w:spacing w:line="588" w:lineRule="atLeast"/>
      <w:ind/>
    </w:pPr>
    <w:rPr>
      <w:rFonts w:ascii="宋体" w:hAnsi="宋体" w:eastAsia="仿宋_GB2312"/>
      <w:spacing w:val="-2"/>
      <w:sz w:val="32"/>
      <w:szCs w:val="24"/>
    </w:rPr>
  </w:style>
  <w:style w:type="paragraph" w:styleId="662">
    <w:name w:val="页脚"/>
    <w:basedOn w:val="658"/>
    <w:next w:val="662"/>
    <w:link w:val="658"/>
    <w:uiPriority w:val="99"/>
    <w:unhideWhenUsed/>
    <w:qFormat/>
    <w:pPr>
      <w:pBdr/>
      <w:tabs>
        <w:tab w:val="center" w:leader="none" w:pos="4153"/>
        <w:tab w:val="right" w:leader="none" w:pos="8306"/>
      </w:tabs>
      <w:spacing/>
      <w:ind/>
      <w:jc w:val="left"/>
    </w:pPr>
    <w:rPr>
      <w:sz w:val="18"/>
      <w:szCs w:val="18"/>
    </w:rPr>
  </w:style>
  <w:style w:type="paragraph" w:styleId="663">
    <w:name w:val="普通(网站)"/>
    <w:basedOn w:val="658"/>
    <w:next w:val="663"/>
    <w:link w:val="658"/>
    <w:uiPriority w:val="99"/>
    <w:qFormat/>
    <w:pPr>
      <w:widowControl w:val="true"/>
      <w:pBdr/>
      <w:spacing w:after="100" w:afterAutospacing="1" w:before="100" w:beforeAutospacing="1"/>
      <w:ind/>
      <w:jc w:val="left"/>
    </w:pPr>
    <w:rPr>
      <w:rFonts w:ascii="宋体" w:hAnsi="宋体" w:eastAsia="宋体" w:cs="宋体"/>
      <w:sz w:val="24"/>
      <w:szCs w:val="24"/>
    </w:rPr>
  </w:style>
  <w:style w:type="character" w:styleId="664">
    <w:name w:val="页码"/>
    <w:basedOn w:val="659"/>
    <w:next w:val="664"/>
    <w:link w:val="658"/>
    <w:uiPriority w:val="99"/>
    <w:unhideWhenUsed/>
    <w:qFormat/>
    <w:pPr>
      <w:pBdr/>
      <w:spacing/>
      <w:ind/>
    </w:pPr>
  </w:style>
  <w:style w:type="character" w:styleId="3098" w:default="1">
    <w:name w:val="Default Paragraph Font"/>
    <w:uiPriority w:val="1"/>
    <w:semiHidden/>
    <w:unhideWhenUsed/>
    <w:pPr>
      <w:pBdr/>
      <w:spacing/>
      <w:ind/>
    </w:pPr>
  </w:style>
  <w:style w:type="numbering" w:styleId="3099" w:default="1">
    <w:name w:val="No List"/>
    <w:uiPriority w:val="99"/>
    <w:semiHidden/>
    <w:unhideWhenUsed/>
    <w:pPr>
      <w:pBdr/>
      <w:spacing/>
      <w:ind/>
    </w:pPr>
  </w:style>
  <w:style w:type="table" w:styleId="3100" w:default="1">
    <w:name w:val="Normal Table"/>
    <w:uiPriority w:val="99"/>
    <w:semiHidden/>
    <w:unhideWhenUsed/>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ONLYOFFICE/7.5.1.23</Application>
  <Company/>
  <DocSecurity>0</DocSecurity>
  <ScaleCrop>false</ScaleCrop>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匿名</cp:lastModifiedBy>
  <cp:revision>2</cp:revision>
  <dcterms:created xsi:type="dcterms:W3CDTF">2020-06-01T02:41:00Z</dcterms:created>
  <dcterms:modified xsi:type="dcterms:W3CDTF">2026-06-12T07:44:08Z</dcterms:modified>
</cp:coreProperties>
</file>