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仿宋_GB2312" w:hAnsi="仿宋_GB2312" w:eastAsia="仿宋_GB2312" w:cs="仿宋_GB2312"/>
          <w:color w:val="000000"/>
          <w:sz w:val="24"/>
        </w:rPr>
      </w:pPr>
      <w:r>
        <w:rPr>
          <w:rFonts w:hint="eastAsia" w:ascii="仿宋_GB2312" w:hAnsi="仿宋_GB2312" w:eastAsia="仿宋_GB2312" w:cs="仿宋_GB2312"/>
          <w:color w:val="000000"/>
          <w:sz w:val="24"/>
        </w:rPr>
        <w:t>附件5：</w:t>
      </w:r>
    </w:p>
    <w:p>
      <w:pPr>
        <w:spacing w:line="580" w:lineRule="exact"/>
        <w:ind w:firstLine="720" w:firstLineChars="199"/>
        <w:rPr>
          <w:rFonts w:ascii="仿宋_GB2312" w:hAnsi="仿宋_GB2312" w:eastAsia="仿宋_GB2312" w:cs="仿宋_GB2312"/>
          <w:b/>
          <w:bCs/>
          <w:spacing w:val="-20"/>
          <w:sz w:val="40"/>
          <w:szCs w:val="48"/>
        </w:rPr>
      </w:pPr>
    </w:p>
    <w:p>
      <w:pPr>
        <w:spacing w:line="580" w:lineRule="exact"/>
        <w:ind w:firstLine="720" w:firstLineChars="199"/>
        <w:jc w:val="center"/>
        <w:rPr>
          <w:rFonts w:hint="eastAsia" w:ascii="仿宋_GB2312" w:hAnsi="仿宋_GB2312" w:eastAsia="仿宋_GB2312" w:cs="仿宋_GB2312"/>
          <w:b/>
          <w:bCs/>
          <w:spacing w:val="-20"/>
          <w:sz w:val="40"/>
          <w:szCs w:val="48"/>
          <w:lang w:eastAsia="zh-CN"/>
        </w:rPr>
      </w:pPr>
      <w:r>
        <w:rPr>
          <w:rFonts w:hint="eastAsia" w:ascii="仿宋_GB2312" w:hAnsi="仿宋_GB2312" w:eastAsia="仿宋_GB2312" w:cs="仿宋_GB2312"/>
          <w:b/>
          <w:bCs/>
          <w:spacing w:val="-20"/>
          <w:sz w:val="40"/>
          <w:szCs w:val="48"/>
        </w:rPr>
        <w:t>隆尧县</w:t>
      </w:r>
      <w:r>
        <w:rPr>
          <w:rFonts w:hint="eastAsia" w:ascii="仿宋_GB2312" w:hAnsi="仿宋_GB2312" w:eastAsia="仿宋_GB2312" w:cs="仿宋_GB2312"/>
          <w:b/>
          <w:bCs/>
          <w:spacing w:val="-20"/>
          <w:sz w:val="40"/>
          <w:szCs w:val="48"/>
          <w:lang w:eastAsia="zh-CN"/>
        </w:rPr>
        <w:t>委网信办</w:t>
      </w:r>
    </w:p>
    <w:p>
      <w:pPr>
        <w:spacing w:line="580" w:lineRule="exact"/>
        <w:ind w:firstLine="720" w:firstLineChars="199"/>
        <w:jc w:val="center"/>
        <w:rPr>
          <w:rFonts w:ascii="仿宋_GB2312" w:hAnsi="仿宋_GB2312" w:eastAsia="仿宋_GB2312" w:cs="仿宋_GB2312"/>
          <w:b/>
          <w:bCs/>
          <w:sz w:val="40"/>
          <w:szCs w:val="48"/>
        </w:rPr>
      </w:pPr>
      <w:r>
        <w:rPr>
          <w:rFonts w:hint="eastAsia" w:ascii="仿宋_GB2312" w:hAnsi="仿宋_GB2312" w:eastAsia="仿宋_GB2312" w:cs="仿宋_GB2312"/>
          <w:b/>
          <w:bCs/>
          <w:spacing w:val="-20"/>
          <w:sz w:val="40"/>
          <w:szCs w:val="48"/>
        </w:rPr>
        <w:t>舆情处置工作经费</w:t>
      </w:r>
      <w:r>
        <w:rPr>
          <w:rFonts w:hint="eastAsia" w:ascii="仿宋_GB2312" w:hAnsi="仿宋_GB2312" w:eastAsia="仿宋_GB2312" w:cs="仿宋_GB2312"/>
          <w:b/>
          <w:bCs/>
          <w:sz w:val="40"/>
          <w:szCs w:val="48"/>
        </w:rPr>
        <w:t>项目重点自评绩效报告</w:t>
      </w:r>
    </w:p>
    <w:p>
      <w:pPr>
        <w:rPr>
          <w:rFonts w:ascii="仿宋_GB2312" w:hAnsi="仿宋_GB2312" w:eastAsia="仿宋_GB2312" w:cs="仿宋_GB2312"/>
        </w:rPr>
      </w:pPr>
      <w:r>
        <w:rPr>
          <w:rFonts w:hint="eastAsia" w:ascii="仿宋_GB2312" w:hAnsi="仿宋_GB2312" w:eastAsia="仿宋_GB2312" w:cs="仿宋_GB2312"/>
          <w:sz w:val="28"/>
          <w:szCs w:val="28"/>
        </w:rPr>
        <w:t xml:space="preserve">                         </w:t>
      </w: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rPr>
          <w:rFonts w:ascii="仿宋_GB2312" w:hAnsi="仿宋_GB2312" w:eastAsia="仿宋_GB2312" w:cs="仿宋_GB2312"/>
        </w:rPr>
      </w:pPr>
    </w:p>
    <w:p>
      <w:pPr>
        <w:pStyle w:val="2"/>
        <w:ind w:firstLine="560"/>
      </w:pPr>
    </w:p>
    <w:p/>
    <w:p>
      <w:pPr>
        <w:pStyle w:val="2"/>
        <w:ind w:firstLine="560"/>
      </w:pPr>
    </w:p>
    <w:p/>
    <w:p>
      <w:pPr>
        <w:pStyle w:val="2"/>
        <w:ind w:firstLine="560"/>
      </w:pPr>
    </w:p>
    <w:p>
      <w:pPr>
        <w:spacing w:line="760" w:lineRule="exact"/>
        <w:rPr>
          <w:rFonts w:ascii="仿宋_GB2312" w:hAnsi="仿宋_GB2312" w:eastAsia="仿宋_GB2312" w:cs="仿宋_GB2312"/>
          <w:spacing w:val="-20"/>
          <w:sz w:val="28"/>
          <w:szCs w:val="28"/>
          <w:u w:val="single"/>
        </w:rPr>
      </w:pPr>
      <w:r>
        <w:rPr>
          <w:rFonts w:hint="eastAsia" w:ascii="仿宋_GB2312" w:hAnsi="仿宋_GB2312" w:eastAsia="仿宋_GB2312" w:cs="仿宋_GB2312"/>
          <w:spacing w:val="11"/>
          <w:sz w:val="28"/>
          <w:szCs w:val="28"/>
        </w:rPr>
        <w:t>项 目 名 称：</w:t>
      </w:r>
      <w:r>
        <w:rPr>
          <w:rFonts w:hint="eastAsia" w:ascii="仿宋_GB2312" w:hAnsi="仿宋_GB2312" w:eastAsia="仿宋_GB2312" w:cs="仿宋_GB2312"/>
          <w:b w:val="0"/>
          <w:bCs w:val="0"/>
          <w:kern w:val="0"/>
          <w:sz w:val="28"/>
          <w:szCs w:val="28"/>
          <w:u w:val="single"/>
        </w:rPr>
        <w:t>舆情处置工作经费</w:t>
      </w:r>
      <w:r>
        <w:rPr>
          <w:rFonts w:hint="eastAsia" w:ascii="仿宋_GB2312" w:hAnsi="仿宋_GB2312" w:eastAsia="仿宋_GB2312" w:cs="仿宋_GB2312"/>
          <w:b w:val="0"/>
          <w:bCs w:val="0"/>
          <w:sz w:val="28"/>
          <w:szCs w:val="28"/>
          <w:u w:val="single"/>
        </w:rPr>
        <w:t xml:space="preserve">项目  </w:t>
      </w:r>
    </w:p>
    <w:p>
      <w:pPr>
        <w:spacing w:line="760" w:lineRule="exact"/>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项目实施单位：</w:t>
      </w:r>
      <w:r>
        <w:rPr>
          <w:rFonts w:hint="eastAsia" w:ascii="仿宋_GB2312" w:hAnsi="仿宋_GB2312" w:eastAsia="仿宋_GB2312" w:cs="仿宋_GB2312"/>
          <w:kern w:val="0"/>
          <w:sz w:val="28"/>
          <w:szCs w:val="28"/>
          <w:u w:val="single"/>
        </w:rPr>
        <w:t>中共隆尧县委网络安全和信息化委员会办公室</w:t>
      </w:r>
    </w:p>
    <w:p>
      <w:pPr>
        <w:spacing w:line="760" w:lineRule="exact"/>
        <w:rPr>
          <w:rFonts w:ascii="仿宋_GB2312" w:hAnsi="仿宋_GB2312" w:eastAsia="仿宋_GB2312" w:cs="仿宋_GB2312"/>
          <w:sz w:val="28"/>
          <w:szCs w:val="28"/>
          <w:u w:val="single"/>
        </w:rPr>
      </w:pPr>
      <w:r>
        <w:rPr>
          <w:rFonts w:hint="eastAsia" w:ascii="仿宋_GB2312" w:hAnsi="仿宋_GB2312" w:eastAsia="仿宋_GB2312" w:cs="仿宋_GB2312"/>
          <w:spacing w:val="28"/>
          <w:sz w:val="28"/>
          <w:szCs w:val="28"/>
        </w:rPr>
        <w:t>项目总金额：</w:t>
      </w:r>
      <w:r>
        <w:rPr>
          <w:rFonts w:hint="eastAsia" w:ascii="仿宋_GB2312" w:hAnsi="仿宋_GB2312" w:eastAsia="仿宋_GB2312" w:cs="仿宋_GB2312"/>
          <w:kern w:val="0"/>
          <w:sz w:val="28"/>
          <w:szCs w:val="28"/>
          <w:u w:val="single"/>
          <w:lang w:val="en-US" w:eastAsia="zh-CN"/>
        </w:rPr>
        <w:t>15</w:t>
      </w:r>
      <w:r>
        <w:rPr>
          <w:rFonts w:hint="eastAsia" w:ascii="仿宋_GB2312" w:hAnsi="仿宋_GB2312" w:eastAsia="仿宋_GB2312" w:cs="仿宋_GB2312"/>
          <w:kern w:val="0"/>
          <w:sz w:val="28"/>
          <w:szCs w:val="28"/>
          <w:u w:val="single"/>
        </w:rPr>
        <w:t>万元</w:t>
      </w:r>
    </w:p>
    <w:p>
      <w:pPr>
        <w:spacing w:line="760" w:lineRule="exact"/>
        <w:rPr>
          <w:rFonts w:ascii="仿宋_GB2312" w:hAnsi="仿宋_GB2312" w:eastAsia="仿宋_GB2312" w:cs="仿宋_GB2312"/>
          <w:sz w:val="28"/>
          <w:szCs w:val="28"/>
          <w:u w:val="single"/>
        </w:rPr>
      </w:pPr>
      <w:r>
        <w:rPr>
          <w:rFonts w:hint="eastAsia" w:ascii="仿宋_GB2312" w:hAnsi="仿宋_GB2312" w:eastAsia="仿宋_GB2312" w:cs="仿宋_GB2312"/>
          <w:spacing w:val="11"/>
          <w:sz w:val="28"/>
          <w:szCs w:val="28"/>
        </w:rPr>
        <w:t>评 价 年 度：</w:t>
      </w:r>
      <w:r>
        <w:rPr>
          <w:rFonts w:hint="eastAsia" w:ascii="仿宋_GB2312" w:hAnsi="仿宋_GB2312" w:eastAsia="仿宋_GB2312" w:cs="仿宋_GB2312"/>
          <w:sz w:val="28"/>
          <w:szCs w:val="28"/>
          <w:u w:val="single"/>
        </w:rPr>
        <w:t>2022年度</w:t>
      </w:r>
    </w:p>
    <w:p>
      <w:pPr>
        <w:spacing w:line="760" w:lineRule="exact"/>
        <w:rPr>
          <w:rFonts w:ascii="仿宋_GB2312" w:hAnsi="仿宋_GB2312" w:eastAsia="仿宋_GB2312" w:cs="仿宋_GB2312"/>
          <w:sz w:val="28"/>
          <w:szCs w:val="28"/>
          <w:u w:val="single"/>
        </w:rPr>
      </w:pPr>
      <w:r>
        <w:rPr>
          <w:rFonts w:hint="eastAsia" w:ascii="仿宋_GB2312" w:hAnsi="仿宋_GB2312" w:eastAsia="仿宋_GB2312" w:cs="仿宋_GB2312"/>
          <w:spacing w:val="28"/>
          <w:sz w:val="28"/>
          <w:szCs w:val="28"/>
        </w:rPr>
        <w:t>评价组组长：</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eastAsia="zh-CN"/>
        </w:rPr>
        <w:t>王景利</w:t>
      </w:r>
      <w:r>
        <w:rPr>
          <w:rFonts w:hint="eastAsia" w:ascii="仿宋_GB2312" w:hAnsi="仿宋_GB2312" w:eastAsia="仿宋_GB2312" w:cs="仿宋_GB2312"/>
          <w:sz w:val="28"/>
          <w:szCs w:val="28"/>
          <w:u w:val="single"/>
        </w:rPr>
        <w:t xml:space="preserve">   </w:t>
      </w:r>
    </w:p>
    <w:p>
      <w:pPr>
        <w:spacing w:line="760" w:lineRule="exact"/>
        <w:rPr>
          <w:rFonts w:ascii="仿宋_GB2312" w:hAnsi="仿宋_GB2312" w:eastAsia="仿宋_GB2312" w:cs="仿宋_GB2312"/>
        </w:rPr>
      </w:pPr>
      <w:r>
        <w:rPr>
          <w:rFonts w:hint="eastAsia" w:ascii="仿宋_GB2312" w:hAnsi="仿宋_GB2312" w:eastAsia="仿宋_GB2312" w:cs="仿宋_GB2312"/>
          <w:spacing w:val="28"/>
          <w:sz w:val="28"/>
          <w:szCs w:val="28"/>
        </w:rPr>
        <w:t>评价组成员：</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eastAsia="zh-CN"/>
        </w:rPr>
        <w:t>葛丽波</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lang w:eastAsia="zh-CN"/>
        </w:rPr>
        <w:t>郝梦洁</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lang w:eastAsia="zh-CN"/>
        </w:rPr>
        <w:t>郭永飞</w:t>
      </w:r>
      <w:r>
        <w:rPr>
          <w:rFonts w:hint="eastAsia" w:ascii="仿宋_GB2312" w:hAnsi="仿宋_GB2312" w:eastAsia="仿宋_GB2312" w:cs="仿宋_GB2312"/>
          <w:sz w:val="28"/>
          <w:szCs w:val="28"/>
          <w:u w:val="single"/>
        </w:rPr>
        <w:t xml:space="preserve">           </w:t>
      </w:r>
    </w:p>
    <w:p>
      <w:pPr>
        <w:rPr>
          <w:rFonts w:ascii="仿宋_GB2312" w:hAnsi="仿宋_GB2312" w:eastAsia="仿宋_GB2312" w:cs="仿宋_GB2312"/>
        </w:rPr>
      </w:pPr>
      <w:bookmarkStart w:id="0" w:name="_Toc5909_WPSOffice_Level1"/>
      <w:bookmarkStart w:id="1" w:name="_Toc7470_WPSOffice_Level1"/>
    </w:p>
    <w:bookmarkEnd w:id="0"/>
    <w:bookmarkEnd w:id="1"/>
    <w:p>
      <w:pPr>
        <w:spacing w:line="580" w:lineRule="exact"/>
        <w:outlineLvl w:val="0"/>
        <w:rPr>
          <w:rFonts w:ascii="仿宋_GB2312" w:hAnsi="仿宋_GB2312" w:eastAsia="仿宋_GB2312" w:cs="仿宋_GB2312"/>
          <w:b/>
          <w:bCs/>
          <w:sz w:val="32"/>
          <w:szCs w:val="40"/>
        </w:rPr>
      </w:pPr>
      <w:bookmarkStart w:id="2" w:name="_Toc18334"/>
      <w:bookmarkStart w:id="3" w:name="_Toc23411"/>
      <w:bookmarkStart w:id="4" w:name="_Toc6314"/>
      <w:bookmarkStart w:id="5" w:name="_Toc9525"/>
      <w:bookmarkStart w:id="6" w:name="_Toc2245"/>
      <w:bookmarkStart w:id="7" w:name="_Toc11301"/>
      <w:bookmarkStart w:id="8" w:name="_Toc16913"/>
      <w:bookmarkStart w:id="9" w:name="_Toc13153"/>
      <w:bookmarkStart w:id="10" w:name="_Toc4013"/>
      <w:bookmarkStart w:id="11" w:name="_Toc30335"/>
    </w:p>
    <w:p>
      <w:pPr>
        <w:spacing w:line="580" w:lineRule="exact"/>
        <w:ind w:firstLine="640" w:firstLineChars="200"/>
        <w:outlineLvl w:val="0"/>
        <w:rPr>
          <w:rFonts w:hint="eastAsia" w:ascii="黑体" w:hAnsi="黑体" w:eastAsia="黑体" w:cs="黑体"/>
          <w:b w:val="0"/>
          <w:bCs w:val="0"/>
          <w:sz w:val="32"/>
          <w:szCs w:val="40"/>
        </w:rPr>
      </w:pPr>
      <w:r>
        <w:rPr>
          <w:rFonts w:hint="eastAsia" w:ascii="黑体" w:hAnsi="黑体" w:eastAsia="黑体" w:cs="黑体"/>
          <w:b w:val="0"/>
          <w:bCs w:val="0"/>
          <w:sz w:val="32"/>
          <w:szCs w:val="40"/>
        </w:rPr>
        <w:t>一、项目概况</w:t>
      </w:r>
      <w:bookmarkEnd w:id="2"/>
      <w:bookmarkEnd w:id="3"/>
      <w:bookmarkEnd w:id="4"/>
      <w:bookmarkEnd w:id="5"/>
      <w:bookmarkEnd w:id="6"/>
      <w:bookmarkEnd w:id="7"/>
      <w:bookmarkEnd w:id="8"/>
      <w:bookmarkEnd w:id="9"/>
      <w:bookmarkEnd w:id="10"/>
      <w:bookmarkEnd w:id="11"/>
    </w:p>
    <w:p>
      <w:pPr>
        <w:spacing w:line="580" w:lineRule="exact"/>
        <w:ind w:firstLine="640" w:firstLineChars="200"/>
        <w:outlineLvl w:val="1"/>
        <w:rPr>
          <w:rFonts w:hint="eastAsia" w:ascii="楷体_GB2312" w:hAnsi="楷体_GB2312" w:eastAsia="楷体_GB2312" w:cs="楷体_GB2312"/>
          <w:sz w:val="32"/>
          <w:szCs w:val="40"/>
        </w:rPr>
      </w:pPr>
      <w:bookmarkStart w:id="12" w:name="_Toc937"/>
      <w:bookmarkStart w:id="13" w:name="_Toc22453"/>
      <w:bookmarkStart w:id="14" w:name="_Toc19370"/>
      <w:bookmarkStart w:id="15" w:name="_Toc24784"/>
      <w:bookmarkStart w:id="16" w:name="_Toc30895"/>
      <w:bookmarkStart w:id="17" w:name="_Toc22285"/>
      <w:bookmarkStart w:id="18" w:name="_Toc19963"/>
      <w:bookmarkStart w:id="19" w:name="_Toc32742"/>
      <w:bookmarkStart w:id="20" w:name="_Toc15831"/>
      <w:bookmarkStart w:id="21" w:name="_Toc23957"/>
      <w:r>
        <w:rPr>
          <w:rFonts w:hint="eastAsia" w:ascii="楷体_GB2312" w:hAnsi="楷体_GB2312" w:eastAsia="楷体_GB2312" w:cs="楷体_GB2312"/>
          <w:sz w:val="32"/>
          <w:szCs w:val="40"/>
        </w:rPr>
        <w:t>（一）项目单位基本情况</w:t>
      </w:r>
      <w:bookmarkEnd w:id="12"/>
      <w:bookmarkEnd w:id="13"/>
      <w:bookmarkEnd w:id="14"/>
      <w:bookmarkEnd w:id="15"/>
      <w:bookmarkEnd w:id="16"/>
      <w:bookmarkEnd w:id="17"/>
      <w:bookmarkEnd w:id="18"/>
      <w:bookmarkEnd w:id="19"/>
      <w:bookmarkEnd w:id="20"/>
      <w:bookmarkEnd w:id="21"/>
    </w:p>
    <w:p>
      <w:pPr>
        <w:spacing w:line="580" w:lineRule="exact"/>
        <w:ind w:firstLine="640" w:firstLineChars="200"/>
        <w:outlineLvl w:val="1"/>
        <w:rPr>
          <w:rFonts w:hint="default" w:ascii="仿宋_GB2312" w:hAnsi="仿宋_GB2312" w:eastAsia="仿宋_GB2312" w:cs="仿宋_GB2312"/>
          <w:sz w:val="32"/>
          <w:szCs w:val="40"/>
          <w:lang w:val="en-US" w:eastAsia="zh-CN"/>
        </w:rPr>
      </w:pPr>
      <w:bookmarkStart w:id="22" w:name="_Toc8843"/>
      <w:bookmarkStart w:id="23" w:name="_Toc15167"/>
      <w:bookmarkStart w:id="24" w:name="_Toc29308"/>
      <w:r>
        <w:rPr>
          <w:rFonts w:hint="eastAsia" w:ascii="仿宋_GB2312" w:hAnsi="仿宋_GB2312" w:eastAsia="仿宋_GB2312" w:cs="仿宋_GB2312"/>
          <w:sz w:val="32"/>
          <w:szCs w:val="40"/>
          <w:lang w:eastAsia="zh-CN"/>
        </w:rPr>
        <w:t>中共隆尧县委网络安全和信息化委员会办公室为党的机关，行政单位，位于隆尧县新华街</w:t>
      </w:r>
      <w:r>
        <w:rPr>
          <w:rFonts w:hint="eastAsia" w:ascii="仿宋_GB2312" w:hAnsi="仿宋_GB2312" w:eastAsia="仿宋_GB2312" w:cs="仿宋_GB2312"/>
          <w:sz w:val="32"/>
          <w:szCs w:val="40"/>
          <w:lang w:val="en-US" w:eastAsia="zh-CN"/>
        </w:rPr>
        <w:t>588号（人大院内），主要职责为：</w:t>
      </w:r>
      <w:r>
        <w:rPr>
          <w:rFonts w:hint="eastAsia" w:ascii="仿宋_GB2312" w:hAnsi="仿宋_GB2312" w:eastAsia="仿宋_GB2312" w:cs="仿宋_GB2312"/>
          <w:sz w:val="32"/>
          <w:szCs w:val="32"/>
          <w:lang w:val="en-US" w:eastAsia="zh-CN"/>
        </w:rPr>
        <w:t>负责处理县委网络安全和信息化委员会日常事务工作。组织研究起草我县网络安全和信息化发展战略、宏观规划和相关政策。统筹协调全县网络安全保障体系和可信体系建设。督促落实我县涉及政治、经济、文化、社会、生态及军事等各个领域的网络安全和信息化重大事项;负责协调处理网络安全和信息化重大突发事件与有关应急工作。负责全县互联网信息内容管理。负责指导协调全县网络舆情工作。推动全县网络阵地建设和重点新闻网站规划建设。推动全县网络社会工作和网络文化、网络文明建设;发展、联系、服务网络社会组织，指导互联网行业自律，推进网站党建工作。落实国家互联网信息服务资本准入和信息网络行业安全审查的有关政策。协调推进全县信息网络行业自主创新和发展。规划指导县内机构开展金融信息服务业务。组织拟订网络安全和信息化干部人才队伍发展规划，组织开展网信系统干部教育培训和人才队伍建设，规划指导全县互联网新闻信息服务从业人员教育培训和考评工作，组织开展网络媒介素养教育。组织开展相关领域的交流与合作。指导、检查、推动各乡镇和有关部门网络安全和信息化工作。完成省、市委网络安全和信息化委员会办公室(省、市互联网信息办公室)和县委、县政府及县委网络安全和信息化委员会、县委宣传部交办的其他任务。</w:t>
      </w:r>
    </w:p>
    <w:p>
      <w:pPr>
        <w:spacing w:line="580" w:lineRule="exact"/>
        <w:ind w:firstLine="640" w:firstLineChars="200"/>
        <w:outlineLvl w:val="1"/>
        <w:rPr>
          <w:rFonts w:hint="eastAsia" w:ascii="楷体_GB2312" w:hAnsi="楷体_GB2312" w:eastAsia="楷体_GB2312" w:cs="楷体_GB2312"/>
          <w:sz w:val="32"/>
          <w:szCs w:val="40"/>
        </w:rPr>
      </w:pPr>
      <w:r>
        <w:rPr>
          <w:rFonts w:hint="eastAsia" w:ascii="楷体_GB2312" w:hAnsi="楷体_GB2312" w:eastAsia="楷体_GB2312" w:cs="楷体_GB2312"/>
          <w:sz w:val="32"/>
          <w:szCs w:val="40"/>
        </w:rPr>
        <w:t>（二）项目基本情况</w:t>
      </w:r>
      <w:bookmarkEnd w:id="22"/>
      <w:bookmarkEnd w:id="23"/>
      <w:bookmarkEnd w:id="24"/>
    </w:p>
    <w:p>
      <w:pPr>
        <w:spacing w:line="580" w:lineRule="exact"/>
        <w:ind w:firstLine="640" w:firstLineChars="200"/>
        <w:rPr>
          <w:rFonts w:hint="eastAsia" w:ascii="仿宋_GB2312" w:hAnsi="仿宋_GB2312" w:eastAsia="仿宋_GB2312" w:cs="仿宋_GB2312"/>
          <w:sz w:val="32"/>
          <w:szCs w:val="40"/>
          <w:lang w:val="en-US" w:eastAsia="zh-CN"/>
        </w:rPr>
      </w:pPr>
      <w:bookmarkStart w:id="25" w:name="_Toc24191"/>
      <w:bookmarkStart w:id="26" w:name="_Toc32656"/>
      <w:bookmarkStart w:id="27" w:name="_Toc26594"/>
      <w:bookmarkStart w:id="28" w:name="_Toc27552"/>
      <w:r>
        <w:rPr>
          <w:rFonts w:hint="eastAsia" w:ascii="仿宋_GB2312" w:hAnsi="仿宋_GB2312" w:eastAsia="仿宋_GB2312" w:cs="仿宋_GB2312"/>
          <w:sz w:val="32"/>
          <w:szCs w:val="40"/>
        </w:rPr>
        <w:t>项目资金数</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lang w:val="en-US" w:eastAsia="zh-CN"/>
        </w:rPr>
        <w:t>15万元。</w:t>
      </w:r>
    </w:p>
    <w:p>
      <w:pPr>
        <w:spacing w:line="580" w:lineRule="exact"/>
        <w:ind w:firstLine="640" w:firstLineChars="200"/>
        <w:rPr>
          <w:rFonts w:ascii="仿宋_GB2312" w:hAnsi="仿宋_GB2312" w:eastAsia="仿宋_GB2312" w:cs="仿宋_GB2312"/>
          <w:sz w:val="32"/>
          <w:szCs w:val="40"/>
        </w:rPr>
      </w:pPr>
      <w:r>
        <w:rPr>
          <w:rFonts w:hint="eastAsia" w:ascii="仿宋_GB2312" w:hAnsi="仿宋_GB2312" w:eastAsia="仿宋_GB2312" w:cs="仿宋_GB2312"/>
          <w:sz w:val="32"/>
          <w:szCs w:val="40"/>
        </w:rPr>
        <w:t>支付资金情况</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color w:val="000000" w:themeColor="text1"/>
          <w:sz w:val="32"/>
          <w:szCs w:val="40"/>
        </w:rPr>
        <w:t>按工作进度</w:t>
      </w:r>
      <w:r>
        <w:rPr>
          <w:rFonts w:hint="eastAsia" w:ascii="仿宋_GB2312" w:hAnsi="仿宋_GB2312" w:eastAsia="仿宋_GB2312" w:cs="仿宋_GB2312"/>
          <w:color w:val="000000" w:themeColor="text1"/>
          <w:sz w:val="32"/>
          <w:szCs w:val="40"/>
          <w:lang w:eastAsia="zh-CN"/>
        </w:rPr>
        <w:t>已</w:t>
      </w:r>
      <w:r>
        <w:rPr>
          <w:rFonts w:hint="eastAsia" w:ascii="仿宋_GB2312" w:hAnsi="仿宋_GB2312" w:eastAsia="仿宋_GB2312" w:cs="仿宋_GB2312"/>
          <w:color w:val="000000" w:themeColor="text1"/>
          <w:sz w:val="32"/>
          <w:szCs w:val="40"/>
        </w:rPr>
        <w:t>全额支付</w:t>
      </w:r>
      <w:r>
        <w:rPr>
          <w:rFonts w:hint="eastAsia" w:ascii="仿宋_GB2312" w:hAnsi="仿宋_GB2312" w:eastAsia="仿宋_GB2312" w:cs="仿宋_GB2312"/>
          <w:sz w:val="32"/>
          <w:szCs w:val="40"/>
        </w:rPr>
        <w:t>。</w:t>
      </w:r>
    </w:p>
    <w:bookmarkEnd w:id="25"/>
    <w:bookmarkEnd w:id="26"/>
    <w:bookmarkEnd w:id="27"/>
    <w:bookmarkEnd w:id="28"/>
    <w:p>
      <w:pPr>
        <w:spacing w:line="580" w:lineRule="exact"/>
        <w:ind w:firstLine="640" w:firstLineChars="200"/>
        <w:outlineLvl w:val="0"/>
        <w:rPr>
          <w:rFonts w:hint="eastAsia" w:ascii="黑体" w:hAnsi="黑体" w:eastAsia="黑体" w:cs="黑体"/>
          <w:b w:val="0"/>
          <w:bCs w:val="0"/>
          <w:sz w:val="32"/>
          <w:szCs w:val="40"/>
        </w:rPr>
      </w:pPr>
      <w:bookmarkStart w:id="29" w:name="_Toc17782"/>
      <w:bookmarkStart w:id="30" w:name="_Toc7839"/>
      <w:bookmarkStart w:id="31" w:name="_Toc2988"/>
      <w:bookmarkStart w:id="32" w:name="_Toc26109"/>
      <w:bookmarkStart w:id="33" w:name="_Toc28908"/>
      <w:bookmarkStart w:id="34" w:name="_Toc12860"/>
      <w:bookmarkStart w:id="35" w:name="_Toc18992"/>
      <w:bookmarkStart w:id="36" w:name="_Toc14644"/>
      <w:bookmarkStart w:id="37" w:name="_Toc6781"/>
      <w:bookmarkStart w:id="38" w:name="_Toc4859"/>
      <w:r>
        <w:rPr>
          <w:rFonts w:hint="eastAsia" w:ascii="黑体" w:hAnsi="黑体" w:eastAsia="黑体" w:cs="黑体"/>
          <w:b w:val="0"/>
          <w:bCs w:val="0"/>
          <w:sz w:val="32"/>
          <w:szCs w:val="40"/>
        </w:rPr>
        <w:t>二、项目实施情况</w:t>
      </w:r>
      <w:bookmarkEnd w:id="29"/>
      <w:bookmarkEnd w:id="30"/>
      <w:bookmarkEnd w:id="31"/>
      <w:bookmarkEnd w:id="32"/>
      <w:bookmarkEnd w:id="33"/>
      <w:bookmarkEnd w:id="34"/>
      <w:bookmarkEnd w:id="35"/>
      <w:bookmarkEnd w:id="36"/>
      <w:bookmarkEnd w:id="37"/>
      <w:bookmarkEnd w:id="38"/>
    </w:p>
    <w:p>
      <w:pPr>
        <w:spacing w:line="580" w:lineRule="exact"/>
        <w:ind w:firstLine="640" w:firstLineChars="200"/>
        <w:rPr>
          <w:rFonts w:hint="default" w:ascii="仿宋_GB2312" w:hAnsi="仿宋_GB2312" w:eastAsia="仿宋_GB2312" w:cs="仿宋_GB2312"/>
          <w:sz w:val="32"/>
          <w:szCs w:val="40"/>
          <w:lang w:val="en-US" w:eastAsia="zh-CN"/>
        </w:rPr>
      </w:pPr>
      <w:bookmarkStart w:id="39" w:name="_Toc13114"/>
      <w:bookmarkStart w:id="40" w:name="_Toc31876"/>
      <w:bookmarkStart w:id="41" w:name="_Toc20844"/>
      <w:bookmarkStart w:id="42" w:name="_Toc22812"/>
      <w:bookmarkStart w:id="43" w:name="_Toc9227"/>
      <w:bookmarkStart w:id="44" w:name="_Toc11365"/>
      <w:bookmarkStart w:id="45" w:name="_Toc4138"/>
      <w:bookmarkStart w:id="46" w:name="_Toc17743"/>
      <w:bookmarkStart w:id="47" w:name="_Toc17067"/>
      <w:bookmarkStart w:id="48" w:name="_Toc10886"/>
      <w:r>
        <w:rPr>
          <w:rFonts w:hint="eastAsia" w:ascii="仿宋_GB2312" w:hAnsi="仿宋_GB2312" w:eastAsia="仿宋_GB2312" w:cs="仿宋_GB2312"/>
          <w:sz w:val="32"/>
          <w:szCs w:val="40"/>
        </w:rPr>
        <w:t>项目具体实施情况</w:t>
      </w:r>
      <w:r>
        <w:rPr>
          <w:rFonts w:hint="eastAsia" w:ascii="仿宋_GB2312" w:hAnsi="仿宋_GB2312" w:eastAsia="仿宋_GB2312" w:cs="仿宋_GB2312"/>
          <w:sz w:val="32"/>
          <w:szCs w:val="40"/>
          <w:lang w:eastAsia="zh-CN"/>
        </w:rPr>
        <w:t>：按照工作需要，舆情处置工作经费共</w:t>
      </w:r>
      <w:r>
        <w:rPr>
          <w:rFonts w:hint="eastAsia" w:ascii="仿宋_GB2312" w:hAnsi="仿宋_GB2312" w:eastAsia="仿宋_GB2312" w:cs="仿宋_GB2312"/>
          <w:sz w:val="32"/>
          <w:szCs w:val="40"/>
          <w:lang w:val="en-US" w:eastAsia="zh-CN"/>
        </w:rPr>
        <w:t>15万元，已全额支付，主要用于舆情监测软件服务费，舆情产品印发费，舆情线下核实处置差旅费等。</w:t>
      </w:r>
    </w:p>
    <w:p>
      <w:pPr>
        <w:spacing w:line="580" w:lineRule="exact"/>
        <w:ind w:firstLine="640" w:firstLineChars="200"/>
        <w:rPr>
          <w:rFonts w:ascii="仿宋_GB2312" w:hAnsi="仿宋_GB2312" w:eastAsia="仿宋_GB2312" w:cs="仿宋_GB2312"/>
          <w:sz w:val="32"/>
          <w:szCs w:val="40"/>
        </w:rPr>
      </w:pPr>
      <w:r>
        <w:rPr>
          <w:rFonts w:hint="eastAsia" w:ascii="仿宋_GB2312" w:hAnsi="仿宋_GB2312" w:eastAsia="仿宋_GB2312" w:cs="仿宋_GB2312"/>
          <w:sz w:val="32"/>
          <w:szCs w:val="40"/>
        </w:rPr>
        <w:t>财务管理情况</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rPr>
        <w:t>严格执行财务预算制度和会计制度，正确规则记账，做到账实相符，账表相符。</w:t>
      </w:r>
      <w:bookmarkEnd w:id="39"/>
      <w:bookmarkEnd w:id="40"/>
      <w:bookmarkEnd w:id="41"/>
      <w:bookmarkEnd w:id="42"/>
      <w:bookmarkEnd w:id="43"/>
      <w:bookmarkEnd w:id="44"/>
      <w:bookmarkEnd w:id="45"/>
      <w:bookmarkEnd w:id="46"/>
      <w:bookmarkEnd w:id="47"/>
      <w:bookmarkEnd w:id="48"/>
    </w:p>
    <w:p>
      <w:pPr>
        <w:spacing w:line="580" w:lineRule="exact"/>
        <w:ind w:firstLine="640" w:firstLineChars="200"/>
        <w:outlineLvl w:val="0"/>
        <w:rPr>
          <w:rFonts w:hint="eastAsia" w:ascii="黑体" w:hAnsi="黑体" w:eastAsia="黑体" w:cs="黑体"/>
          <w:b w:val="0"/>
          <w:bCs w:val="0"/>
          <w:sz w:val="32"/>
          <w:szCs w:val="40"/>
        </w:rPr>
      </w:pPr>
      <w:bookmarkStart w:id="49" w:name="_Toc10651"/>
      <w:bookmarkStart w:id="50" w:name="_Toc21501"/>
      <w:bookmarkStart w:id="51" w:name="_Toc5215"/>
      <w:bookmarkStart w:id="52" w:name="_Toc12150"/>
      <w:bookmarkStart w:id="53" w:name="_Toc6451"/>
      <w:bookmarkStart w:id="54" w:name="_Toc20904"/>
      <w:bookmarkStart w:id="55" w:name="_Toc5317"/>
      <w:bookmarkStart w:id="56" w:name="_Toc26855"/>
      <w:bookmarkStart w:id="57" w:name="_Toc29800"/>
      <w:bookmarkStart w:id="58" w:name="_Toc18915"/>
      <w:r>
        <w:rPr>
          <w:rFonts w:hint="eastAsia" w:ascii="黑体" w:hAnsi="黑体" w:eastAsia="黑体" w:cs="黑体"/>
          <w:b w:val="0"/>
          <w:bCs w:val="0"/>
          <w:sz w:val="32"/>
          <w:szCs w:val="40"/>
        </w:rPr>
        <w:t>三、绩效评价工作情况</w:t>
      </w:r>
      <w:bookmarkEnd w:id="49"/>
      <w:bookmarkEnd w:id="50"/>
      <w:bookmarkEnd w:id="51"/>
      <w:bookmarkEnd w:id="52"/>
      <w:bookmarkEnd w:id="53"/>
      <w:bookmarkEnd w:id="54"/>
      <w:bookmarkEnd w:id="55"/>
      <w:bookmarkEnd w:id="56"/>
      <w:bookmarkEnd w:id="57"/>
      <w:bookmarkEnd w:id="58"/>
    </w:p>
    <w:p>
      <w:pPr>
        <w:spacing w:line="580" w:lineRule="exact"/>
        <w:ind w:firstLine="640" w:firstLineChars="200"/>
        <w:outlineLvl w:val="1"/>
        <w:rPr>
          <w:rFonts w:hint="eastAsia" w:ascii="仿宋_GB2312" w:hAnsi="仿宋_GB2312" w:eastAsia="仿宋_GB2312" w:cs="仿宋_GB2312"/>
          <w:sz w:val="32"/>
          <w:szCs w:val="40"/>
          <w:lang w:eastAsia="zh-CN"/>
        </w:rPr>
      </w:pPr>
      <w:bookmarkStart w:id="59" w:name="_Toc4056"/>
      <w:bookmarkStart w:id="60" w:name="_Toc5105"/>
      <w:bookmarkStart w:id="61" w:name="_Toc15730"/>
      <w:bookmarkStart w:id="62" w:name="_Toc17355"/>
      <w:bookmarkStart w:id="63" w:name="_Toc7570"/>
      <w:bookmarkStart w:id="64" w:name="_Toc25600"/>
      <w:bookmarkStart w:id="65" w:name="_Toc23608"/>
      <w:bookmarkStart w:id="66" w:name="_Toc8077"/>
      <w:bookmarkStart w:id="67" w:name="_Toc22771"/>
      <w:bookmarkStart w:id="68" w:name="_Toc14742"/>
      <w:r>
        <w:rPr>
          <w:rFonts w:hint="eastAsia" w:ascii="楷体_GB2312" w:hAnsi="楷体_GB2312" w:eastAsia="楷体_GB2312" w:cs="楷体_GB2312"/>
          <w:sz w:val="32"/>
          <w:szCs w:val="40"/>
        </w:rPr>
        <w:t>（一）评价目的</w:t>
      </w:r>
      <w:bookmarkEnd w:id="59"/>
      <w:bookmarkEnd w:id="60"/>
      <w:bookmarkEnd w:id="61"/>
      <w:bookmarkEnd w:id="62"/>
      <w:bookmarkEnd w:id="63"/>
      <w:bookmarkEnd w:id="64"/>
      <w:bookmarkEnd w:id="65"/>
      <w:bookmarkEnd w:id="66"/>
      <w:bookmarkEnd w:id="67"/>
      <w:bookmarkEnd w:id="68"/>
      <w:r>
        <w:rPr>
          <w:rFonts w:hint="eastAsia" w:ascii="楷体_GB2312" w:hAnsi="楷体_GB2312" w:eastAsia="楷体_GB2312" w:cs="楷体_GB2312"/>
          <w:sz w:val="32"/>
          <w:szCs w:val="40"/>
          <w:lang w:eastAsia="zh-CN"/>
        </w:rPr>
        <w:t>。</w:t>
      </w:r>
      <w:r>
        <w:rPr>
          <w:rFonts w:hint="eastAsia" w:ascii="仿宋_GB2312" w:hAnsi="仿宋_GB2312" w:eastAsia="仿宋_GB2312" w:cs="仿宋_GB2312"/>
          <w:sz w:val="32"/>
          <w:szCs w:val="40"/>
          <w:lang w:eastAsia="zh-CN"/>
        </w:rPr>
        <w:t>以</w:t>
      </w:r>
      <w:r>
        <w:rPr>
          <w:rFonts w:hint="eastAsia" w:ascii="仿宋_GB2312" w:hAnsi="仿宋_GB2312" w:eastAsia="仿宋_GB2312" w:cs="仿宋_GB2312"/>
          <w:sz w:val="32"/>
          <w:szCs w:val="40"/>
        </w:rPr>
        <w:t>整体支出的效果为导向，通过系统整理和分析</w:t>
      </w:r>
      <w:r>
        <w:rPr>
          <w:rFonts w:hint="eastAsia" w:ascii="仿宋_GB2312" w:hAnsi="仿宋_GB2312" w:eastAsia="仿宋_GB2312" w:cs="仿宋_GB2312"/>
          <w:sz w:val="32"/>
          <w:szCs w:val="40"/>
          <w:lang w:eastAsia="zh-CN"/>
        </w:rPr>
        <w:t>“舆情处置工作经费”项目</w:t>
      </w:r>
      <w:r>
        <w:rPr>
          <w:rFonts w:hint="eastAsia" w:ascii="仿宋_GB2312" w:hAnsi="仿宋_GB2312" w:eastAsia="仿宋_GB2312" w:cs="仿宋_GB2312"/>
          <w:sz w:val="32"/>
          <w:szCs w:val="40"/>
        </w:rPr>
        <w:t>的“产出”“效果”等情况，对其经济性效率性效益性和公平性进行客观公正地测量分析和评判。同时，梳理存在的主要问题，提出改善后继管理的建议，为优化财政支出管理，进一步完善和实施绩效目标制定绩效动态跟踪绩效评价结果应用等全过程预算绩效管理提供决策依据，为下一步实施预算绩效管理奠定基础。</w:t>
      </w:r>
    </w:p>
    <w:p>
      <w:pPr>
        <w:spacing w:line="580" w:lineRule="exact"/>
        <w:ind w:firstLine="640" w:firstLineChars="200"/>
        <w:outlineLvl w:val="1"/>
        <w:rPr>
          <w:rFonts w:hint="eastAsia" w:ascii="仿宋_GB2312" w:hAnsi="仿宋_GB2312" w:eastAsia="仿宋_GB2312" w:cs="仿宋_GB2312"/>
          <w:sz w:val="32"/>
          <w:szCs w:val="40"/>
          <w:lang w:eastAsia="zh-CN"/>
        </w:rPr>
      </w:pPr>
      <w:bookmarkStart w:id="69" w:name="_Toc27346"/>
      <w:bookmarkStart w:id="70" w:name="_Toc16971"/>
      <w:bookmarkStart w:id="71" w:name="_Toc18502"/>
      <w:bookmarkStart w:id="72" w:name="_Toc8288"/>
      <w:bookmarkStart w:id="73" w:name="_Toc30351"/>
      <w:bookmarkStart w:id="74" w:name="_Toc16121"/>
      <w:bookmarkStart w:id="75" w:name="_Toc27199"/>
      <w:bookmarkStart w:id="76" w:name="_Toc3910"/>
      <w:bookmarkStart w:id="77" w:name="_Toc22727"/>
      <w:bookmarkStart w:id="78" w:name="_Toc25746"/>
      <w:r>
        <w:rPr>
          <w:rFonts w:hint="eastAsia" w:ascii="楷体_GB2312" w:hAnsi="楷体_GB2312" w:eastAsia="楷体_GB2312" w:cs="楷体_GB2312"/>
          <w:sz w:val="32"/>
          <w:szCs w:val="40"/>
        </w:rPr>
        <w:t>（二）评价指标</w:t>
      </w:r>
      <w:bookmarkEnd w:id="69"/>
      <w:bookmarkEnd w:id="70"/>
      <w:bookmarkEnd w:id="71"/>
      <w:bookmarkEnd w:id="72"/>
      <w:bookmarkEnd w:id="73"/>
      <w:bookmarkEnd w:id="74"/>
      <w:bookmarkEnd w:id="75"/>
      <w:bookmarkEnd w:id="76"/>
      <w:bookmarkEnd w:id="77"/>
      <w:bookmarkEnd w:id="78"/>
      <w:r>
        <w:rPr>
          <w:rFonts w:hint="eastAsia" w:ascii="楷体_GB2312" w:hAnsi="楷体_GB2312" w:eastAsia="楷体_GB2312" w:cs="楷体_GB2312"/>
          <w:sz w:val="32"/>
          <w:szCs w:val="40"/>
          <w:lang w:eastAsia="zh-CN"/>
        </w:rPr>
        <w:t>。</w:t>
      </w:r>
      <w:r>
        <w:rPr>
          <w:rFonts w:hint="eastAsia" w:ascii="仿宋_GB2312" w:hAnsi="仿宋_GB2312" w:eastAsia="仿宋_GB2312" w:cs="仿宋_GB2312"/>
          <w:sz w:val="32"/>
          <w:szCs w:val="40"/>
        </w:rPr>
        <w:t>评价小组以既顾及全面，又突出重点的总体思路</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rPr>
        <w:t>把职责履行、履职效益、预算配置和预算执行作为重点，全面梳理项目的总体目标及资金使用情况，全面了解项</w:t>
      </w:r>
      <w:r>
        <w:rPr>
          <w:rFonts w:hint="eastAsia" w:ascii="仿宋_GB2312" w:hAnsi="仿宋_GB2312" w:eastAsia="仿宋_GB2312" w:cs="仿宋_GB2312"/>
          <w:sz w:val="32"/>
          <w:szCs w:val="40"/>
          <w:lang w:eastAsia="zh-CN"/>
        </w:rPr>
        <w:t>目的</w:t>
      </w:r>
      <w:r>
        <w:rPr>
          <w:rFonts w:hint="eastAsia" w:ascii="仿宋_GB2312" w:hAnsi="仿宋_GB2312" w:eastAsia="仿宋_GB2312" w:cs="仿宋_GB2312"/>
          <w:sz w:val="32"/>
          <w:szCs w:val="40"/>
        </w:rPr>
        <w:t>职能职责</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rPr>
        <w:t>预算申请</w:t>
      </w:r>
      <w:r>
        <w:rPr>
          <w:rFonts w:hint="eastAsia" w:ascii="仿宋_GB2312" w:hAnsi="仿宋_GB2312" w:eastAsia="仿宋_GB2312" w:cs="仿宋_GB2312"/>
          <w:sz w:val="32"/>
          <w:szCs w:val="40"/>
          <w:lang w:eastAsia="zh-CN"/>
        </w:rPr>
        <w:t>、资金支出等工作流程并</w:t>
      </w:r>
      <w:r>
        <w:rPr>
          <w:rFonts w:hint="eastAsia" w:ascii="仿宋_GB2312" w:hAnsi="仿宋_GB2312" w:eastAsia="仿宋_GB2312" w:cs="仿宋_GB2312"/>
          <w:sz w:val="32"/>
          <w:szCs w:val="40"/>
        </w:rPr>
        <w:t>进行逐一评价，查找不足。</w:t>
      </w:r>
    </w:p>
    <w:p>
      <w:pPr>
        <w:spacing w:line="580" w:lineRule="exact"/>
        <w:ind w:firstLine="640" w:firstLineChars="200"/>
        <w:outlineLvl w:val="1"/>
        <w:rPr>
          <w:rFonts w:hint="eastAsia" w:ascii="仿宋_GB2312" w:hAnsi="仿宋_GB2312" w:eastAsia="仿宋_GB2312" w:cs="仿宋_GB2312"/>
          <w:sz w:val="32"/>
          <w:szCs w:val="40"/>
          <w:lang w:eastAsia="zh-CN"/>
        </w:rPr>
      </w:pPr>
      <w:bookmarkStart w:id="79" w:name="_Toc25343"/>
      <w:bookmarkStart w:id="80" w:name="_Toc23270"/>
      <w:bookmarkStart w:id="81" w:name="_Toc32241"/>
      <w:bookmarkStart w:id="82" w:name="_Toc11684"/>
      <w:bookmarkStart w:id="83" w:name="_Toc32306"/>
      <w:bookmarkStart w:id="84" w:name="_Toc5304"/>
      <w:bookmarkStart w:id="85" w:name="_Toc12572"/>
      <w:bookmarkStart w:id="86" w:name="_Toc19154"/>
      <w:bookmarkStart w:id="87" w:name="_Toc5587"/>
      <w:bookmarkStart w:id="88" w:name="_Toc19068"/>
      <w:r>
        <w:rPr>
          <w:rFonts w:hint="eastAsia" w:ascii="楷体_GB2312" w:hAnsi="楷体_GB2312" w:eastAsia="楷体_GB2312" w:cs="楷体_GB2312"/>
          <w:sz w:val="32"/>
          <w:szCs w:val="40"/>
        </w:rPr>
        <w:t>（三）评价依据</w:t>
      </w:r>
      <w:bookmarkEnd w:id="79"/>
      <w:bookmarkEnd w:id="80"/>
      <w:bookmarkEnd w:id="81"/>
      <w:bookmarkEnd w:id="82"/>
      <w:bookmarkEnd w:id="83"/>
      <w:bookmarkEnd w:id="84"/>
      <w:bookmarkEnd w:id="85"/>
      <w:bookmarkEnd w:id="86"/>
      <w:bookmarkEnd w:id="87"/>
      <w:bookmarkEnd w:id="88"/>
      <w:r>
        <w:rPr>
          <w:rFonts w:hint="eastAsia" w:ascii="楷体_GB2312" w:hAnsi="楷体_GB2312" w:eastAsia="楷体_GB2312" w:cs="楷体_GB2312"/>
          <w:sz w:val="32"/>
          <w:szCs w:val="40"/>
          <w:lang w:eastAsia="zh-CN"/>
        </w:rPr>
        <w:t>。</w:t>
      </w:r>
      <w:r>
        <w:rPr>
          <w:rFonts w:hint="eastAsia" w:ascii="仿宋_GB2312" w:hAnsi="仿宋_GB2312" w:eastAsia="仿宋_GB2312" w:cs="仿宋_GB2312"/>
          <w:sz w:val="32"/>
          <w:szCs w:val="40"/>
        </w:rPr>
        <w:t>各级财政部门制定的绩效管理制度及工作规范；部门（单位）职能职责；年初设定的绩效目标及评价指标完成情况</w:t>
      </w:r>
      <w:r>
        <w:rPr>
          <w:rFonts w:hint="eastAsia" w:ascii="仿宋_GB2312" w:hAnsi="仿宋_GB2312" w:eastAsia="仿宋_GB2312" w:cs="仿宋_GB2312"/>
          <w:sz w:val="32"/>
          <w:szCs w:val="40"/>
          <w:lang w:eastAsia="zh-CN"/>
        </w:rPr>
        <w:t>。</w:t>
      </w:r>
    </w:p>
    <w:p>
      <w:pPr>
        <w:spacing w:line="580" w:lineRule="exact"/>
        <w:ind w:firstLine="640" w:firstLineChars="200"/>
        <w:outlineLvl w:val="1"/>
        <w:rPr>
          <w:rFonts w:hint="eastAsia" w:ascii="仿宋_GB2312" w:hAnsi="仿宋_GB2312" w:eastAsia="仿宋_GB2312" w:cs="仿宋_GB2312"/>
          <w:sz w:val="32"/>
          <w:szCs w:val="40"/>
          <w:lang w:eastAsia="zh-CN"/>
        </w:rPr>
      </w:pPr>
      <w:bookmarkStart w:id="89" w:name="_Toc7393"/>
      <w:bookmarkStart w:id="90" w:name="_Toc12940"/>
      <w:bookmarkStart w:id="91" w:name="_Toc1868"/>
      <w:bookmarkStart w:id="92" w:name="_Toc24302"/>
      <w:bookmarkStart w:id="93" w:name="_Toc13179"/>
      <w:bookmarkStart w:id="94" w:name="_Toc11243"/>
      <w:bookmarkStart w:id="95" w:name="_Toc22038"/>
      <w:bookmarkStart w:id="96" w:name="_Toc9401"/>
      <w:bookmarkStart w:id="97" w:name="_Toc6747"/>
      <w:bookmarkStart w:id="98" w:name="_Toc26780"/>
      <w:r>
        <w:rPr>
          <w:rFonts w:hint="eastAsia" w:ascii="楷体_GB2312" w:hAnsi="楷体_GB2312" w:eastAsia="楷体_GB2312" w:cs="楷体_GB2312"/>
          <w:sz w:val="32"/>
          <w:szCs w:val="40"/>
        </w:rPr>
        <w:t>（四）评价的主要方法及等级设定</w:t>
      </w:r>
      <w:bookmarkEnd w:id="89"/>
      <w:bookmarkEnd w:id="90"/>
      <w:bookmarkEnd w:id="91"/>
      <w:bookmarkEnd w:id="92"/>
      <w:bookmarkEnd w:id="93"/>
      <w:bookmarkEnd w:id="94"/>
      <w:bookmarkEnd w:id="95"/>
      <w:bookmarkEnd w:id="96"/>
      <w:bookmarkEnd w:id="97"/>
      <w:bookmarkEnd w:id="98"/>
      <w:r>
        <w:rPr>
          <w:rFonts w:hint="eastAsia" w:ascii="楷体_GB2312" w:hAnsi="楷体_GB2312" w:eastAsia="楷体_GB2312" w:cs="楷体_GB2312"/>
          <w:sz w:val="32"/>
          <w:szCs w:val="40"/>
          <w:lang w:eastAsia="zh-CN"/>
        </w:rPr>
        <w:t>。</w:t>
      </w:r>
      <w:r>
        <w:rPr>
          <w:rFonts w:hint="eastAsia" w:ascii="仿宋_GB2312" w:hAnsi="仿宋_GB2312" w:eastAsia="仿宋_GB2312" w:cs="仿宋_GB2312"/>
          <w:sz w:val="32"/>
          <w:szCs w:val="40"/>
        </w:rPr>
        <w:t>评价主要通过内部测评来进行，通过测评，机构编制管理项目得分99分，属于优秀等级。</w:t>
      </w:r>
    </w:p>
    <w:p>
      <w:pPr>
        <w:spacing w:line="580" w:lineRule="exact"/>
        <w:ind w:firstLine="640" w:firstLineChars="200"/>
        <w:outlineLvl w:val="0"/>
        <w:rPr>
          <w:rFonts w:hint="eastAsia" w:ascii="黑体" w:hAnsi="黑体" w:eastAsia="黑体" w:cs="黑体"/>
          <w:b w:val="0"/>
          <w:bCs w:val="0"/>
          <w:sz w:val="32"/>
          <w:szCs w:val="40"/>
        </w:rPr>
      </w:pPr>
      <w:bookmarkStart w:id="99" w:name="_Toc10113"/>
      <w:bookmarkStart w:id="100" w:name="_Toc28621"/>
      <w:bookmarkStart w:id="101" w:name="_Toc20748"/>
      <w:bookmarkStart w:id="102" w:name="_Toc6105"/>
      <w:bookmarkStart w:id="103" w:name="_Toc18842"/>
      <w:bookmarkStart w:id="104" w:name="_Toc22222"/>
      <w:bookmarkStart w:id="105" w:name="_Toc17025"/>
      <w:bookmarkStart w:id="106" w:name="_Toc5623"/>
      <w:bookmarkStart w:id="107" w:name="_Toc30508"/>
      <w:bookmarkStart w:id="108" w:name="_Toc21014"/>
      <w:r>
        <w:rPr>
          <w:rFonts w:hint="eastAsia" w:ascii="黑体" w:hAnsi="黑体" w:eastAsia="黑体" w:cs="黑体"/>
          <w:b w:val="0"/>
          <w:bCs w:val="0"/>
          <w:sz w:val="32"/>
          <w:szCs w:val="40"/>
        </w:rPr>
        <w:t>四、绩效评价指标体系及得分情况</w:t>
      </w:r>
      <w:bookmarkEnd w:id="99"/>
      <w:bookmarkEnd w:id="100"/>
      <w:bookmarkEnd w:id="101"/>
      <w:bookmarkEnd w:id="102"/>
      <w:bookmarkEnd w:id="103"/>
      <w:bookmarkEnd w:id="104"/>
      <w:bookmarkEnd w:id="105"/>
      <w:bookmarkEnd w:id="106"/>
      <w:bookmarkEnd w:id="107"/>
      <w:bookmarkEnd w:id="108"/>
    </w:p>
    <w:p>
      <w:pPr>
        <w:ind w:firstLine="2080" w:firstLineChars="740"/>
      </w:pPr>
      <w:r>
        <w:rPr>
          <w:rFonts w:hint="eastAsia" w:ascii="仿宋_GB2312" w:hAnsi="仿宋_GB2312" w:eastAsia="仿宋_GB2312" w:cs="仿宋_GB2312"/>
          <w:b/>
          <w:color w:val="000000"/>
          <w:kern w:val="0"/>
          <w:sz w:val="28"/>
          <w:szCs w:val="28"/>
          <w:lang w:eastAsia="zh-CN"/>
        </w:rPr>
        <w:t>舆情处置工作经费</w:t>
      </w:r>
      <w:r>
        <w:rPr>
          <w:rFonts w:hint="eastAsia" w:ascii="仿宋_GB2312" w:hAnsi="仿宋_GB2312" w:eastAsia="仿宋_GB2312" w:cs="仿宋_GB2312"/>
          <w:b/>
          <w:color w:val="000000"/>
          <w:kern w:val="0"/>
          <w:sz w:val="28"/>
          <w:szCs w:val="28"/>
        </w:rPr>
        <w:t>项目重点绩效评价指标表</w:t>
      </w:r>
    </w:p>
    <w:tbl>
      <w:tblPr>
        <w:tblStyle w:val="7"/>
        <w:tblW w:w="9098" w:type="dxa"/>
        <w:tblInd w:w="-130" w:type="dxa"/>
        <w:tblLayout w:type="fixed"/>
        <w:tblCellMar>
          <w:top w:w="0" w:type="dxa"/>
          <w:left w:w="0" w:type="dxa"/>
          <w:bottom w:w="0" w:type="dxa"/>
          <w:right w:w="0" w:type="dxa"/>
        </w:tblCellMar>
      </w:tblPr>
      <w:tblGrid>
        <w:gridCol w:w="1276"/>
        <w:gridCol w:w="491"/>
        <w:gridCol w:w="2498"/>
        <w:gridCol w:w="426"/>
        <w:gridCol w:w="3696"/>
        <w:gridCol w:w="711"/>
      </w:tblGrid>
      <w:tr>
        <w:tblPrEx>
          <w:tblCellMar>
            <w:top w:w="0" w:type="dxa"/>
            <w:left w:w="0" w:type="dxa"/>
            <w:bottom w:w="0" w:type="dxa"/>
            <w:right w:w="0" w:type="dxa"/>
          </w:tblCellMar>
        </w:tblPrEx>
        <w:trPr>
          <w:trHeight w:val="590" w:hRule="atLeast"/>
        </w:trPr>
        <w:tc>
          <w:tcPr>
            <w:tcW w:w="1276" w:type="dxa"/>
            <w:tcBorders>
              <w:top w:val="single" w:color="000000" w:sz="4" w:space="0"/>
              <w:left w:val="single" w:color="000000" w:sz="4" w:space="0"/>
              <w:bottom w:val="single" w:color="000000" w:sz="4" w:space="0"/>
              <w:right w:val="nil"/>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 xml:space="preserve">一级指标  </w:t>
            </w:r>
          </w:p>
        </w:tc>
        <w:tc>
          <w:tcPr>
            <w:tcW w:w="4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二级指标</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 xml:space="preserve"> 三级指标</w:t>
            </w:r>
          </w:p>
        </w:tc>
        <w:tc>
          <w:tcPr>
            <w:tcW w:w="426" w:type="dxa"/>
            <w:vMerge w:val="restart"/>
            <w:tcBorders>
              <w:top w:val="single" w:color="000000" w:sz="4" w:space="0"/>
              <w:left w:val="nil"/>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分值</w:t>
            </w:r>
          </w:p>
        </w:tc>
        <w:tc>
          <w:tcPr>
            <w:tcW w:w="3696"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指标说明</w:t>
            </w:r>
          </w:p>
        </w:tc>
        <w:tc>
          <w:tcPr>
            <w:tcW w:w="71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得分</w:t>
            </w:r>
          </w:p>
        </w:tc>
      </w:tr>
      <w:tr>
        <w:tblPrEx>
          <w:tblCellMar>
            <w:top w:w="0" w:type="dxa"/>
            <w:left w:w="0" w:type="dxa"/>
            <w:bottom w:w="0" w:type="dxa"/>
            <w:right w:w="0" w:type="dxa"/>
          </w:tblCellMar>
        </w:tblPrEx>
        <w:trPr>
          <w:trHeight w:val="348" w:hRule="atLeast"/>
        </w:trPr>
        <w:tc>
          <w:tcPr>
            <w:tcW w:w="127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名称</w:t>
            </w:r>
          </w:p>
        </w:tc>
        <w:tc>
          <w:tcPr>
            <w:tcW w:w="4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名称</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b/>
                <w:color w:val="000000"/>
                <w:sz w:val="24"/>
              </w:rPr>
            </w:pPr>
            <w:r>
              <w:rPr>
                <w:rFonts w:hint="eastAsia" w:ascii="仿宋_GB2312" w:hAnsi="仿宋_GB2312" w:eastAsia="仿宋_GB2312" w:cs="仿宋_GB2312"/>
                <w:b/>
                <w:color w:val="000000"/>
                <w:kern w:val="0"/>
                <w:sz w:val="24"/>
              </w:rPr>
              <w:t>名称</w:t>
            </w:r>
          </w:p>
        </w:tc>
        <w:tc>
          <w:tcPr>
            <w:tcW w:w="426" w:type="dxa"/>
            <w:vMerge w:val="continue"/>
            <w:tcBorders>
              <w:top w:val="single" w:color="000000" w:sz="4" w:space="0"/>
              <w:left w:val="nil"/>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b/>
                <w:color w:val="000000"/>
                <w:sz w:val="24"/>
              </w:rPr>
            </w:pPr>
          </w:p>
        </w:tc>
        <w:tc>
          <w:tcPr>
            <w:tcW w:w="369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b/>
                <w:color w:val="000000"/>
                <w:sz w:val="24"/>
              </w:rPr>
            </w:pPr>
          </w:p>
        </w:tc>
        <w:tc>
          <w:tcPr>
            <w:tcW w:w="71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b/>
                <w:color w:val="000000"/>
                <w:sz w:val="24"/>
              </w:rPr>
            </w:pPr>
          </w:p>
        </w:tc>
      </w:tr>
      <w:tr>
        <w:tblPrEx>
          <w:tblCellMar>
            <w:top w:w="0" w:type="dxa"/>
            <w:left w:w="0" w:type="dxa"/>
            <w:bottom w:w="0" w:type="dxa"/>
            <w:right w:w="0" w:type="dxa"/>
          </w:tblCellMar>
        </w:tblPrEx>
        <w:trPr>
          <w:trHeight w:val="666" w:hRule="atLeast"/>
        </w:trPr>
        <w:tc>
          <w:tcPr>
            <w:tcW w:w="1276"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“工作活动”设置（</w:t>
            </w:r>
            <w:r>
              <w:rPr>
                <w:rFonts w:hint="eastAsia" w:ascii="仿宋_GB2312" w:hAnsi="仿宋_GB2312" w:eastAsia="仿宋_GB2312" w:cs="仿宋_GB2312"/>
                <w:color w:val="000000"/>
                <w:kern w:val="0"/>
                <w:sz w:val="22"/>
                <w:szCs w:val="22"/>
                <w:lang w:val="en-US" w:eastAsia="zh-CN"/>
              </w:rPr>
              <w:t>30</w:t>
            </w:r>
            <w:r>
              <w:rPr>
                <w:rFonts w:hint="eastAsia" w:ascii="仿宋_GB2312" w:hAnsi="仿宋_GB2312" w:eastAsia="仿宋_GB2312" w:cs="仿宋_GB2312"/>
                <w:color w:val="000000"/>
                <w:kern w:val="0"/>
                <w:sz w:val="22"/>
                <w:szCs w:val="22"/>
              </w:rPr>
              <w:t>分）</w:t>
            </w: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项目立项情况</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是否符合政府经济和社会总体发展规划</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5</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有政府相关政策、规划、任务等文件得</w:t>
            </w:r>
            <w:r>
              <w:rPr>
                <w:rFonts w:hint="eastAsia" w:ascii="仿宋_GB2312" w:hAnsi="仿宋_GB2312" w:eastAsia="仿宋_GB2312" w:cs="仿宋_GB2312"/>
                <w:color w:val="000000"/>
                <w:kern w:val="0"/>
                <w:sz w:val="22"/>
                <w:szCs w:val="22"/>
                <w:lang w:val="en-US" w:eastAsia="zh-CN"/>
              </w:rPr>
              <w:t>5</w:t>
            </w:r>
            <w:r>
              <w:rPr>
                <w:rFonts w:hint="eastAsia" w:ascii="仿宋_GB2312" w:hAnsi="仿宋_GB2312" w:eastAsia="仿宋_GB2312" w:cs="仿宋_GB2312"/>
                <w:color w:val="000000"/>
                <w:kern w:val="0"/>
                <w:sz w:val="22"/>
                <w:szCs w:val="22"/>
              </w:rPr>
              <w:t>分；无不得分。</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5</w:t>
            </w:r>
          </w:p>
        </w:tc>
      </w:tr>
      <w:tr>
        <w:tblPrEx>
          <w:tblCellMar>
            <w:top w:w="0" w:type="dxa"/>
            <w:left w:w="0" w:type="dxa"/>
            <w:bottom w:w="0" w:type="dxa"/>
            <w:right w:w="0" w:type="dxa"/>
          </w:tblCellMar>
        </w:tblPrEx>
        <w:trPr>
          <w:trHeight w:val="1174" w:hRule="atLeast"/>
        </w:trPr>
        <w:tc>
          <w:tcPr>
            <w:tcW w:w="127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项目活动与职责相关性</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工作活动与部门职责、工作规划和重点工作相关，工作活动项下确定的预算项目合理，与工作活动密切相关，工作活动和项目预算安排合理，得</w:t>
            </w:r>
            <w:r>
              <w:rPr>
                <w:rFonts w:hint="eastAsia" w:ascii="仿宋_GB2312" w:hAnsi="仿宋_GB2312" w:eastAsia="仿宋_GB2312" w:cs="仿宋_GB2312"/>
                <w:color w:val="000000"/>
                <w:kern w:val="0"/>
                <w:sz w:val="22"/>
                <w:szCs w:val="22"/>
                <w:lang w:val="en-US" w:eastAsia="zh-CN"/>
              </w:rPr>
              <w:t>10</w:t>
            </w:r>
            <w:r>
              <w:rPr>
                <w:rFonts w:hint="eastAsia" w:ascii="仿宋_GB2312" w:hAnsi="仿宋_GB2312" w:eastAsia="仿宋_GB2312" w:cs="仿宋_GB2312"/>
                <w:color w:val="000000"/>
                <w:kern w:val="0"/>
                <w:sz w:val="22"/>
                <w:szCs w:val="22"/>
              </w:rPr>
              <w:t>分；否则不得分。</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r>
      <w:tr>
        <w:tblPrEx>
          <w:tblCellMar>
            <w:top w:w="0" w:type="dxa"/>
            <w:left w:w="0" w:type="dxa"/>
            <w:bottom w:w="0" w:type="dxa"/>
            <w:right w:w="0" w:type="dxa"/>
          </w:tblCellMar>
        </w:tblPrEx>
        <w:trPr>
          <w:trHeight w:val="569" w:hRule="atLeast"/>
        </w:trPr>
        <w:tc>
          <w:tcPr>
            <w:tcW w:w="127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绩效自评情况</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项目设立绩效目标合理性</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①是否将项目绩效目标细化分解为具体的绩效指标；</w:t>
            </w:r>
            <w:r>
              <w:rPr>
                <w:rFonts w:hint="eastAsia" w:ascii="仿宋_GB2312" w:hAnsi="仿宋_GB2312" w:eastAsia="仿宋_GB2312" w:cs="仿宋_GB2312"/>
                <w:color w:val="000000"/>
                <w:kern w:val="0"/>
                <w:sz w:val="22"/>
                <w:szCs w:val="22"/>
              </w:rPr>
              <w:br w:type="textWrapping"/>
            </w:r>
            <w:r>
              <w:rPr>
                <w:rFonts w:hint="eastAsia" w:ascii="仿宋_GB2312" w:hAnsi="仿宋_GB2312" w:eastAsia="仿宋_GB2312" w:cs="仿宋_GB2312"/>
                <w:color w:val="000000"/>
                <w:kern w:val="0"/>
                <w:sz w:val="22"/>
                <w:szCs w:val="22"/>
              </w:rPr>
              <w:t>②是否通过清晰、可衡量的指标值予以体现；</w:t>
            </w:r>
            <w:r>
              <w:rPr>
                <w:rFonts w:hint="eastAsia" w:ascii="仿宋_GB2312" w:hAnsi="仿宋_GB2312" w:eastAsia="仿宋_GB2312" w:cs="仿宋_GB2312"/>
                <w:color w:val="000000"/>
                <w:kern w:val="0"/>
                <w:sz w:val="22"/>
                <w:szCs w:val="22"/>
              </w:rPr>
              <w:br w:type="textWrapping"/>
            </w:r>
            <w:r>
              <w:rPr>
                <w:rFonts w:hint="eastAsia" w:ascii="仿宋_GB2312" w:hAnsi="仿宋_GB2312" w:eastAsia="仿宋_GB2312" w:cs="仿宋_GB2312"/>
                <w:color w:val="000000"/>
                <w:kern w:val="0"/>
                <w:sz w:val="22"/>
                <w:szCs w:val="22"/>
              </w:rPr>
              <w:t>③是否与项目年度任务数或计划数相对应；</w:t>
            </w:r>
            <w:r>
              <w:rPr>
                <w:rFonts w:hint="eastAsia" w:ascii="仿宋_GB2312" w:hAnsi="仿宋_GB2312" w:eastAsia="仿宋_GB2312" w:cs="仿宋_GB2312"/>
                <w:color w:val="000000"/>
                <w:kern w:val="0"/>
                <w:sz w:val="22"/>
                <w:szCs w:val="22"/>
              </w:rPr>
              <w:br w:type="textWrapping"/>
            </w:r>
            <w:r>
              <w:rPr>
                <w:rFonts w:hint="eastAsia" w:ascii="仿宋_GB2312" w:hAnsi="仿宋_GB2312" w:eastAsia="仿宋_GB2312" w:cs="仿宋_GB2312"/>
                <w:color w:val="000000"/>
                <w:kern w:val="0"/>
                <w:sz w:val="22"/>
                <w:szCs w:val="22"/>
              </w:rPr>
              <w:t>④是否与预算确定的项目投资额或资金量相匹配。</w:t>
            </w:r>
            <w:r>
              <w:rPr>
                <w:rFonts w:hint="eastAsia" w:ascii="仿宋_GB2312" w:hAnsi="仿宋_GB2312" w:eastAsia="仿宋_GB2312" w:cs="仿宋_GB2312"/>
                <w:color w:val="000000"/>
                <w:kern w:val="0"/>
                <w:sz w:val="22"/>
                <w:szCs w:val="22"/>
              </w:rPr>
              <w:br w:type="textWrapping"/>
            </w:r>
            <w:r>
              <w:rPr>
                <w:rFonts w:hint="eastAsia" w:ascii="仿宋_GB2312" w:hAnsi="仿宋_GB2312" w:eastAsia="仿宋_GB2312" w:cs="仿宋_GB2312"/>
                <w:color w:val="000000"/>
                <w:kern w:val="0"/>
                <w:sz w:val="22"/>
                <w:szCs w:val="22"/>
              </w:rPr>
              <w:t>缺少一项扣</w:t>
            </w:r>
            <w:r>
              <w:rPr>
                <w:rFonts w:hint="eastAsia" w:ascii="仿宋_GB2312" w:hAnsi="仿宋_GB2312" w:eastAsia="仿宋_GB2312" w:cs="仿宋_GB2312"/>
                <w:color w:val="000000"/>
                <w:kern w:val="0"/>
                <w:sz w:val="22"/>
                <w:szCs w:val="22"/>
                <w:lang w:val="en-US" w:eastAsia="zh-CN"/>
              </w:rPr>
              <w:t>1</w:t>
            </w:r>
            <w:r>
              <w:rPr>
                <w:rFonts w:hint="eastAsia" w:ascii="仿宋_GB2312" w:hAnsi="仿宋_GB2312" w:eastAsia="仿宋_GB2312" w:cs="仿宋_GB2312"/>
                <w:color w:val="000000"/>
                <w:kern w:val="0"/>
                <w:sz w:val="22"/>
                <w:szCs w:val="22"/>
              </w:rPr>
              <w:t>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r>
      <w:tr>
        <w:tblPrEx>
          <w:tblCellMar>
            <w:top w:w="0" w:type="dxa"/>
            <w:left w:w="0" w:type="dxa"/>
            <w:bottom w:w="0" w:type="dxa"/>
            <w:right w:w="0" w:type="dxa"/>
          </w:tblCellMar>
        </w:tblPrEx>
        <w:trPr>
          <w:trHeight w:val="1472" w:hRule="atLeast"/>
        </w:trPr>
        <w:tc>
          <w:tcPr>
            <w:tcW w:w="127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自评报告情况</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5</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是否有绩效评价报告，报告是否依据充分、内容真实完整；数据准确、分析透彻。每存在一项问题扣</w:t>
            </w:r>
            <w:r>
              <w:rPr>
                <w:rFonts w:hint="eastAsia" w:ascii="仿宋_GB2312" w:hAnsi="仿宋_GB2312" w:eastAsia="仿宋_GB2312" w:cs="仿宋_GB2312"/>
                <w:color w:val="000000"/>
                <w:kern w:val="0"/>
                <w:sz w:val="22"/>
                <w:szCs w:val="22"/>
                <w:lang w:val="en-US" w:eastAsia="zh-CN"/>
              </w:rPr>
              <w:t>1</w:t>
            </w:r>
            <w:r>
              <w:rPr>
                <w:rFonts w:hint="eastAsia" w:ascii="仿宋_GB2312" w:hAnsi="仿宋_GB2312" w:eastAsia="仿宋_GB2312" w:cs="仿宋_GB2312"/>
                <w:color w:val="000000"/>
                <w:kern w:val="0"/>
                <w:sz w:val="22"/>
                <w:szCs w:val="22"/>
              </w:rPr>
              <w:t>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5</w:t>
            </w:r>
          </w:p>
        </w:tc>
      </w:tr>
      <w:tr>
        <w:tblPrEx>
          <w:tblCellMar>
            <w:top w:w="0" w:type="dxa"/>
            <w:left w:w="0" w:type="dxa"/>
            <w:bottom w:w="0" w:type="dxa"/>
            <w:right w:w="0" w:type="dxa"/>
          </w:tblCellMar>
        </w:tblPrEx>
        <w:trPr>
          <w:trHeight w:val="1029" w:hRule="atLeast"/>
        </w:trPr>
        <w:tc>
          <w:tcPr>
            <w:tcW w:w="1276"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“工作活动”管理（</w:t>
            </w:r>
            <w:r>
              <w:rPr>
                <w:rFonts w:hint="eastAsia" w:ascii="仿宋_GB2312" w:hAnsi="仿宋_GB2312" w:eastAsia="仿宋_GB2312" w:cs="仿宋_GB2312"/>
                <w:color w:val="000000"/>
                <w:kern w:val="0"/>
                <w:sz w:val="22"/>
                <w:szCs w:val="22"/>
                <w:lang w:val="en-US" w:eastAsia="zh-CN"/>
              </w:rPr>
              <w:t>30</w:t>
            </w:r>
            <w:r>
              <w:rPr>
                <w:rFonts w:hint="eastAsia" w:ascii="仿宋_GB2312" w:hAnsi="仿宋_GB2312" w:eastAsia="仿宋_GB2312" w:cs="仿宋_GB2312"/>
                <w:color w:val="000000"/>
                <w:kern w:val="0"/>
                <w:sz w:val="22"/>
                <w:szCs w:val="22"/>
              </w:rPr>
              <w:t>分）</w:t>
            </w: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资金管理</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预算调整率</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预算调整率=（预算调整数/预算数）×100%。预算调整率每大于1%扣*分，扣完为止。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r>
      <w:tr>
        <w:tblPrEx>
          <w:tblCellMar>
            <w:top w:w="0" w:type="dxa"/>
            <w:left w:w="0" w:type="dxa"/>
            <w:bottom w:w="0" w:type="dxa"/>
            <w:right w:w="0" w:type="dxa"/>
          </w:tblCellMar>
        </w:tblPrEx>
        <w:trPr>
          <w:trHeight w:val="1029" w:hRule="atLeast"/>
        </w:trPr>
        <w:tc>
          <w:tcPr>
            <w:tcW w:w="1276" w:type="dxa"/>
            <w:vMerge w:val="continue"/>
            <w:tcBorders>
              <w:top w:val="single" w:color="000000" w:sz="4" w:space="0"/>
              <w:left w:val="single" w:color="000000" w:sz="4" w:space="0"/>
              <w:bottom w:val="nil"/>
              <w:right w:val="single" w:color="000000" w:sz="4" w:space="0"/>
            </w:tcBorders>
            <w:shd w:val="clear" w:color="auto" w:fill="auto"/>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shd w:val="clear" w:color="auto" w:fill="FFFFFF"/>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资金使用合规性</w:t>
            </w:r>
          </w:p>
        </w:tc>
        <w:tc>
          <w:tcPr>
            <w:tcW w:w="42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c>
          <w:tcPr>
            <w:tcW w:w="3696" w:type="dxa"/>
            <w:tcBorders>
              <w:top w:val="single" w:color="000000" w:sz="4" w:space="0"/>
              <w:left w:val="single" w:color="000000" w:sz="4" w:space="0"/>
              <w:bottom w:val="single" w:color="000000" w:sz="4" w:space="0"/>
              <w:right w:val="single" w:color="000000" w:sz="4" w:space="0"/>
            </w:tcBorders>
            <w:shd w:val="clear" w:color="auto" w:fill="FFFFFF"/>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项目资金使用是否符合国家财经法规及相关的财务管理制度规定，资金支出程序是否规范,报账手续是否齐全。每存在一项不合规问题扣*分，扣完为止。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r>
      <w:tr>
        <w:tblPrEx>
          <w:tblCellMar>
            <w:top w:w="0" w:type="dxa"/>
            <w:left w:w="0" w:type="dxa"/>
            <w:bottom w:w="0" w:type="dxa"/>
            <w:right w:w="0" w:type="dxa"/>
          </w:tblCellMar>
        </w:tblPrEx>
        <w:trPr>
          <w:trHeight w:val="836"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会计核算规范性</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会计核算是否符合《会计法》、《政府会计制度》、《会计基础工作规范》等法律法规和相关制度规定。每存在一项不合规问题扣*分，扣完为止。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r>
      <w:tr>
        <w:tblPrEx>
          <w:tblCellMar>
            <w:top w:w="0" w:type="dxa"/>
            <w:left w:w="0" w:type="dxa"/>
            <w:bottom w:w="0" w:type="dxa"/>
            <w:right w:w="0" w:type="dxa"/>
          </w:tblCellMar>
        </w:tblPrEx>
        <w:trPr>
          <w:trHeight w:val="1755"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项目管理</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项目责任机制是否健全</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是否建立责任机制，项目管理和责任落实到有关人。每存在一项问题扣*分，扣完为止。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r>
      <w:tr>
        <w:tblPrEx>
          <w:tblCellMar>
            <w:top w:w="0" w:type="dxa"/>
            <w:left w:w="0" w:type="dxa"/>
            <w:bottom w:w="0" w:type="dxa"/>
            <w:right w:w="0" w:type="dxa"/>
          </w:tblCellMar>
        </w:tblPrEx>
        <w:trPr>
          <w:trHeight w:val="762"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管理制度健全性</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制定管理制度和措施（包括财务制度）是否明确、清晰、具有可操作性，能否保障工作活动顺利实施。每缺少一项制度扣*分，扣完为止。</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6</w:t>
            </w:r>
          </w:p>
        </w:tc>
      </w:tr>
      <w:tr>
        <w:tblPrEx>
          <w:tblCellMar>
            <w:top w:w="0" w:type="dxa"/>
            <w:left w:w="0" w:type="dxa"/>
            <w:bottom w:w="0" w:type="dxa"/>
            <w:right w:w="0" w:type="dxa"/>
          </w:tblCellMar>
        </w:tblPrEx>
        <w:trPr>
          <w:trHeight w:val="501" w:hRule="atLeast"/>
        </w:trPr>
        <w:tc>
          <w:tcPr>
            <w:tcW w:w="1276" w:type="dxa"/>
            <w:vMerge w:val="restart"/>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“工作活动”产出（</w:t>
            </w:r>
            <w:r>
              <w:rPr>
                <w:rFonts w:hint="eastAsia" w:ascii="仿宋_GB2312" w:hAnsi="仿宋_GB2312" w:eastAsia="仿宋_GB2312" w:cs="仿宋_GB2312"/>
                <w:color w:val="000000"/>
                <w:kern w:val="0"/>
                <w:sz w:val="22"/>
                <w:szCs w:val="22"/>
                <w:lang w:val="en-US" w:eastAsia="zh-CN"/>
              </w:rPr>
              <w:t>30</w:t>
            </w:r>
            <w:r>
              <w:rPr>
                <w:rFonts w:hint="eastAsia" w:ascii="仿宋_GB2312" w:hAnsi="仿宋_GB2312" w:eastAsia="仿宋_GB2312" w:cs="仿宋_GB2312"/>
                <w:color w:val="000000"/>
                <w:kern w:val="0"/>
                <w:sz w:val="22"/>
                <w:szCs w:val="22"/>
              </w:rPr>
              <w:t>分）</w:t>
            </w: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数量指标</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u w:val="none"/>
                <w:lang w:val="en-US" w:eastAsia="zh-CN" w:bidi="ar-SA"/>
              </w:rPr>
            </w:pPr>
            <w:r>
              <w:rPr>
                <w:rFonts w:hint="eastAsia" w:ascii="仿宋_GB2312" w:hAnsi="仿宋_GB2312" w:eastAsia="仿宋_GB2312" w:cs="仿宋_GB2312"/>
                <w:color w:val="000000"/>
                <w:kern w:val="0"/>
                <w:sz w:val="22"/>
                <w:szCs w:val="22"/>
              </w:rPr>
              <w:t>指标</w:t>
            </w:r>
            <w:r>
              <w:rPr>
                <w:rFonts w:hint="eastAsia" w:ascii="仿宋_GB2312" w:hAnsi="仿宋_GB2312" w:eastAsia="仿宋_GB2312" w:cs="仿宋_GB2312"/>
                <w:color w:val="000000"/>
                <w:kern w:val="0"/>
                <w:sz w:val="22"/>
                <w:szCs w:val="22"/>
                <w:lang w:val="en-US" w:eastAsia="zh-CN"/>
              </w:rPr>
              <w:t>1</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宋体" w:hAnsi="宋体" w:eastAsia="宋体" w:cs="宋体"/>
                <w:i w:val="0"/>
                <w:iCs w:val="0"/>
                <w:color w:val="000000"/>
                <w:kern w:val="0"/>
                <w:sz w:val="18"/>
                <w:szCs w:val="18"/>
                <w:u w:val="none"/>
                <w:lang w:val="en-US" w:eastAsia="zh-CN" w:bidi="ar"/>
              </w:rPr>
              <w:t>舆情产品刊发期数</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r>
      <w:tr>
        <w:tblPrEx>
          <w:tblCellMar>
            <w:top w:w="0" w:type="dxa"/>
            <w:left w:w="0" w:type="dxa"/>
            <w:bottom w:w="0" w:type="dxa"/>
            <w:right w:w="0" w:type="dxa"/>
          </w:tblCellMar>
        </w:tblPrEx>
        <w:trPr>
          <w:trHeight w:val="573"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指标2</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r>
      <w:tr>
        <w:tblPrEx>
          <w:tblCellMar>
            <w:top w:w="0" w:type="dxa"/>
            <w:left w:w="0" w:type="dxa"/>
            <w:bottom w:w="0" w:type="dxa"/>
            <w:right w:w="0" w:type="dxa"/>
          </w:tblCellMar>
        </w:tblPrEx>
        <w:trPr>
          <w:trHeight w:val="573"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指标3</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r>
      <w:tr>
        <w:tblPrEx>
          <w:tblCellMar>
            <w:top w:w="0" w:type="dxa"/>
            <w:left w:w="0" w:type="dxa"/>
            <w:bottom w:w="0" w:type="dxa"/>
            <w:right w:w="0" w:type="dxa"/>
          </w:tblCellMar>
        </w:tblPrEx>
        <w:trPr>
          <w:trHeight w:val="647"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质量指标</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w:t>
            </w:r>
            <w:r>
              <w:rPr>
                <w:rFonts w:hint="eastAsia" w:ascii="仿宋_GB2312" w:hAnsi="仿宋_GB2312" w:eastAsia="仿宋_GB2312" w:cs="仿宋_GB2312"/>
                <w:color w:val="000000"/>
                <w:kern w:val="0"/>
                <w:sz w:val="22"/>
                <w:szCs w:val="22"/>
                <w:lang w:val="en-US" w:eastAsia="zh-CN"/>
              </w:rPr>
              <w:t>1</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舆情高效处置</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r>
      <w:tr>
        <w:tblPrEx>
          <w:tblCellMar>
            <w:top w:w="0" w:type="dxa"/>
            <w:left w:w="0" w:type="dxa"/>
            <w:bottom w:w="0" w:type="dxa"/>
            <w:right w:w="0" w:type="dxa"/>
          </w:tblCellMar>
        </w:tblPrEx>
        <w:trPr>
          <w:trHeight w:val="492"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指标2</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r>
      <w:tr>
        <w:tblPrEx>
          <w:tblCellMar>
            <w:top w:w="0" w:type="dxa"/>
            <w:left w:w="0" w:type="dxa"/>
            <w:bottom w:w="0" w:type="dxa"/>
            <w:right w:w="0" w:type="dxa"/>
          </w:tblCellMar>
        </w:tblPrEx>
        <w:trPr>
          <w:trHeight w:val="627" w:hRule="atLeast"/>
        </w:trPr>
        <w:tc>
          <w:tcPr>
            <w:tcW w:w="1276" w:type="dxa"/>
            <w:vMerge w:val="continue"/>
            <w:tcBorders>
              <w:top w:val="single" w:color="000000" w:sz="4" w:space="0"/>
              <w:left w:val="single" w:color="000000" w:sz="4" w:space="0"/>
              <w:bottom w:val="nil"/>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指标3</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r>
      <w:tr>
        <w:tblPrEx>
          <w:tblCellMar>
            <w:top w:w="0" w:type="dxa"/>
            <w:left w:w="0" w:type="dxa"/>
            <w:bottom w:w="0" w:type="dxa"/>
            <w:right w:w="0" w:type="dxa"/>
          </w:tblCellMar>
        </w:tblPrEx>
        <w:trPr>
          <w:trHeight w:val="599" w:hRule="atLeast"/>
        </w:trPr>
        <w:tc>
          <w:tcPr>
            <w:tcW w:w="127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指标4</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r>
      <w:tr>
        <w:tblPrEx>
          <w:tblCellMar>
            <w:top w:w="0" w:type="dxa"/>
            <w:left w:w="0" w:type="dxa"/>
            <w:bottom w:w="0" w:type="dxa"/>
            <w:right w:w="0" w:type="dxa"/>
          </w:tblCellMar>
        </w:tblPrEx>
        <w:trPr>
          <w:trHeight w:val="591" w:hRule="atLeast"/>
        </w:trPr>
        <w:tc>
          <w:tcPr>
            <w:tcW w:w="127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restar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时效指标</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w:t>
            </w:r>
            <w:r>
              <w:rPr>
                <w:rFonts w:hint="eastAsia" w:ascii="仿宋_GB2312" w:hAnsi="仿宋_GB2312" w:eastAsia="仿宋_GB2312" w:cs="仿宋_GB2312"/>
                <w:color w:val="000000"/>
                <w:kern w:val="0"/>
                <w:sz w:val="22"/>
                <w:szCs w:val="22"/>
                <w:lang w:val="en-US" w:eastAsia="zh-CN"/>
              </w:rPr>
              <w:t>1</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舆情事件处置率</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10</w:t>
            </w:r>
          </w:p>
        </w:tc>
      </w:tr>
      <w:tr>
        <w:tblPrEx>
          <w:tblCellMar>
            <w:top w:w="0" w:type="dxa"/>
            <w:left w:w="0" w:type="dxa"/>
            <w:bottom w:w="0" w:type="dxa"/>
            <w:right w:w="0" w:type="dxa"/>
          </w:tblCellMar>
        </w:tblPrEx>
        <w:trPr>
          <w:trHeight w:val="474" w:hRule="atLeast"/>
        </w:trPr>
        <w:tc>
          <w:tcPr>
            <w:tcW w:w="1276"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kern w:val="0"/>
                <w:sz w:val="22"/>
                <w:szCs w:val="22"/>
              </w:rPr>
              <w:t>指标2</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sz w:val="22"/>
                <w:szCs w:val="22"/>
              </w:rPr>
            </w:pPr>
          </w:p>
        </w:tc>
      </w:tr>
      <w:tr>
        <w:tblPrEx>
          <w:tblCellMar>
            <w:top w:w="0" w:type="dxa"/>
            <w:left w:w="0" w:type="dxa"/>
            <w:bottom w:w="0" w:type="dxa"/>
            <w:right w:w="0" w:type="dxa"/>
          </w:tblCellMar>
        </w:tblPrEx>
        <w:trPr>
          <w:trHeight w:val="408" w:hRule="atLeast"/>
        </w:trPr>
        <w:tc>
          <w:tcPr>
            <w:tcW w:w="1276" w:type="dxa"/>
            <w:vMerge w:val="restart"/>
            <w:tcBorders>
              <w:top w:val="single" w:color="000000" w:sz="4" w:space="0"/>
              <w:left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“工作活动”效果（</w:t>
            </w:r>
            <w:r>
              <w:rPr>
                <w:rFonts w:hint="eastAsia" w:ascii="仿宋_GB2312" w:hAnsi="仿宋_GB2312" w:eastAsia="仿宋_GB2312" w:cs="仿宋_GB2312"/>
                <w:color w:val="000000"/>
                <w:kern w:val="0"/>
                <w:sz w:val="22"/>
                <w:szCs w:val="22"/>
                <w:lang w:val="en-US" w:eastAsia="zh-CN"/>
              </w:rPr>
              <w:t>10</w:t>
            </w:r>
            <w:r>
              <w:rPr>
                <w:rFonts w:hint="eastAsia" w:ascii="仿宋_GB2312" w:hAnsi="仿宋_GB2312" w:eastAsia="仿宋_GB2312" w:cs="仿宋_GB2312"/>
                <w:color w:val="000000"/>
                <w:sz w:val="22"/>
                <w:szCs w:val="22"/>
              </w:rPr>
              <w:t>分）</w:t>
            </w:r>
          </w:p>
        </w:tc>
        <w:tc>
          <w:tcPr>
            <w:tcW w:w="491" w:type="dxa"/>
            <w:vMerge w:val="restart"/>
            <w:tcBorders>
              <w:top w:val="single" w:color="000000" w:sz="4" w:space="0"/>
              <w:left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rPr>
            </w:pPr>
            <w:r>
              <w:rPr>
                <w:rFonts w:hint="eastAsia" w:ascii="仿宋_GB2312" w:hAnsi="仿宋_GB2312" w:eastAsia="仿宋_GB2312" w:cs="仿宋_GB2312"/>
              </w:rPr>
              <w:t>满意度</w:t>
            </w: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kern w:val="0"/>
                <w:sz w:val="22"/>
                <w:szCs w:val="22"/>
                <w:lang w:val="en-US" w:eastAsia="zh-CN"/>
              </w:rPr>
            </w:pPr>
            <w:r>
              <w:rPr>
                <w:rFonts w:hint="eastAsia" w:ascii="仿宋_GB2312" w:hAnsi="仿宋_GB2312" w:eastAsia="仿宋_GB2312" w:cs="仿宋_GB2312"/>
                <w:color w:val="000000"/>
                <w:kern w:val="0"/>
                <w:sz w:val="22"/>
                <w:szCs w:val="22"/>
              </w:rPr>
              <w:t>指标</w:t>
            </w:r>
            <w:r>
              <w:rPr>
                <w:rFonts w:hint="eastAsia" w:ascii="仿宋_GB2312" w:hAnsi="仿宋_GB2312" w:eastAsia="仿宋_GB2312" w:cs="仿宋_GB2312"/>
                <w:color w:val="000000"/>
                <w:kern w:val="0"/>
                <w:sz w:val="22"/>
                <w:szCs w:val="22"/>
                <w:lang w:val="en-US" w:eastAsia="zh-CN"/>
              </w:rPr>
              <w:t>1</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kern w:val="0"/>
                <w:sz w:val="22"/>
                <w:szCs w:val="22"/>
              </w:rPr>
            </w:pPr>
            <w:r>
              <w:rPr>
                <w:rFonts w:hint="eastAsia" w:ascii="仿宋_GB2312" w:hAnsi="仿宋_GB2312" w:eastAsia="仿宋_GB2312" w:cs="仿宋_GB2312"/>
                <w:color w:val="000000"/>
                <w:kern w:val="0"/>
                <w:sz w:val="22"/>
                <w:szCs w:val="22"/>
              </w:rPr>
              <w:t>群众满意度</w:t>
            </w: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hint="eastAsia" w:ascii="仿宋_GB2312" w:hAnsi="仿宋_GB2312" w:eastAsia="仿宋_GB2312" w:cs="仿宋_GB2312"/>
                <w:color w:val="000000"/>
                <w:kern w:val="0"/>
                <w:sz w:val="22"/>
                <w:szCs w:val="22"/>
                <w:lang w:val="en-US" w:eastAsia="zh-CN"/>
              </w:rPr>
            </w:pPr>
            <w:r>
              <w:rPr>
                <w:rFonts w:hint="eastAsia" w:ascii="仿宋_GB2312" w:hAnsi="仿宋_GB2312" w:eastAsia="仿宋_GB2312" w:cs="仿宋_GB2312"/>
                <w:color w:val="000000"/>
                <w:kern w:val="0"/>
                <w:sz w:val="22"/>
                <w:szCs w:val="22"/>
                <w:lang w:val="en-US" w:eastAsia="zh-CN"/>
              </w:rPr>
              <w:t>9</w:t>
            </w:r>
          </w:p>
        </w:tc>
      </w:tr>
      <w:tr>
        <w:tblPrEx>
          <w:tblCellMar>
            <w:top w:w="0" w:type="dxa"/>
            <w:left w:w="0" w:type="dxa"/>
            <w:bottom w:w="0" w:type="dxa"/>
            <w:right w:w="0" w:type="dxa"/>
          </w:tblCellMar>
        </w:tblPrEx>
        <w:trPr>
          <w:trHeight w:val="408" w:hRule="atLeast"/>
        </w:trPr>
        <w:tc>
          <w:tcPr>
            <w:tcW w:w="1276" w:type="dxa"/>
            <w:vMerge w:val="continue"/>
            <w:tcBorders>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color w:val="000000"/>
                <w:sz w:val="22"/>
                <w:szCs w:val="22"/>
              </w:rPr>
            </w:pPr>
          </w:p>
        </w:tc>
        <w:tc>
          <w:tcPr>
            <w:tcW w:w="491" w:type="dxa"/>
            <w:vMerge w:val="continue"/>
            <w:tcBorders>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r>
              <w:rPr>
                <w:rFonts w:hint="eastAsia" w:ascii="仿宋_GB2312" w:hAnsi="仿宋_GB2312" w:eastAsia="仿宋_GB2312" w:cs="仿宋_GB2312"/>
                <w:color w:val="000000"/>
                <w:kern w:val="0"/>
                <w:sz w:val="22"/>
                <w:szCs w:val="22"/>
              </w:rPr>
              <w:t>指标2</w:t>
            </w: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kern w:val="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p>
        </w:tc>
      </w:tr>
      <w:tr>
        <w:tblPrEx>
          <w:tblCellMar>
            <w:top w:w="0" w:type="dxa"/>
            <w:left w:w="0" w:type="dxa"/>
            <w:bottom w:w="0" w:type="dxa"/>
            <w:right w:w="0" w:type="dxa"/>
          </w:tblCellMar>
        </w:tblPrEx>
        <w:trPr>
          <w:trHeight w:val="408" w:hRule="atLeast"/>
        </w:trPr>
        <w:tc>
          <w:tcPr>
            <w:tcW w:w="127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firstLine="220" w:firstLineChars="100"/>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合计</w:t>
            </w:r>
          </w:p>
        </w:tc>
        <w:tc>
          <w:tcPr>
            <w:tcW w:w="49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仿宋_GB2312" w:hAnsi="仿宋_GB2312" w:eastAsia="仿宋_GB2312" w:cs="仿宋_GB2312"/>
              </w:rPr>
            </w:pPr>
          </w:p>
        </w:tc>
        <w:tc>
          <w:tcPr>
            <w:tcW w:w="249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p>
        </w:tc>
        <w:tc>
          <w:tcPr>
            <w:tcW w:w="42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r>
              <w:rPr>
                <w:rFonts w:hint="eastAsia" w:ascii="仿宋_GB2312" w:hAnsi="仿宋_GB2312" w:eastAsia="仿宋_GB2312" w:cs="仿宋_GB2312"/>
                <w:color w:val="000000"/>
                <w:kern w:val="0"/>
                <w:sz w:val="22"/>
                <w:szCs w:val="22"/>
              </w:rPr>
              <w:t>100</w:t>
            </w:r>
          </w:p>
        </w:tc>
        <w:tc>
          <w:tcPr>
            <w:tcW w:w="369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仿宋_GB2312" w:hAnsi="仿宋_GB2312" w:eastAsia="仿宋_GB2312" w:cs="仿宋_GB2312"/>
                <w:color w:val="000000"/>
                <w:kern w:val="0"/>
                <w:sz w:val="22"/>
                <w:szCs w:val="22"/>
              </w:rPr>
            </w:pPr>
          </w:p>
        </w:tc>
        <w:tc>
          <w:tcPr>
            <w:tcW w:w="71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仿宋_GB2312" w:hAnsi="仿宋_GB2312" w:eastAsia="仿宋_GB2312" w:cs="仿宋_GB2312"/>
                <w:color w:val="000000"/>
                <w:kern w:val="0"/>
                <w:sz w:val="22"/>
                <w:szCs w:val="22"/>
              </w:rPr>
            </w:pPr>
          </w:p>
        </w:tc>
      </w:tr>
    </w:tbl>
    <w:p>
      <w:pPr>
        <w:keepNext w:val="0"/>
        <w:keepLines w:val="0"/>
        <w:pageBreakBefore w:val="0"/>
        <w:widowControl w:val="0"/>
        <w:kinsoku/>
        <w:wordWrap/>
        <w:overflowPunct/>
        <w:topLinePunct w:val="0"/>
        <w:autoSpaceDE/>
        <w:autoSpaceDN/>
        <w:bidi w:val="0"/>
        <w:adjustRightInd/>
        <w:snapToGrid/>
        <w:spacing w:line="580" w:lineRule="exact"/>
        <w:ind w:firstLine="640" w:firstLineChars="200"/>
        <w:outlineLvl w:val="0"/>
        <w:rPr>
          <w:rFonts w:hint="eastAsia" w:ascii="黑体" w:hAnsi="黑体" w:eastAsia="黑体" w:cs="黑体"/>
          <w:b w:val="0"/>
          <w:bCs w:val="0"/>
          <w:sz w:val="32"/>
          <w:szCs w:val="40"/>
        </w:rPr>
      </w:pPr>
      <w:bookmarkStart w:id="109" w:name="_Toc2634_WPSOffice_Level1"/>
      <w:r>
        <w:rPr>
          <w:rFonts w:hint="eastAsia" w:ascii="黑体" w:hAnsi="黑体" w:eastAsia="黑体" w:cs="黑体"/>
          <w:b w:val="0"/>
          <w:bCs w:val="0"/>
          <w:sz w:val="32"/>
          <w:szCs w:val="40"/>
        </w:rPr>
        <w:t>五、评价分析</w:t>
      </w:r>
      <w:bookmarkEnd w:id="109"/>
    </w:p>
    <w:p>
      <w:pPr>
        <w:pStyle w:val="2"/>
        <w:keepNext w:val="0"/>
        <w:keepLines w:val="0"/>
        <w:pageBreakBefore w:val="0"/>
        <w:widowControl w:val="0"/>
        <w:kinsoku/>
        <w:wordWrap/>
        <w:overflowPunct/>
        <w:topLinePunct w:val="0"/>
        <w:autoSpaceDE/>
        <w:autoSpaceDN/>
        <w:bidi w:val="0"/>
        <w:adjustRightInd/>
        <w:snapToGrid/>
        <w:spacing w:line="580" w:lineRule="exact"/>
        <w:outlineLvl w:val="0"/>
        <w:rPr>
          <w:rFonts w:hint="eastAsia" w:ascii="仿宋_GB2312" w:hAnsi="仿宋_GB2312" w:eastAsia="仿宋_GB2312" w:cs="仿宋_GB2312"/>
          <w:color w:val="000000"/>
          <w:sz w:val="32"/>
          <w:szCs w:val="32"/>
        </w:rPr>
      </w:pPr>
      <w:bookmarkStart w:id="110" w:name="_Toc18513_WPSOffice_Level2"/>
      <w:r>
        <w:rPr>
          <w:rFonts w:hint="eastAsia" w:ascii="仿宋_GB2312" w:hAnsi="仿宋_GB2312" w:eastAsia="仿宋_GB2312" w:cs="仿宋_GB2312"/>
          <w:color w:val="000000"/>
          <w:sz w:val="32"/>
          <w:szCs w:val="32"/>
        </w:rPr>
        <w:t>主要扣分事项及原因分析</w:t>
      </w:r>
      <w:bookmarkEnd w:id="110"/>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忽视评估效果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对于各项工作任务，注重按时完成，提前谋划，但对完成的效果以及影响力的评估，我们少有探究，联系实际、服务群众做的不够。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outlineLvl w:val="0"/>
        <w:rPr>
          <w:rFonts w:hint="eastAsia" w:ascii="黑体" w:hAnsi="黑体" w:eastAsia="黑体" w:cs="黑体"/>
          <w:b w:val="0"/>
          <w:bCs w:val="0"/>
          <w:sz w:val="32"/>
          <w:szCs w:val="40"/>
        </w:rPr>
      </w:pPr>
      <w:bookmarkStart w:id="111" w:name="_Toc11279_WPSOffice_Level1"/>
      <w:r>
        <w:rPr>
          <w:rFonts w:hint="eastAsia" w:ascii="黑体" w:hAnsi="黑体" w:eastAsia="黑体" w:cs="黑体"/>
          <w:b w:val="0"/>
          <w:bCs w:val="0"/>
          <w:sz w:val="32"/>
          <w:szCs w:val="40"/>
        </w:rPr>
        <w:t>六、意见及建议</w:t>
      </w:r>
      <w:bookmarkEnd w:id="111"/>
    </w:p>
    <w:p>
      <w:pPr>
        <w:pStyle w:val="2"/>
        <w:keepNext w:val="0"/>
        <w:keepLines w:val="0"/>
        <w:pageBreakBefore w:val="0"/>
        <w:widowControl w:val="0"/>
        <w:kinsoku/>
        <w:wordWrap/>
        <w:overflowPunct/>
        <w:topLinePunct w:val="0"/>
        <w:autoSpaceDE/>
        <w:autoSpaceDN/>
        <w:bidi w:val="0"/>
        <w:adjustRightInd/>
        <w:snapToGrid/>
        <w:spacing w:line="580" w:lineRule="exact"/>
        <w:outlineLvl w:val="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进一步规范财务绩效管理，对本单位当年度的各项工作开展做到心中有数，统筹安排，合理配置。在以后工作中，坚持做到合理安排预算资金，不断完善支出结构，优化资金使用率，进一步完善绩效预算管理体制。</w:t>
      </w:r>
    </w:p>
    <w:p>
      <w:pPr>
        <w:pStyle w:val="2"/>
        <w:keepNext w:val="0"/>
        <w:keepLines w:val="0"/>
        <w:pageBreakBefore w:val="0"/>
        <w:widowControl w:val="0"/>
        <w:kinsoku/>
        <w:wordWrap/>
        <w:overflowPunct/>
        <w:topLinePunct w:val="0"/>
        <w:autoSpaceDE/>
        <w:autoSpaceDN/>
        <w:bidi w:val="0"/>
        <w:adjustRightInd/>
        <w:snapToGrid/>
        <w:spacing w:line="580" w:lineRule="exact"/>
        <w:jc w:val="left"/>
        <w:outlineLvl w:val="0"/>
        <w:rPr>
          <w:rFonts w:ascii="仿宋_GB2312" w:hAnsi="仿宋_GB2312" w:eastAsia="仿宋_GB2312" w:cs="仿宋_GB2312"/>
          <w:color w:val="000000"/>
          <w:sz w:val="32"/>
          <w:szCs w:val="32"/>
        </w:rPr>
      </w:pPr>
    </w:p>
    <w:p>
      <w:pPr>
        <w:pStyle w:val="2"/>
        <w:spacing w:line="560" w:lineRule="exact"/>
        <w:ind w:left="420" w:leftChars="200" w:firstLine="4960" w:firstLineChars="1550"/>
        <w:outlineLvl w:val="0"/>
        <w:rPr>
          <w:rFonts w:ascii="仿宋_GB2312" w:hAnsi="仿宋_GB2312" w:eastAsia="仿宋_GB2312" w:cs="仿宋_GB2312"/>
          <w:color w:val="000000"/>
          <w:sz w:val="32"/>
          <w:szCs w:val="32"/>
        </w:rPr>
      </w:pPr>
    </w:p>
    <w:p>
      <w:pPr>
        <w:pStyle w:val="2"/>
        <w:spacing w:line="560" w:lineRule="exact"/>
        <w:ind w:left="420" w:leftChars="200" w:firstLine="4960" w:firstLineChars="1550"/>
        <w:outlineLvl w:val="0"/>
        <w:rPr>
          <w:rFonts w:ascii="仿宋_GB2312" w:hAnsi="仿宋_GB2312" w:eastAsia="仿宋_GB2312" w:cs="仿宋_GB2312"/>
          <w:color w:val="000000"/>
          <w:sz w:val="32"/>
          <w:szCs w:val="32"/>
        </w:rPr>
      </w:pPr>
    </w:p>
    <w:p>
      <w:pPr>
        <w:pStyle w:val="2"/>
        <w:spacing w:line="560" w:lineRule="exact"/>
        <w:ind w:left="420" w:leftChars="200" w:firstLine="4960" w:firstLineChars="1550"/>
        <w:outlineLvl w:val="0"/>
        <w:rPr>
          <w:rFonts w:ascii="仿宋_GB2312" w:hAnsi="仿宋_GB2312" w:eastAsia="仿宋_GB2312" w:cs="仿宋_GB2312"/>
          <w:color w:val="000000"/>
          <w:sz w:val="32"/>
          <w:szCs w:val="32"/>
        </w:rPr>
      </w:pPr>
    </w:p>
    <w:p>
      <w:pPr>
        <w:pStyle w:val="2"/>
        <w:spacing w:line="560" w:lineRule="exact"/>
        <w:ind w:left="420" w:leftChars="200" w:firstLine="4960" w:firstLineChars="1550"/>
        <w:outlineLvl w:val="0"/>
        <w:rPr>
          <w:rFonts w:ascii="仿宋_GB2312" w:hAnsi="仿宋_GB2312" w:eastAsia="仿宋_GB2312" w:cs="仿宋_GB2312"/>
          <w:color w:val="000000"/>
          <w:sz w:val="32"/>
          <w:szCs w:val="32"/>
        </w:rPr>
      </w:pPr>
      <w:bookmarkStart w:id="112" w:name="_GoBack"/>
      <w:bookmarkEnd w:id="112"/>
    </w:p>
    <w:p>
      <w:pPr>
        <w:pStyle w:val="2"/>
        <w:spacing w:line="560" w:lineRule="exact"/>
        <w:ind w:left="420" w:leftChars="200" w:firstLine="4960" w:firstLineChars="1550"/>
        <w:outlineLvl w:val="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2023</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20</w:t>
      </w:r>
      <w:r>
        <w:rPr>
          <w:rFonts w:hint="eastAsia" w:ascii="仿宋_GB2312" w:hAnsi="仿宋_GB2312" w:eastAsia="仿宋_GB2312" w:cs="仿宋_GB2312"/>
          <w:color w:val="000000"/>
          <w:sz w:val="32"/>
          <w:szCs w:val="32"/>
        </w:rPr>
        <w:t>日</w:t>
      </w:r>
    </w:p>
    <w:p>
      <w:pPr>
        <w:rPr>
          <w:rFonts w:ascii="仿宋_GB2312" w:hAnsi="仿宋_GB2312" w:eastAsia="仿宋_GB2312" w:cs="仿宋_GB2312"/>
        </w:rPr>
      </w:pPr>
    </w:p>
    <w:sectPr>
      <w:footerReference r:id="rId3" w:type="default"/>
      <w:pgSz w:w="11906" w:h="16838"/>
      <w:pgMar w:top="2154" w:right="1474" w:bottom="1984" w:left="1587"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hzD29rgEAAEsD&#10;AAAOAAAAAAAAAAEAIAAAAB4BAABkcnMvZTJvRG9jLnhtbFBLBQYAAAAABgAGAFkBAAA+BQAAAAA=&#10;">
          <v:path/>
          <v:fill on="f" focussize="0,0"/>
          <v:stroke on="f" joinstyle="miter"/>
          <v:imagedata o:title=""/>
          <o:lock v:ext="edit"/>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M1NGQyOGNkNGYxYzNiOWNmYmJjMTk5ODAzNTNiMWYifQ=="/>
  </w:docVars>
  <w:rsids>
    <w:rsidRoot w:val="07CC499B"/>
    <w:rsid w:val="00092B14"/>
    <w:rsid w:val="000D47D0"/>
    <w:rsid w:val="001373BE"/>
    <w:rsid w:val="001F3212"/>
    <w:rsid w:val="002707C6"/>
    <w:rsid w:val="00280F82"/>
    <w:rsid w:val="003170CE"/>
    <w:rsid w:val="003C4354"/>
    <w:rsid w:val="00645DBC"/>
    <w:rsid w:val="007812E3"/>
    <w:rsid w:val="00814E39"/>
    <w:rsid w:val="008C7CF4"/>
    <w:rsid w:val="00A02C66"/>
    <w:rsid w:val="00AB413B"/>
    <w:rsid w:val="00B60E03"/>
    <w:rsid w:val="00D25A69"/>
    <w:rsid w:val="00D25CC3"/>
    <w:rsid w:val="00D3165F"/>
    <w:rsid w:val="00D471F4"/>
    <w:rsid w:val="00D5394A"/>
    <w:rsid w:val="00DB6DF3"/>
    <w:rsid w:val="00E30CAE"/>
    <w:rsid w:val="00E310A2"/>
    <w:rsid w:val="00EF2BA5"/>
    <w:rsid w:val="00EF6DA3"/>
    <w:rsid w:val="00FA340E"/>
    <w:rsid w:val="01B67D1F"/>
    <w:rsid w:val="01CA2AF2"/>
    <w:rsid w:val="03274687"/>
    <w:rsid w:val="04064A0C"/>
    <w:rsid w:val="04321BCD"/>
    <w:rsid w:val="04FF4482"/>
    <w:rsid w:val="057A0A50"/>
    <w:rsid w:val="064C4C17"/>
    <w:rsid w:val="076C3175"/>
    <w:rsid w:val="07CC499B"/>
    <w:rsid w:val="0815567D"/>
    <w:rsid w:val="0909607F"/>
    <w:rsid w:val="09A64785"/>
    <w:rsid w:val="0A3B4E4B"/>
    <w:rsid w:val="0B601B06"/>
    <w:rsid w:val="0BEB58BF"/>
    <w:rsid w:val="0C15027B"/>
    <w:rsid w:val="0C3B2A49"/>
    <w:rsid w:val="0DAA4EE9"/>
    <w:rsid w:val="0E3117D9"/>
    <w:rsid w:val="102B0836"/>
    <w:rsid w:val="1064155D"/>
    <w:rsid w:val="1156122B"/>
    <w:rsid w:val="11F11891"/>
    <w:rsid w:val="12C35BB4"/>
    <w:rsid w:val="140849FA"/>
    <w:rsid w:val="14583EA3"/>
    <w:rsid w:val="151D09B5"/>
    <w:rsid w:val="1689469A"/>
    <w:rsid w:val="16DB1E7D"/>
    <w:rsid w:val="178C6C5A"/>
    <w:rsid w:val="17CD646A"/>
    <w:rsid w:val="184F3049"/>
    <w:rsid w:val="1B3F225B"/>
    <w:rsid w:val="1B4269FF"/>
    <w:rsid w:val="1D4B3C83"/>
    <w:rsid w:val="1DBD7AB3"/>
    <w:rsid w:val="1E0B387E"/>
    <w:rsid w:val="21460607"/>
    <w:rsid w:val="21FF1E9B"/>
    <w:rsid w:val="23C1122C"/>
    <w:rsid w:val="243D751D"/>
    <w:rsid w:val="24522B03"/>
    <w:rsid w:val="25ED2FD4"/>
    <w:rsid w:val="264A346A"/>
    <w:rsid w:val="270A41B9"/>
    <w:rsid w:val="274B3C4E"/>
    <w:rsid w:val="285356FD"/>
    <w:rsid w:val="288E37E0"/>
    <w:rsid w:val="290243B4"/>
    <w:rsid w:val="2A5C748F"/>
    <w:rsid w:val="2B10000E"/>
    <w:rsid w:val="2B2D56DA"/>
    <w:rsid w:val="2D391E20"/>
    <w:rsid w:val="30785FD3"/>
    <w:rsid w:val="31702E0D"/>
    <w:rsid w:val="33C32B3C"/>
    <w:rsid w:val="34E52524"/>
    <w:rsid w:val="35CA4ECD"/>
    <w:rsid w:val="35CE5164"/>
    <w:rsid w:val="35F07825"/>
    <w:rsid w:val="360C2FBA"/>
    <w:rsid w:val="363913FE"/>
    <w:rsid w:val="36D6548C"/>
    <w:rsid w:val="376918C7"/>
    <w:rsid w:val="37832AC7"/>
    <w:rsid w:val="38195BED"/>
    <w:rsid w:val="39B23A02"/>
    <w:rsid w:val="3A4766ED"/>
    <w:rsid w:val="3A713A3B"/>
    <w:rsid w:val="3AAB2217"/>
    <w:rsid w:val="3CAE49E3"/>
    <w:rsid w:val="3DAE40CB"/>
    <w:rsid w:val="3E7103A9"/>
    <w:rsid w:val="3E7E746E"/>
    <w:rsid w:val="3EBE2184"/>
    <w:rsid w:val="3F5912F8"/>
    <w:rsid w:val="3F9B4FC0"/>
    <w:rsid w:val="41B74B09"/>
    <w:rsid w:val="43DC781A"/>
    <w:rsid w:val="441C7555"/>
    <w:rsid w:val="450A0AA4"/>
    <w:rsid w:val="45236574"/>
    <w:rsid w:val="46434BE2"/>
    <w:rsid w:val="46AA6AA7"/>
    <w:rsid w:val="478E0E32"/>
    <w:rsid w:val="48A2447B"/>
    <w:rsid w:val="49430BD9"/>
    <w:rsid w:val="494625CA"/>
    <w:rsid w:val="4BD23ED8"/>
    <w:rsid w:val="4C2846CD"/>
    <w:rsid w:val="4C7A4C55"/>
    <w:rsid w:val="4F6A54EE"/>
    <w:rsid w:val="4FDF6ED1"/>
    <w:rsid w:val="514C0EC5"/>
    <w:rsid w:val="51F50157"/>
    <w:rsid w:val="52866F20"/>
    <w:rsid w:val="52EE7A8B"/>
    <w:rsid w:val="535B290E"/>
    <w:rsid w:val="53F1208F"/>
    <w:rsid w:val="54DE5250"/>
    <w:rsid w:val="55495194"/>
    <w:rsid w:val="56115CEE"/>
    <w:rsid w:val="56D42516"/>
    <w:rsid w:val="56FE5044"/>
    <w:rsid w:val="57E03285"/>
    <w:rsid w:val="5AE71036"/>
    <w:rsid w:val="5B5F30DA"/>
    <w:rsid w:val="5BAF6F84"/>
    <w:rsid w:val="5BE03A0F"/>
    <w:rsid w:val="5D5C7CBD"/>
    <w:rsid w:val="5DF86B3F"/>
    <w:rsid w:val="5F1C1ADB"/>
    <w:rsid w:val="60134031"/>
    <w:rsid w:val="60C120AA"/>
    <w:rsid w:val="6304094B"/>
    <w:rsid w:val="64165E4C"/>
    <w:rsid w:val="6536013A"/>
    <w:rsid w:val="68DA698B"/>
    <w:rsid w:val="6A3E1F45"/>
    <w:rsid w:val="6AD158E9"/>
    <w:rsid w:val="6CCC6D4C"/>
    <w:rsid w:val="6D5F4EC3"/>
    <w:rsid w:val="6E3F5A2C"/>
    <w:rsid w:val="7008088F"/>
    <w:rsid w:val="712634CC"/>
    <w:rsid w:val="71A3781D"/>
    <w:rsid w:val="724E698E"/>
    <w:rsid w:val="756501CF"/>
    <w:rsid w:val="778F438E"/>
    <w:rsid w:val="7A055146"/>
    <w:rsid w:val="7A757A3F"/>
    <w:rsid w:val="7C647BFE"/>
    <w:rsid w:val="7D9B64C3"/>
    <w:rsid w:val="7FA8571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link w:val="11"/>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jc w:val="left"/>
    </w:pPr>
    <w:rPr>
      <w:kern w:val="0"/>
      <w:sz w:val="24"/>
    </w:rPr>
  </w:style>
  <w:style w:type="paragraph" w:customStyle="1" w:styleId="9">
    <w:name w:val="WPSOffice手动目录 1"/>
    <w:qFormat/>
    <w:uiPriority w:val="0"/>
    <w:rPr>
      <w:rFonts w:ascii="Times New Roman" w:hAnsi="Times New Roman" w:eastAsia="宋体" w:cs="Times New Roman"/>
      <w:lang w:val="en-US" w:eastAsia="zh-CN" w:bidi="ar-SA"/>
    </w:rPr>
  </w:style>
  <w:style w:type="paragraph" w:customStyle="1" w:styleId="10">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1">
    <w:name w:val="页眉 Char"/>
    <w:basedOn w:val="8"/>
    <w:link w:val="5"/>
    <w:uiPriority w:val="0"/>
    <w:rPr>
      <w:rFonts w:ascii="Calibri" w:hAnsi="Calibri"/>
      <w:kern w:val="2"/>
      <w:sz w:val="18"/>
      <w:szCs w:val="18"/>
    </w:rPr>
  </w:style>
  <w:style w:type="character" w:customStyle="1" w:styleId="12">
    <w:name w:val="s2"/>
    <w:basedOn w:val="8"/>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1028</Words>
  <Characters>1043</Characters>
  <Lines>9</Lines>
  <Paragraphs>2</Paragraphs>
  <TotalTime>8</TotalTime>
  <ScaleCrop>false</ScaleCrop>
  <LinksUpToDate>false</LinksUpToDate>
  <CharactersWithSpaces>1152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2021-07-20T09:00:00Z</dcterms:created>
  <dc:creator>user</dc:creator>
  <cp:lastModifiedBy>郭永飞</cp:lastModifiedBy>
  <dcterms:modified xsi:type="dcterms:W3CDTF">2023-03-20T06:02:50Z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DFCE06B7272A409D9A4C065D3EEB6804</vt:lpwstr>
  </property>
</Properties>
</file>