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B764D">
      <w:pPr>
        <w:widowControl/>
        <w:spacing w:line="400" w:lineRule="exact"/>
        <w:jc w:val="left"/>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附件4：</w:t>
      </w:r>
    </w:p>
    <w:p w14:paraId="6DB9BF79">
      <w:pPr>
        <w:spacing w:line="480" w:lineRule="exact"/>
        <w:jc w:val="center"/>
        <w:rPr>
          <w:rFonts w:ascii="宋体" w:hAnsi="宋体"/>
          <w:b/>
          <w:sz w:val="44"/>
          <w:szCs w:val="44"/>
        </w:rPr>
      </w:pPr>
      <w:r>
        <w:rPr>
          <w:rFonts w:hint="eastAsia" w:ascii="宋体" w:hAnsi="宋体"/>
          <w:b/>
          <w:sz w:val="44"/>
          <w:szCs w:val="44"/>
        </w:rPr>
        <w:t>隆尧县</w:t>
      </w:r>
      <w:r>
        <w:rPr>
          <w:rFonts w:hint="eastAsia" w:ascii="宋体" w:hAnsi="宋体"/>
          <w:b/>
          <w:sz w:val="44"/>
          <w:szCs w:val="44"/>
          <w:lang w:eastAsia="zh-CN"/>
        </w:rPr>
        <w:t>委员会宣传部</w:t>
      </w:r>
      <w:bookmarkStart w:id="0" w:name="_GoBack"/>
      <w:r>
        <w:rPr>
          <w:rFonts w:hint="eastAsia" w:ascii="宋体" w:hAnsi="宋体"/>
          <w:b/>
          <w:sz w:val="44"/>
          <w:szCs w:val="44"/>
        </w:rPr>
        <w:t>20</w:t>
      </w:r>
      <w:bookmarkEnd w:id="0"/>
      <w:r>
        <w:rPr>
          <w:rFonts w:hint="eastAsia" w:ascii="宋体" w:hAnsi="宋体"/>
          <w:b/>
          <w:sz w:val="44"/>
          <w:szCs w:val="44"/>
        </w:rPr>
        <w:t>21年</w:t>
      </w:r>
    </w:p>
    <w:p w14:paraId="6CB31B56">
      <w:pPr>
        <w:spacing w:line="480" w:lineRule="exact"/>
        <w:jc w:val="center"/>
        <w:rPr>
          <w:rFonts w:ascii="宋体" w:hAnsi="宋体" w:eastAsia="宋体" w:cs="宋体"/>
          <w:b/>
          <w:color w:val="000000"/>
          <w:kern w:val="0"/>
          <w:sz w:val="44"/>
          <w:szCs w:val="44"/>
          <w:shd w:val="clear" w:color="auto" w:fill="FFFFFF"/>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rPr>
        <w:t>指标体系评分表</w:t>
      </w:r>
    </w:p>
    <w:p w14:paraId="5711505B">
      <w:pPr>
        <w:spacing w:line="480" w:lineRule="exact"/>
        <w:jc w:val="left"/>
        <w:rPr>
          <w:rFonts w:hint="eastAsia" w:ascii="仿宋" w:hAnsi="仿宋" w:eastAsia="仿宋" w:cs="仿宋"/>
          <w:sz w:val="24"/>
          <w:szCs w:val="24"/>
          <w:lang w:eastAsia="zh-CN"/>
        </w:rPr>
      </w:pPr>
      <w:r>
        <w:rPr>
          <w:rFonts w:hint="eastAsia" w:ascii="仿宋" w:hAnsi="仿宋" w:eastAsia="仿宋" w:cs="仿宋"/>
          <w:sz w:val="24"/>
          <w:szCs w:val="24"/>
        </w:rPr>
        <w:t>单位名称</w:t>
      </w:r>
      <w:r>
        <w:rPr>
          <w:rFonts w:hint="eastAsia" w:ascii="仿宋" w:hAnsi="仿宋" w:eastAsia="仿宋" w:cs="仿宋"/>
          <w:sz w:val="24"/>
          <w:szCs w:val="24"/>
          <w:lang w:eastAsia="zh-CN"/>
        </w:rPr>
        <w:t>：（</w:t>
      </w:r>
      <w:r>
        <w:rPr>
          <w:rFonts w:hint="eastAsia" w:ascii="仿宋" w:hAnsi="仿宋" w:eastAsia="仿宋" w:cs="仿宋"/>
          <w:sz w:val="24"/>
          <w:szCs w:val="24"/>
        </w:rPr>
        <w:t>公章</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县委宣传部                           </w:t>
      </w:r>
      <w:r>
        <w:rPr>
          <w:rFonts w:hint="eastAsia" w:ascii="仿宋" w:hAnsi="仿宋" w:eastAsia="仿宋" w:cs="仿宋"/>
          <w:sz w:val="24"/>
          <w:szCs w:val="24"/>
        </w:rPr>
        <w:t>单位负责人</w:t>
      </w:r>
      <w:r>
        <w:rPr>
          <w:rFonts w:hint="eastAsia" w:ascii="仿宋" w:hAnsi="仿宋" w:eastAsia="仿宋" w:cs="仿宋"/>
          <w:sz w:val="24"/>
          <w:szCs w:val="24"/>
          <w:lang w:eastAsia="zh-CN"/>
        </w:rPr>
        <w:t>：</w:t>
      </w:r>
    </w:p>
    <w:tbl>
      <w:tblPr>
        <w:tblStyle w:val="8"/>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1559"/>
        <w:gridCol w:w="3260"/>
        <w:gridCol w:w="2552"/>
        <w:gridCol w:w="567"/>
      </w:tblGrid>
      <w:tr w14:paraId="350C7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2DDFE2B9">
            <w:pPr>
              <w:widowControl/>
              <w:spacing w:line="240" w:lineRule="exact"/>
              <w:jc w:val="center"/>
              <w:rPr>
                <w:b/>
              </w:rPr>
            </w:pPr>
            <w:r>
              <w:rPr>
                <w:rFonts w:ascii="仿宋_GB2312" w:hAnsi="新宋体" w:eastAsia="仿宋_GB2312" w:cs="仿宋_GB2312"/>
                <w:b/>
                <w:kern w:val="0"/>
                <w:sz w:val="24"/>
                <w:szCs w:val="24"/>
              </w:rPr>
              <w:t>一级指标</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152F47D2">
            <w:pPr>
              <w:widowControl/>
              <w:spacing w:line="240" w:lineRule="exact"/>
              <w:jc w:val="center"/>
              <w:rPr>
                <w:b/>
              </w:rPr>
            </w:pPr>
            <w:r>
              <w:rPr>
                <w:rFonts w:ascii="仿宋_GB2312" w:hAnsi="新宋体" w:eastAsia="仿宋_GB2312" w:cs="仿宋_GB2312"/>
                <w:b/>
                <w:kern w:val="0"/>
                <w:sz w:val="24"/>
                <w:szCs w:val="24"/>
              </w:rPr>
              <w:t>二级指标</w:t>
            </w:r>
          </w:p>
        </w:tc>
        <w:tc>
          <w:tcPr>
            <w:tcW w:w="4819" w:type="dxa"/>
            <w:gridSpan w:val="2"/>
            <w:tcBorders>
              <w:top w:val="single" w:color="000000" w:sz="4" w:space="0"/>
              <w:left w:val="single" w:color="000000" w:sz="4" w:space="0"/>
              <w:bottom w:val="single" w:color="000000" w:sz="4" w:space="0"/>
              <w:right w:val="single" w:color="auto" w:sz="4" w:space="0"/>
            </w:tcBorders>
            <w:vAlign w:val="center"/>
          </w:tcPr>
          <w:p w14:paraId="0430EC8F">
            <w:pPr>
              <w:widowControl/>
              <w:spacing w:line="240" w:lineRule="exact"/>
              <w:jc w:val="center"/>
              <w:rPr>
                <w:b/>
              </w:rPr>
            </w:pPr>
            <w:r>
              <w:rPr>
                <w:rFonts w:ascii="仿宋_GB2312" w:hAnsi="新宋体" w:eastAsia="仿宋_GB2312" w:cs="仿宋_GB2312"/>
                <w:b/>
                <w:kern w:val="0"/>
                <w:sz w:val="24"/>
                <w:szCs w:val="24"/>
              </w:rPr>
              <w:t>三级指标</w:t>
            </w:r>
          </w:p>
        </w:tc>
        <w:tc>
          <w:tcPr>
            <w:tcW w:w="2552" w:type="dxa"/>
            <w:vMerge w:val="restart"/>
            <w:tcBorders>
              <w:top w:val="single" w:color="000000" w:sz="4" w:space="0"/>
              <w:left w:val="single" w:color="auto" w:sz="4" w:space="0"/>
              <w:bottom w:val="single" w:color="000000" w:sz="4" w:space="0"/>
              <w:right w:val="single" w:color="auto" w:sz="4" w:space="0"/>
            </w:tcBorders>
            <w:vAlign w:val="center"/>
          </w:tcPr>
          <w:p w14:paraId="7AD2F439">
            <w:pPr>
              <w:widowControl/>
              <w:spacing w:line="240" w:lineRule="exact"/>
              <w:jc w:val="center"/>
              <w:rPr>
                <w:b/>
              </w:rPr>
            </w:pPr>
            <w:r>
              <w:rPr>
                <w:rFonts w:ascii="仿宋_GB2312" w:hAnsi="新宋体" w:eastAsia="仿宋_GB2312" w:cs="仿宋_GB2312"/>
                <w:b/>
                <w:kern w:val="0"/>
                <w:sz w:val="24"/>
                <w:szCs w:val="24"/>
              </w:rPr>
              <w:t>评分标准</w:t>
            </w:r>
          </w:p>
        </w:tc>
        <w:tc>
          <w:tcPr>
            <w:tcW w:w="567" w:type="dxa"/>
            <w:vMerge w:val="restart"/>
            <w:tcBorders>
              <w:top w:val="single" w:color="000000" w:sz="4" w:space="0"/>
              <w:left w:val="single" w:color="auto" w:sz="4" w:space="0"/>
              <w:bottom w:val="single" w:color="000000" w:sz="4" w:space="0"/>
              <w:right w:val="single" w:color="auto" w:sz="4" w:space="0"/>
            </w:tcBorders>
            <w:vAlign w:val="center"/>
          </w:tcPr>
          <w:p w14:paraId="5FC9DE2B">
            <w:pPr>
              <w:widowControl/>
              <w:spacing w:line="240" w:lineRule="exact"/>
              <w:jc w:val="left"/>
              <w:rPr>
                <w:b/>
              </w:rPr>
            </w:pPr>
            <w:r>
              <w:rPr>
                <w:rFonts w:ascii="仿宋_GB2312" w:hAnsi="新宋体" w:eastAsia="仿宋_GB2312" w:cs="仿宋_GB2312"/>
                <w:b/>
                <w:kern w:val="0"/>
                <w:sz w:val="24"/>
                <w:szCs w:val="24"/>
              </w:rPr>
              <w:t>得分</w:t>
            </w:r>
          </w:p>
        </w:tc>
      </w:tr>
      <w:tr w14:paraId="718CC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7BA1A80">
            <w:pPr>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17E90F7F">
            <w:pPr>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3CA0AEEA">
            <w:pPr>
              <w:widowControl/>
              <w:spacing w:line="240" w:lineRule="exact"/>
              <w:jc w:val="center"/>
              <w:rPr>
                <w:b/>
              </w:rPr>
            </w:pPr>
            <w:r>
              <w:rPr>
                <w:rFonts w:ascii="仿宋_GB2312" w:hAnsi="新宋体" w:eastAsia="仿宋_GB2312" w:cs="仿宋_GB2312"/>
                <w:b/>
                <w:kern w:val="0"/>
                <w:sz w:val="24"/>
                <w:szCs w:val="24"/>
              </w:rPr>
              <w:t>指标名称</w:t>
            </w:r>
          </w:p>
        </w:tc>
        <w:tc>
          <w:tcPr>
            <w:tcW w:w="3260" w:type="dxa"/>
            <w:tcBorders>
              <w:top w:val="single" w:color="000000" w:sz="4" w:space="0"/>
              <w:left w:val="single" w:color="auto" w:sz="4" w:space="0"/>
              <w:bottom w:val="single" w:color="000000" w:sz="4" w:space="0"/>
              <w:right w:val="single" w:color="auto" w:sz="4" w:space="0"/>
            </w:tcBorders>
            <w:vAlign w:val="center"/>
          </w:tcPr>
          <w:p w14:paraId="5590CC7B">
            <w:pPr>
              <w:widowControl/>
              <w:spacing w:line="240" w:lineRule="exact"/>
              <w:jc w:val="center"/>
              <w:rPr>
                <w:b/>
              </w:rPr>
            </w:pPr>
            <w:r>
              <w:rPr>
                <w:rFonts w:ascii="仿宋_GB2312" w:hAnsi="新宋体" w:eastAsia="仿宋_GB2312" w:cs="仿宋_GB2312"/>
                <w:b/>
                <w:kern w:val="0"/>
                <w:sz w:val="24"/>
                <w:szCs w:val="24"/>
              </w:rPr>
              <w:t>指标解释说明</w:t>
            </w:r>
          </w:p>
        </w:tc>
        <w:tc>
          <w:tcPr>
            <w:tcW w:w="2552" w:type="dxa"/>
            <w:vMerge w:val="continue"/>
            <w:tcBorders>
              <w:top w:val="single" w:color="000000" w:sz="4" w:space="0"/>
              <w:left w:val="single" w:color="auto" w:sz="4" w:space="0"/>
              <w:bottom w:val="single" w:color="000000" w:sz="4" w:space="0"/>
              <w:right w:val="single" w:color="auto" w:sz="4" w:space="0"/>
            </w:tcBorders>
            <w:vAlign w:val="center"/>
          </w:tcPr>
          <w:p w14:paraId="5A78C969">
            <w:pPr>
              <w:rPr>
                <w:rFonts w:ascii="宋体"/>
                <w:szCs w:val="21"/>
              </w:rPr>
            </w:pPr>
          </w:p>
        </w:tc>
        <w:tc>
          <w:tcPr>
            <w:tcW w:w="567" w:type="dxa"/>
            <w:vMerge w:val="continue"/>
            <w:tcBorders>
              <w:top w:val="single" w:color="000000" w:sz="4" w:space="0"/>
              <w:left w:val="single" w:color="auto" w:sz="4" w:space="0"/>
              <w:bottom w:val="single" w:color="000000" w:sz="4" w:space="0"/>
              <w:right w:val="single" w:color="auto" w:sz="4" w:space="0"/>
            </w:tcBorders>
            <w:vAlign w:val="center"/>
          </w:tcPr>
          <w:p w14:paraId="5932AD4F">
            <w:pPr>
              <w:rPr>
                <w:rFonts w:ascii="宋体"/>
                <w:szCs w:val="21"/>
              </w:rPr>
            </w:pPr>
          </w:p>
        </w:tc>
      </w:tr>
      <w:tr w14:paraId="6BF04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9039" w:type="dxa"/>
            <w:gridSpan w:val="5"/>
            <w:tcBorders>
              <w:top w:val="single" w:color="000000" w:sz="4" w:space="0"/>
              <w:left w:val="single" w:color="000000" w:sz="4" w:space="0"/>
              <w:bottom w:val="single" w:color="000000" w:sz="4" w:space="0"/>
              <w:right w:val="single" w:color="auto" w:sz="4" w:space="0"/>
            </w:tcBorders>
            <w:vAlign w:val="center"/>
          </w:tcPr>
          <w:p w14:paraId="4249145E">
            <w:pPr>
              <w:widowControl/>
              <w:spacing w:line="240" w:lineRule="exact"/>
              <w:jc w:val="center"/>
              <w:rPr>
                <w:rFonts w:ascii="仿宋_GB2312" w:hAnsi="新宋体" w:eastAsia="仿宋_GB2312" w:cs="仿宋_GB2312"/>
                <w:b/>
                <w:kern w:val="0"/>
                <w:sz w:val="24"/>
                <w:szCs w:val="24"/>
              </w:rPr>
            </w:pPr>
            <w:r>
              <w:rPr>
                <w:rFonts w:hint="eastAsia" w:ascii="仿宋_GB2312" w:hAnsi="新宋体" w:eastAsia="仿宋_GB2312" w:cs="仿宋_GB2312"/>
                <w:b/>
                <w:kern w:val="0"/>
                <w:sz w:val="24"/>
                <w:szCs w:val="24"/>
              </w:rPr>
              <w:t>自评总分</w:t>
            </w:r>
          </w:p>
        </w:tc>
        <w:tc>
          <w:tcPr>
            <w:tcW w:w="567" w:type="dxa"/>
            <w:tcBorders>
              <w:top w:val="single" w:color="000000" w:sz="4" w:space="0"/>
              <w:left w:val="single" w:color="auto" w:sz="4" w:space="0"/>
              <w:bottom w:val="single" w:color="auto" w:sz="4" w:space="0"/>
              <w:right w:val="single" w:color="000000" w:sz="4" w:space="0"/>
            </w:tcBorders>
            <w:vAlign w:val="center"/>
          </w:tcPr>
          <w:p w14:paraId="6A069D06">
            <w:pPr>
              <w:widowControl/>
              <w:spacing w:line="240" w:lineRule="exact"/>
              <w:jc w:val="left"/>
              <w:rPr>
                <w:szCs w:val="21"/>
              </w:rPr>
            </w:pPr>
          </w:p>
        </w:tc>
      </w:tr>
      <w:tr w14:paraId="3775B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03302458">
            <w:pPr>
              <w:widowControl/>
              <w:spacing w:line="240" w:lineRule="exact"/>
              <w:jc w:val="left"/>
              <w:rPr>
                <w:szCs w:val="21"/>
              </w:rPr>
            </w:pPr>
            <w:r>
              <w:rPr>
                <w:rFonts w:ascii="仿宋_GB2312" w:hAnsi="新宋体" w:eastAsia="仿宋_GB2312" w:cs="仿宋_GB2312"/>
                <w:kern w:val="0"/>
                <w:szCs w:val="21"/>
              </w:rPr>
              <w:t>投入（1</w:t>
            </w:r>
            <w:r>
              <w:rPr>
                <w:rFonts w:hint="eastAsia" w:ascii="仿宋_GB2312" w:hAnsi="新宋体" w:eastAsia="仿宋_GB2312" w:cs="仿宋_GB2312"/>
                <w:kern w:val="0"/>
                <w:szCs w:val="21"/>
              </w:rPr>
              <w:t>0分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1AF58A4D">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绩效</w:t>
            </w:r>
            <w:r>
              <w:rPr>
                <w:rFonts w:ascii="仿宋_GB2312" w:hAnsi="新宋体" w:eastAsia="仿宋_GB2312" w:cs="仿宋_GB2312"/>
                <w:kern w:val="0"/>
                <w:szCs w:val="21"/>
              </w:rPr>
              <w:t>目标设定</w:t>
            </w:r>
            <w:r>
              <w:rPr>
                <w:rFonts w:hint="eastAsia" w:ascii="仿宋_GB2312" w:hAnsi="新宋体" w:eastAsia="仿宋_GB2312" w:cs="仿宋_GB2312"/>
                <w:kern w:val="0"/>
                <w:szCs w:val="21"/>
                <w:lang w:eastAsia="zh-CN"/>
              </w:rPr>
              <w:t>情况</w:t>
            </w:r>
          </w:p>
          <w:p w14:paraId="306295C5">
            <w:pPr>
              <w:widowControl/>
              <w:spacing w:line="240" w:lineRule="exact"/>
              <w:jc w:val="left"/>
              <w:rPr>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1773C81D">
            <w:pPr>
              <w:widowControl/>
              <w:spacing w:line="240" w:lineRule="exact"/>
              <w:jc w:val="left"/>
              <w:rPr>
                <w:rFonts w:ascii="仿宋_GB2312" w:hAnsi="新宋体" w:eastAsia="仿宋_GB2312" w:cs="仿宋_GB2312"/>
                <w:kern w:val="0"/>
                <w:szCs w:val="21"/>
              </w:rPr>
            </w:pPr>
          </w:p>
          <w:p w14:paraId="3B30141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职责明确</w:t>
            </w:r>
          </w:p>
          <w:p w14:paraId="7D3ABFD8">
            <w:pPr>
              <w:widowControl/>
              <w:spacing w:line="240" w:lineRule="exact"/>
              <w:jc w:val="left"/>
              <w:rPr>
                <w:szCs w:val="21"/>
              </w:rPr>
            </w:pPr>
            <w:r>
              <w:rPr>
                <w:rFonts w:ascii="仿宋_GB2312" w:hAnsi="新宋体" w:eastAsia="仿宋_GB2312" w:cs="仿宋_GB2312"/>
                <w:kern w:val="0"/>
                <w:szCs w:val="21"/>
              </w:rPr>
              <w:t>（1</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7FFDE09E">
            <w:pPr>
              <w:widowControl/>
              <w:spacing w:line="240" w:lineRule="exact"/>
              <w:jc w:val="left"/>
              <w:rPr>
                <w:szCs w:val="21"/>
              </w:rPr>
            </w:pPr>
            <w:r>
              <w:rPr>
                <w:rFonts w:ascii="仿宋_GB2312" w:hAnsi="新宋体" w:eastAsia="仿宋_GB2312" w:cs="仿宋_GB2312"/>
                <w:kern w:val="0"/>
                <w:szCs w:val="21"/>
              </w:rPr>
              <w:t>部门的职责设定是否符合“三定”方案中所赋予的职责，用以反映和评价部门工作的目的性与计划性。</w:t>
            </w:r>
          </w:p>
        </w:tc>
        <w:tc>
          <w:tcPr>
            <w:tcW w:w="2552" w:type="dxa"/>
            <w:tcBorders>
              <w:top w:val="single" w:color="000000" w:sz="4" w:space="0"/>
              <w:left w:val="single" w:color="auto" w:sz="4" w:space="0"/>
              <w:bottom w:val="single" w:color="auto" w:sz="4" w:space="0"/>
              <w:right w:val="single" w:color="auto" w:sz="4" w:space="0"/>
            </w:tcBorders>
            <w:vAlign w:val="center"/>
          </w:tcPr>
          <w:p w14:paraId="16E3CBB8">
            <w:pPr>
              <w:widowControl/>
              <w:spacing w:line="240" w:lineRule="exact"/>
              <w:jc w:val="left"/>
              <w:rPr>
                <w:szCs w:val="21"/>
              </w:rPr>
            </w:pPr>
            <w:r>
              <w:rPr>
                <w:rFonts w:ascii="仿宋_GB2312" w:hAnsi="新宋体" w:eastAsia="仿宋_GB2312" w:cs="仿宋_GB2312"/>
                <w:kern w:val="0"/>
                <w:szCs w:val="21"/>
              </w:rPr>
              <w:t>符合（1）；</w:t>
            </w:r>
          </w:p>
          <w:p w14:paraId="3C1859CE">
            <w:pPr>
              <w:widowControl/>
              <w:spacing w:line="240" w:lineRule="exact"/>
              <w:jc w:val="left"/>
              <w:rPr>
                <w:szCs w:val="21"/>
              </w:rPr>
            </w:pPr>
            <w:r>
              <w:rPr>
                <w:rFonts w:ascii="仿宋_GB2312" w:hAnsi="新宋体" w:eastAsia="仿宋_GB2312" w:cs="仿宋_GB2312"/>
                <w:kern w:val="0"/>
                <w:szCs w:val="21"/>
              </w:rPr>
              <w:t>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3E49150C">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1259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122D6D4">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91D5FE8">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19738FF3">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活动合规性</w:t>
            </w:r>
          </w:p>
          <w:p w14:paraId="5675BAFB">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2756B156">
            <w:pPr>
              <w:widowControl/>
              <w:spacing w:line="240" w:lineRule="exact"/>
              <w:jc w:val="left"/>
              <w:rPr>
                <w:szCs w:val="21"/>
              </w:rPr>
            </w:pPr>
            <w:r>
              <w:rPr>
                <w:rFonts w:ascii="仿宋_GB2312" w:hAnsi="新宋体" w:eastAsia="仿宋_GB2312" w:cs="仿宋_GB2312"/>
                <w:kern w:val="0"/>
                <w:szCs w:val="21"/>
              </w:rPr>
              <w:t>部门的活动是否在职责范围之内并符合部门中长期规划，用以反映和评价部门活动目标与部门履职、年度工作任务的相符性情况。</w:t>
            </w:r>
          </w:p>
          <w:p w14:paraId="62844508">
            <w:pPr>
              <w:widowControl/>
              <w:spacing w:line="240" w:lineRule="exact"/>
              <w:jc w:val="left"/>
              <w:rPr>
                <w:szCs w:val="21"/>
              </w:rPr>
            </w:pPr>
            <w:r>
              <w:rPr>
                <w:rFonts w:ascii="仿宋_GB2312" w:hAnsi="新宋体" w:eastAsia="仿宋_GB2312" w:cs="仿宋_GB2312"/>
                <w:kern w:val="0"/>
                <w:szCs w:val="21"/>
              </w:rPr>
              <w:t>评价要点：</w:t>
            </w:r>
          </w:p>
          <w:p w14:paraId="79181EA2">
            <w:pPr>
              <w:widowControl/>
              <w:spacing w:line="240" w:lineRule="exact"/>
              <w:jc w:val="left"/>
              <w:rPr>
                <w:szCs w:val="21"/>
              </w:rPr>
            </w:pPr>
            <w:r>
              <w:rPr>
                <w:rFonts w:ascii="仿宋_GB2312" w:hAnsi="新宋体" w:eastAsia="仿宋_GB2312" w:cs="仿宋_GB2312"/>
                <w:kern w:val="0"/>
                <w:szCs w:val="21"/>
              </w:rPr>
              <w:t>1.部门活动的设定在部门所确定的职责范围之内；</w:t>
            </w:r>
          </w:p>
          <w:p w14:paraId="118F8824">
            <w:pPr>
              <w:widowControl/>
              <w:spacing w:line="240" w:lineRule="exact"/>
              <w:jc w:val="left"/>
              <w:rPr>
                <w:szCs w:val="21"/>
              </w:rPr>
            </w:pPr>
            <w:r>
              <w:rPr>
                <w:rFonts w:ascii="仿宋_GB2312" w:hAnsi="新宋体" w:eastAsia="仿宋_GB2312" w:cs="仿宋_GB2312"/>
                <w:kern w:val="0"/>
                <w:szCs w:val="21"/>
              </w:rPr>
              <w:t>2.部门活动符合</w:t>
            </w:r>
            <w:r>
              <w:rPr>
                <w:rFonts w:hint="eastAsia" w:ascii="仿宋_GB2312" w:hAnsi="新宋体" w:eastAsia="仿宋_GB2312" w:cs="仿宋_GB2312"/>
                <w:kern w:val="0"/>
                <w:szCs w:val="21"/>
              </w:rPr>
              <w:t>市</w:t>
            </w:r>
            <w:r>
              <w:rPr>
                <w:rFonts w:ascii="仿宋_GB2312" w:hAnsi="新宋体" w:eastAsia="仿宋_GB2312" w:cs="仿宋_GB2312"/>
                <w:kern w:val="0"/>
                <w:szCs w:val="21"/>
              </w:rPr>
              <w:t>委、</w:t>
            </w:r>
            <w:r>
              <w:rPr>
                <w:rFonts w:hint="eastAsia" w:ascii="仿宋_GB2312" w:hAnsi="新宋体" w:eastAsia="仿宋_GB2312" w:cs="仿宋_GB2312"/>
                <w:kern w:val="0"/>
                <w:szCs w:val="21"/>
              </w:rPr>
              <w:t>市</w:t>
            </w:r>
            <w:r>
              <w:rPr>
                <w:rFonts w:ascii="仿宋_GB2312" w:hAnsi="新宋体" w:eastAsia="仿宋_GB2312" w:cs="仿宋_GB2312"/>
                <w:kern w:val="0"/>
                <w:szCs w:val="21"/>
              </w:rPr>
              <w:t>政府的发展规划及本部门的年度工作安排与发展规划。</w:t>
            </w:r>
          </w:p>
        </w:tc>
        <w:tc>
          <w:tcPr>
            <w:tcW w:w="2552" w:type="dxa"/>
            <w:tcBorders>
              <w:top w:val="single" w:color="000000" w:sz="4" w:space="0"/>
              <w:left w:val="single" w:color="auto" w:sz="4" w:space="0"/>
              <w:bottom w:val="single" w:color="auto" w:sz="4" w:space="0"/>
              <w:right w:val="single" w:color="auto" w:sz="4" w:space="0"/>
            </w:tcBorders>
            <w:vAlign w:val="center"/>
          </w:tcPr>
          <w:p w14:paraId="7D4F8AB5">
            <w:pPr>
              <w:widowControl/>
              <w:spacing w:line="240" w:lineRule="exact"/>
              <w:jc w:val="left"/>
              <w:rPr>
                <w:szCs w:val="21"/>
              </w:rPr>
            </w:pPr>
            <w:r>
              <w:rPr>
                <w:rFonts w:ascii="仿宋_GB2312" w:hAnsi="新宋体" w:eastAsia="仿宋_GB2312" w:cs="仿宋_GB2312"/>
                <w:kern w:val="0"/>
                <w:szCs w:val="21"/>
              </w:rPr>
              <w:t>全部符合（2）；</w:t>
            </w:r>
          </w:p>
          <w:p w14:paraId="4C82833C">
            <w:pPr>
              <w:widowControl/>
              <w:spacing w:line="240" w:lineRule="exact"/>
              <w:jc w:val="left"/>
              <w:rPr>
                <w:szCs w:val="21"/>
              </w:rPr>
            </w:pPr>
            <w:r>
              <w:rPr>
                <w:rFonts w:ascii="仿宋_GB2312" w:hAnsi="新宋体" w:eastAsia="仿宋_GB2312" w:cs="仿宋_GB2312"/>
                <w:kern w:val="0"/>
                <w:szCs w:val="21"/>
              </w:rPr>
              <w:t>其中一项不符合（0）。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3E039B1C">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08DD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CE5E56B">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2DFBA69">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44AF2712">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活动合理性</w:t>
            </w:r>
          </w:p>
          <w:p w14:paraId="37486102">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5B6A231C">
            <w:pPr>
              <w:widowControl/>
              <w:spacing w:line="240" w:lineRule="exact"/>
              <w:jc w:val="left"/>
              <w:rPr>
                <w:szCs w:val="21"/>
              </w:rPr>
            </w:pPr>
            <w:r>
              <w:rPr>
                <w:rFonts w:ascii="仿宋_GB2312" w:hAnsi="新宋体" w:eastAsia="仿宋_GB2312" w:cs="仿宋_GB2312"/>
                <w:kern w:val="0"/>
                <w:szCs w:val="21"/>
              </w:rPr>
              <w:t>部门所设立的活动是否明确合理、活动的关键性指标设置是否可衡量，用以反映和评价部门活动目标设定的合理性。</w:t>
            </w:r>
          </w:p>
          <w:p w14:paraId="5915BBC4">
            <w:pPr>
              <w:widowControl/>
              <w:spacing w:line="240" w:lineRule="exact"/>
              <w:jc w:val="left"/>
              <w:rPr>
                <w:szCs w:val="21"/>
              </w:rPr>
            </w:pPr>
            <w:r>
              <w:rPr>
                <w:rFonts w:ascii="仿宋_GB2312" w:hAnsi="新宋体" w:eastAsia="仿宋_GB2312" w:cs="仿宋_GB2312"/>
                <w:kern w:val="0"/>
                <w:szCs w:val="21"/>
              </w:rPr>
              <w:t>评价要点：</w:t>
            </w:r>
          </w:p>
          <w:p w14:paraId="37C10DBE">
            <w:pPr>
              <w:widowControl/>
              <w:spacing w:line="240" w:lineRule="exact"/>
              <w:jc w:val="left"/>
              <w:rPr>
                <w:szCs w:val="21"/>
              </w:rPr>
            </w:pPr>
            <w:r>
              <w:rPr>
                <w:rFonts w:ascii="仿宋_GB2312" w:hAnsi="新宋体" w:eastAsia="仿宋_GB2312" w:cs="仿宋_GB2312"/>
                <w:kern w:val="0"/>
                <w:szCs w:val="21"/>
              </w:rPr>
              <w:t>1.活动目标的设定是可量化的，可通过清晰、可衡量的关键指标值予以体现；</w:t>
            </w:r>
          </w:p>
          <w:p w14:paraId="351925BB">
            <w:pPr>
              <w:widowControl/>
              <w:spacing w:line="240" w:lineRule="exact"/>
              <w:jc w:val="left"/>
              <w:rPr>
                <w:szCs w:val="21"/>
              </w:rPr>
            </w:pPr>
            <w:r>
              <w:rPr>
                <w:rFonts w:ascii="仿宋_GB2312" w:hAnsi="新宋体" w:eastAsia="仿宋_GB2312" w:cs="仿宋_GB2312"/>
                <w:kern w:val="0"/>
                <w:szCs w:val="21"/>
              </w:rPr>
              <w:t>2.在活动目标设定时，将关键指标明细分解为具体的达成目标与工作任务。</w:t>
            </w:r>
          </w:p>
        </w:tc>
        <w:tc>
          <w:tcPr>
            <w:tcW w:w="2552" w:type="dxa"/>
            <w:tcBorders>
              <w:top w:val="single" w:color="000000" w:sz="4" w:space="0"/>
              <w:left w:val="single" w:color="auto" w:sz="4" w:space="0"/>
              <w:bottom w:val="single" w:color="auto" w:sz="4" w:space="0"/>
              <w:right w:val="single" w:color="auto" w:sz="4" w:space="0"/>
            </w:tcBorders>
            <w:vAlign w:val="center"/>
          </w:tcPr>
          <w:p w14:paraId="1CCF1384">
            <w:pPr>
              <w:widowControl/>
              <w:spacing w:line="240" w:lineRule="exact"/>
              <w:jc w:val="left"/>
              <w:rPr>
                <w:szCs w:val="21"/>
              </w:rPr>
            </w:pPr>
            <w:r>
              <w:rPr>
                <w:rFonts w:ascii="仿宋_GB2312" w:hAnsi="新宋体" w:eastAsia="仿宋_GB2312" w:cs="仿宋_GB2312"/>
                <w:kern w:val="0"/>
                <w:szCs w:val="21"/>
              </w:rPr>
              <w:t>全部符合（2）；</w:t>
            </w:r>
          </w:p>
          <w:p w14:paraId="394656DB">
            <w:pPr>
              <w:widowControl/>
              <w:spacing w:line="240" w:lineRule="exact"/>
              <w:jc w:val="left"/>
              <w:rPr>
                <w:szCs w:val="21"/>
              </w:rPr>
            </w:pPr>
            <w:r>
              <w:rPr>
                <w:rFonts w:ascii="仿宋_GB2312" w:hAnsi="新宋体" w:eastAsia="仿宋_GB2312" w:cs="仿宋_GB2312"/>
                <w:kern w:val="0"/>
                <w:szCs w:val="21"/>
              </w:rPr>
              <w:t>其中一项不符合（0）。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35CD71EB">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5507E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1"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24CA532">
            <w:pPr>
              <w:spacing w:line="240" w:lineRule="exact"/>
              <w:rPr>
                <w:rFonts w:ascii="宋体"/>
                <w:szCs w:val="21"/>
              </w:rPr>
            </w:pPr>
          </w:p>
        </w:tc>
        <w:tc>
          <w:tcPr>
            <w:tcW w:w="851" w:type="dxa"/>
            <w:vMerge w:val="restart"/>
            <w:tcBorders>
              <w:top w:val="single" w:color="000000" w:sz="4" w:space="0"/>
              <w:left w:val="single" w:color="000000" w:sz="4" w:space="0"/>
              <w:right w:val="single" w:color="000000" w:sz="4" w:space="0"/>
            </w:tcBorders>
            <w:vAlign w:val="center"/>
          </w:tcPr>
          <w:p w14:paraId="5D3D13A1">
            <w:pPr>
              <w:widowControl/>
              <w:spacing w:line="240" w:lineRule="exact"/>
              <w:jc w:val="left"/>
              <w:rPr>
                <w:szCs w:val="21"/>
              </w:rPr>
            </w:pPr>
            <w:r>
              <w:rPr>
                <w:rFonts w:ascii="仿宋_GB2312" w:hAnsi="新宋体" w:eastAsia="仿宋_GB2312" w:cs="仿宋_GB2312"/>
                <w:kern w:val="0"/>
                <w:szCs w:val="21"/>
              </w:rPr>
              <w:t>预算配置</w:t>
            </w:r>
            <w:r>
              <w:rPr>
                <w:rFonts w:hint="eastAsia" w:ascii="仿宋_GB2312" w:hAnsi="新宋体" w:eastAsia="仿宋_GB2312" w:cs="仿宋_GB2312"/>
                <w:kern w:val="0"/>
                <w:szCs w:val="21"/>
              </w:rPr>
              <w:t>情况</w:t>
            </w:r>
            <w:r>
              <w:rPr>
                <w:rFonts w:hint="eastAsia" w:ascii="仿宋_GB2312" w:hAnsi="新宋体" w:eastAsia="仿宋_GB2312" w:cs="仿宋_GB2312"/>
                <w:kern w:val="0"/>
                <w:szCs w:val="21"/>
                <w:lang w:eastAsia="zh-CN"/>
              </w:rPr>
              <w:t>（</w:t>
            </w:r>
            <w:r>
              <w:rPr>
                <w:rFonts w:hint="eastAsia" w:ascii="仿宋_GB2312" w:hAnsi="新宋体" w:eastAsia="仿宋_GB2312" w:cs="仿宋_GB2312"/>
                <w:kern w:val="0"/>
                <w:szCs w:val="21"/>
              </w:rPr>
              <w:t>5分</w:t>
            </w:r>
            <w:r>
              <w:rPr>
                <w:rFonts w:hint="eastAsia" w:ascii="仿宋_GB2312" w:hAnsi="新宋体" w:eastAsia="仿宋_GB2312" w:cs="仿宋_GB2312"/>
                <w:kern w:val="0"/>
                <w:szCs w:val="21"/>
                <w:lang w:eastAsia="zh-CN"/>
              </w:rPr>
              <w:t>）</w:t>
            </w:r>
          </w:p>
        </w:tc>
        <w:tc>
          <w:tcPr>
            <w:tcW w:w="1559" w:type="dxa"/>
            <w:tcBorders>
              <w:top w:val="single" w:color="auto" w:sz="4" w:space="0"/>
              <w:left w:val="single" w:color="000000" w:sz="4" w:space="0"/>
              <w:right w:val="single" w:color="auto" w:sz="4" w:space="0"/>
            </w:tcBorders>
            <w:vAlign w:val="center"/>
          </w:tcPr>
          <w:p w14:paraId="7BEFB29F">
            <w:pPr>
              <w:widowControl/>
              <w:spacing w:line="240" w:lineRule="exact"/>
              <w:jc w:val="left"/>
              <w:rPr>
                <w:szCs w:val="21"/>
              </w:rPr>
            </w:pPr>
            <w:r>
              <w:rPr>
                <w:rFonts w:ascii="仿宋_GB2312" w:hAnsi="新宋体" w:eastAsia="仿宋_GB2312" w:cs="仿宋_GB2312"/>
                <w:kern w:val="0"/>
                <w:szCs w:val="21"/>
              </w:rPr>
              <w:t>在职人员控制率（</w:t>
            </w:r>
            <w:r>
              <w:rPr>
                <w:rFonts w:hint="eastAsia" w:ascii="仿宋_GB2312" w:hAnsi="新宋体" w:eastAsia="仿宋_GB2312" w:cs="仿宋_GB2312"/>
                <w:kern w:val="0"/>
                <w:szCs w:val="21"/>
              </w:rPr>
              <w:t>1分</w:t>
            </w:r>
            <w:r>
              <w:rPr>
                <w:rFonts w:ascii="仿宋_GB2312" w:hAnsi="新宋体" w:eastAsia="仿宋_GB2312" w:cs="仿宋_GB2312"/>
                <w:kern w:val="0"/>
                <w:szCs w:val="21"/>
              </w:rPr>
              <w:t>）</w:t>
            </w:r>
          </w:p>
        </w:tc>
        <w:tc>
          <w:tcPr>
            <w:tcW w:w="3260" w:type="dxa"/>
            <w:tcBorders>
              <w:top w:val="single" w:color="auto" w:sz="4" w:space="0"/>
              <w:left w:val="single" w:color="auto" w:sz="4" w:space="0"/>
              <w:right w:val="single" w:color="auto" w:sz="4" w:space="0"/>
            </w:tcBorders>
            <w:vAlign w:val="center"/>
          </w:tcPr>
          <w:p w14:paraId="40BED25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部门本年度实际在职人员数与编制数的比率，用以反映和评价部门对人员成本的控制程度。</w:t>
            </w:r>
          </w:p>
          <w:p w14:paraId="21AA3240">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在职人员控制率=（在职人员数/编制数）×100%。</w:t>
            </w:r>
          </w:p>
          <w:p w14:paraId="77E5DC4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在职人员数：部门实际在职人数，以财政部确定的部门决算编制口径为准，由编制部门和人劳部门批复同意的临聘人员除外。</w:t>
            </w:r>
          </w:p>
          <w:p w14:paraId="22F525F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编制数：机构编制部门核定批复的部门人员编制数。</w:t>
            </w:r>
          </w:p>
        </w:tc>
        <w:tc>
          <w:tcPr>
            <w:tcW w:w="2552" w:type="dxa"/>
            <w:tcBorders>
              <w:top w:val="single" w:color="auto" w:sz="4" w:space="0"/>
              <w:left w:val="single" w:color="auto" w:sz="4" w:space="0"/>
              <w:right w:val="single" w:color="auto" w:sz="4" w:space="0"/>
            </w:tcBorders>
            <w:vAlign w:val="center"/>
          </w:tcPr>
          <w:p w14:paraId="1DA4146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1.在职人员控制率小于或等于100%的，得满分；</w:t>
            </w:r>
          </w:p>
          <w:p w14:paraId="3EB343F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2.在职人员控制率大于或等于115%的，得0分；</w:t>
            </w:r>
          </w:p>
          <w:p w14:paraId="4954860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3.在职人员控制率在</w:t>
            </w:r>
            <w:r>
              <w:rPr>
                <w:rFonts w:hint="eastAsia" w:ascii="仿宋_GB2312" w:hAnsi="新宋体" w:eastAsia="仿宋_GB2312" w:cs="仿宋_GB2312"/>
                <w:kern w:val="0"/>
                <w:szCs w:val="21"/>
                <w:lang w:eastAsia="zh-CN"/>
              </w:rPr>
              <w:t>100%—115%</w:t>
            </w:r>
            <w:r>
              <w:rPr>
                <w:rFonts w:ascii="仿宋_GB2312" w:hAnsi="新宋体" w:eastAsia="仿宋_GB2312" w:cs="仿宋_GB2312"/>
                <w:kern w:val="0"/>
                <w:szCs w:val="21"/>
              </w:rPr>
              <w:t>之间的，在0分和满分之间计算确定：</w:t>
            </w:r>
          </w:p>
          <w:p w14:paraId="6608099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得分=[max（在职人员控制率）－某部门在职人员控制率]/[max（在职人员控制率）－min（在职人员控制率）]×该指标分值。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00557321">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4302A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restart"/>
            <w:tcBorders>
              <w:top w:val="single" w:color="000000" w:sz="4" w:space="0"/>
              <w:left w:val="single" w:color="000000" w:sz="4" w:space="0"/>
              <w:right w:val="single" w:color="000000" w:sz="4" w:space="0"/>
            </w:tcBorders>
            <w:vAlign w:val="center"/>
          </w:tcPr>
          <w:p w14:paraId="624EA70A">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0D8C1EAA">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0E107CEC">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变动率（2分）</w:t>
            </w:r>
          </w:p>
        </w:tc>
        <w:tc>
          <w:tcPr>
            <w:tcW w:w="3260" w:type="dxa"/>
            <w:tcBorders>
              <w:top w:val="single" w:color="auto" w:sz="4" w:space="0"/>
              <w:left w:val="single" w:color="auto" w:sz="4" w:space="0"/>
              <w:right w:val="single" w:color="auto" w:sz="4" w:space="0"/>
            </w:tcBorders>
            <w:vAlign w:val="center"/>
          </w:tcPr>
          <w:p w14:paraId="10682D8A">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w:t>
            </w:r>
            <w:r>
              <w:rPr>
                <w:rFonts w:hint="eastAsia" w:ascii="仿宋" w:hAnsi="仿宋" w:eastAsia="仿宋" w:cs="仿宋"/>
                <w:color w:val="000000"/>
                <w:kern w:val="0"/>
                <w:szCs w:val="21"/>
                <w:lang w:eastAsia="zh-CN"/>
              </w:rPr>
              <w:t>“三公”经费预算</w:t>
            </w:r>
            <w:r>
              <w:rPr>
                <w:rFonts w:hint="eastAsia" w:ascii="仿宋" w:hAnsi="仿宋" w:eastAsia="仿宋" w:cs="仿宋"/>
                <w:color w:val="000000"/>
                <w:kern w:val="0"/>
                <w:szCs w:val="21"/>
              </w:rPr>
              <w:t>数与上年度</w:t>
            </w:r>
            <w:r>
              <w:rPr>
                <w:rFonts w:hint="eastAsia" w:ascii="仿宋" w:hAnsi="仿宋" w:eastAsia="仿宋" w:cs="仿宋"/>
                <w:color w:val="000000"/>
                <w:kern w:val="0"/>
                <w:szCs w:val="21"/>
                <w:lang w:eastAsia="zh-CN"/>
              </w:rPr>
              <w:t>“三公”经费预算</w:t>
            </w:r>
            <w:r>
              <w:rPr>
                <w:rFonts w:hint="eastAsia" w:ascii="仿宋" w:hAnsi="仿宋" w:eastAsia="仿宋" w:cs="仿宋"/>
                <w:color w:val="000000"/>
                <w:kern w:val="0"/>
                <w:szCs w:val="21"/>
              </w:rPr>
              <w:t>数的变动比率，用以反映和考核部门对控制重点行政成本的努力程度。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变动率=[（本年度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总额-上年度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总额）/上年度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：年度预算安排的因公出国（境）费、公务车辆购置及运行费和公务招待费。</w:t>
            </w:r>
          </w:p>
        </w:tc>
        <w:tc>
          <w:tcPr>
            <w:tcW w:w="2552" w:type="dxa"/>
            <w:tcBorders>
              <w:top w:val="single" w:color="auto" w:sz="4" w:space="0"/>
              <w:left w:val="single" w:color="auto" w:sz="4" w:space="0"/>
              <w:right w:val="single" w:color="auto" w:sz="4" w:space="0"/>
            </w:tcBorders>
            <w:vAlign w:val="center"/>
          </w:tcPr>
          <w:p w14:paraId="385AE9B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_GB2312" w:hAnsi="新宋体" w:eastAsia="仿宋_GB2312" w:cs="仿宋_GB2312"/>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小于或等于</w:t>
            </w:r>
            <w:r>
              <w:rPr>
                <w:rFonts w:hint="eastAsia" w:ascii="仿宋_GB2312" w:hAnsi="新宋体" w:eastAsia="仿宋_GB2312" w:cs="仿宋_GB2312"/>
                <w:kern w:val="0"/>
                <w:szCs w:val="21"/>
              </w:rPr>
              <w:t>-5</w:t>
            </w:r>
            <w:r>
              <w:rPr>
                <w:rFonts w:ascii="仿宋_GB2312" w:hAnsi="新宋体" w:eastAsia="仿宋_GB2312" w:cs="仿宋_GB2312"/>
                <w:kern w:val="0"/>
                <w:szCs w:val="21"/>
              </w:rPr>
              <w:t>%的，得满分；</w:t>
            </w:r>
          </w:p>
          <w:p w14:paraId="2196899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大于或等于1</w:t>
            </w:r>
            <w:r>
              <w:rPr>
                <w:rFonts w:hint="eastAsia" w:ascii="仿宋_GB2312" w:hAnsi="新宋体" w:eastAsia="仿宋_GB2312" w:cs="仿宋_GB2312"/>
                <w:kern w:val="0"/>
                <w:szCs w:val="21"/>
              </w:rPr>
              <w:t>0</w:t>
            </w:r>
            <w:r>
              <w:rPr>
                <w:rFonts w:ascii="仿宋_GB2312" w:hAnsi="新宋体" w:eastAsia="仿宋_GB2312" w:cs="仿宋_GB2312"/>
                <w:kern w:val="0"/>
                <w:szCs w:val="21"/>
              </w:rPr>
              <w:t>%的，得0分；</w:t>
            </w:r>
          </w:p>
          <w:p w14:paraId="79AA908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3.在职人员控制率在</w:t>
            </w:r>
            <w:r>
              <w:rPr>
                <w:rFonts w:hint="eastAsia" w:ascii="仿宋_GB2312" w:hAnsi="新宋体" w:eastAsia="仿宋_GB2312" w:cs="仿宋_GB2312"/>
                <w:kern w:val="0"/>
                <w:szCs w:val="21"/>
              </w:rPr>
              <w:t>-</w:t>
            </w:r>
            <w:r>
              <w:rPr>
                <w:rFonts w:hint="eastAsia" w:ascii="仿宋_GB2312" w:hAnsi="新宋体" w:eastAsia="仿宋_GB2312" w:cs="仿宋_GB2312"/>
                <w:kern w:val="0"/>
                <w:szCs w:val="21"/>
                <w:lang w:eastAsia="zh-CN"/>
              </w:rPr>
              <w:t>5%—10%</w:t>
            </w:r>
            <w:r>
              <w:rPr>
                <w:rFonts w:ascii="仿宋_GB2312" w:hAnsi="新宋体" w:eastAsia="仿宋_GB2312" w:cs="仿宋_GB2312"/>
                <w:kern w:val="0"/>
                <w:szCs w:val="21"/>
              </w:rPr>
              <w:t>之间的，在0分和满分之间计算确定：</w:t>
            </w:r>
          </w:p>
          <w:p w14:paraId="528E5473">
            <w:pPr>
              <w:widowControl/>
              <w:spacing w:line="240" w:lineRule="exact"/>
              <w:jc w:val="left"/>
              <w:textAlignment w:val="center"/>
              <w:rPr>
                <w:rFonts w:ascii="仿宋" w:hAnsi="仿宋" w:eastAsia="仿宋" w:cs="仿宋"/>
                <w:kern w:val="0"/>
                <w:szCs w:val="21"/>
              </w:rPr>
            </w:pPr>
            <w:r>
              <w:rPr>
                <w:rFonts w:ascii="仿宋_GB2312" w:hAnsi="新宋体" w:eastAsia="仿宋_GB2312" w:cs="仿宋_GB2312"/>
                <w:kern w:val="0"/>
                <w:szCs w:val="21"/>
              </w:rPr>
              <w:t>得分=[max（</w:t>
            </w:r>
            <w:r>
              <w:rPr>
                <w:rFonts w:hint="eastAsia" w:ascii="仿宋" w:hAnsi="仿宋" w:eastAsia="仿宋" w:cs="仿宋"/>
                <w:color w:val="000000"/>
                <w:kern w:val="0"/>
                <w:szCs w:val="21"/>
              </w:rPr>
              <w:t>“三公经费”变动率</w:t>
            </w:r>
            <w:r>
              <w:rPr>
                <w:rFonts w:ascii="仿宋_GB2312" w:hAnsi="新宋体" w:eastAsia="仿宋_GB2312" w:cs="仿宋_GB2312"/>
                <w:kern w:val="0"/>
                <w:szCs w:val="21"/>
              </w:rPr>
              <w:t>）－</w:t>
            </w:r>
            <w:r>
              <w:rPr>
                <w:rFonts w:hint="eastAsia" w:ascii="仿宋" w:hAnsi="仿宋" w:eastAsia="仿宋" w:cs="仿宋"/>
                <w:color w:val="000000"/>
                <w:kern w:val="0"/>
                <w:szCs w:val="21"/>
              </w:rPr>
              <w:t>“三公经费”变动率</w:t>
            </w:r>
            <w:r>
              <w:rPr>
                <w:rFonts w:ascii="仿宋_GB2312" w:hAnsi="新宋体" w:eastAsia="仿宋_GB2312" w:cs="仿宋_GB2312"/>
                <w:kern w:val="0"/>
                <w:szCs w:val="21"/>
              </w:rPr>
              <w:t>]/[max（</w:t>
            </w:r>
            <w:r>
              <w:rPr>
                <w:rFonts w:hint="eastAsia" w:ascii="仿宋" w:hAnsi="仿宋" w:eastAsia="仿宋" w:cs="仿宋"/>
                <w:color w:val="000000"/>
                <w:kern w:val="0"/>
                <w:szCs w:val="21"/>
              </w:rPr>
              <w:t>“三公经费”变动率</w:t>
            </w:r>
            <w:r>
              <w:rPr>
                <w:rFonts w:ascii="仿宋_GB2312" w:hAnsi="新宋体" w:eastAsia="仿宋_GB2312" w:cs="仿宋_GB2312"/>
                <w:kern w:val="0"/>
                <w:szCs w:val="21"/>
              </w:rPr>
              <w:t>）－min（</w:t>
            </w:r>
            <w:r>
              <w:rPr>
                <w:rFonts w:hint="eastAsia" w:ascii="仿宋" w:hAnsi="仿宋" w:eastAsia="仿宋" w:cs="仿宋"/>
                <w:color w:val="000000"/>
                <w:kern w:val="0"/>
                <w:szCs w:val="21"/>
              </w:rPr>
              <w:t>“三公经费”变动率</w:t>
            </w:r>
            <w:r>
              <w:rPr>
                <w:rFonts w:ascii="仿宋_GB2312" w:hAnsi="新宋体" w:eastAsia="仿宋_GB2312" w:cs="仿宋_GB2312"/>
                <w:kern w:val="0"/>
                <w:szCs w:val="21"/>
              </w:rPr>
              <w:t>）]×该指标分值。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2E85067C">
            <w:pPr>
              <w:widowControl/>
              <w:spacing w:line="240" w:lineRule="exact"/>
              <w:jc w:val="left"/>
              <w:rPr>
                <w:rFonts w:hint="default" w:eastAsiaTheme="minorEastAsia"/>
                <w:szCs w:val="21"/>
                <w:lang w:val="en-US" w:eastAsia="zh-CN"/>
              </w:rPr>
            </w:pPr>
            <w:r>
              <w:rPr>
                <w:rFonts w:hint="eastAsia"/>
                <w:szCs w:val="21"/>
                <w:lang w:val="en-US" w:eastAsia="zh-CN"/>
              </w:rPr>
              <w:t>2</w:t>
            </w:r>
          </w:p>
        </w:tc>
      </w:tr>
      <w:tr w14:paraId="07E40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tcBorders>
              <w:left w:val="single" w:color="000000" w:sz="4" w:space="0"/>
              <w:bottom w:val="single" w:color="000000" w:sz="4" w:space="0"/>
              <w:right w:val="single" w:color="000000" w:sz="4" w:space="0"/>
            </w:tcBorders>
            <w:vAlign w:val="center"/>
          </w:tcPr>
          <w:p w14:paraId="06ECA739">
            <w:pPr>
              <w:spacing w:line="240" w:lineRule="exact"/>
              <w:rPr>
                <w:rFonts w:ascii="宋体"/>
                <w:szCs w:val="21"/>
              </w:rPr>
            </w:pPr>
          </w:p>
        </w:tc>
        <w:tc>
          <w:tcPr>
            <w:tcW w:w="851" w:type="dxa"/>
            <w:vMerge w:val="continue"/>
            <w:tcBorders>
              <w:left w:val="single" w:color="000000" w:sz="4" w:space="0"/>
              <w:bottom w:val="single" w:color="000000" w:sz="4" w:space="0"/>
              <w:right w:val="single" w:color="000000" w:sz="4" w:space="0"/>
            </w:tcBorders>
            <w:vAlign w:val="center"/>
          </w:tcPr>
          <w:p w14:paraId="568C16DD">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5BD9786E">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重点支出安排率（2分）</w:t>
            </w:r>
          </w:p>
        </w:tc>
        <w:tc>
          <w:tcPr>
            <w:tcW w:w="3260" w:type="dxa"/>
            <w:tcBorders>
              <w:top w:val="single" w:color="auto" w:sz="4" w:space="0"/>
              <w:left w:val="single" w:color="auto" w:sz="4" w:space="0"/>
              <w:right w:val="single" w:color="auto" w:sz="4" w:space="0"/>
            </w:tcBorders>
            <w:vAlign w:val="center"/>
          </w:tcPr>
          <w:p w14:paraId="17D9F992">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部门本年度预算安排的重点项目支出与部门项目总支出的比率，用以反映和考核部门对履行主要职责或完成重点任务的保障程度。重点支出安排率=（重点项目支出/项目总支出）×100%。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重点项目支出：部门（单位）年度预算安排的，与本部门履职和发展密切相关、具有明显社会和经济影响、</w:t>
            </w:r>
            <w:r>
              <w:rPr>
                <w:rFonts w:hint="eastAsia" w:ascii="仿宋" w:hAnsi="仿宋" w:eastAsia="仿宋" w:cs="仿宋"/>
                <w:color w:val="000000"/>
                <w:kern w:val="0"/>
                <w:szCs w:val="21"/>
                <w:lang w:eastAsia="zh-CN"/>
              </w:rPr>
              <w:t>党委、政府</w:t>
            </w:r>
            <w:r>
              <w:rPr>
                <w:rFonts w:hint="eastAsia" w:ascii="仿宋" w:hAnsi="仿宋" w:eastAsia="仿宋" w:cs="仿宋"/>
                <w:color w:val="000000"/>
                <w:kern w:val="0"/>
                <w:szCs w:val="21"/>
              </w:rPr>
              <w:t>关心或社会比较关注的项目支出总额。</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项目总支出：部门（单位）年度预算安排的项目支出总额。</w:t>
            </w:r>
          </w:p>
        </w:tc>
        <w:tc>
          <w:tcPr>
            <w:tcW w:w="2552" w:type="dxa"/>
            <w:tcBorders>
              <w:top w:val="single" w:color="auto" w:sz="4" w:space="0"/>
              <w:left w:val="single" w:color="auto" w:sz="4" w:space="0"/>
              <w:right w:val="single" w:color="auto" w:sz="4" w:space="0"/>
            </w:tcBorders>
            <w:vAlign w:val="center"/>
          </w:tcPr>
          <w:p w14:paraId="052B484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大于或等于95%的，得满分；</w:t>
            </w:r>
          </w:p>
          <w:p w14:paraId="425ED69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小于或等于85%的，得0分；</w:t>
            </w:r>
          </w:p>
          <w:p w14:paraId="575B0B3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在</w:t>
            </w:r>
            <w:r>
              <w:rPr>
                <w:rFonts w:hint="eastAsia" w:ascii="仿宋_GB2312" w:hAnsi="新宋体" w:eastAsia="仿宋_GB2312" w:cs="仿宋_GB2312"/>
                <w:kern w:val="0"/>
                <w:szCs w:val="21"/>
                <w:lang w:eastAsia="zh-CN"/>
              </w:rPr>
              <w:t>85%—95%</w:t>
            </w:r>
            <w:r>
              <w:rPr>
                <w:rFonts w:ascii="仿宋_GB2312" w:hAnsi="新宋体" w:eastAsia="仿宋_GB2312" w:cs="仿宋_GB2312"/>
                <w:kern w:val="0"/>
                <w:szCs w:val="21"/>
              </w:rPr>
              <w:t>之间的，在0分和满分之间计算确定：</w:t>
            </w:r>
          </w:p>
          <w:p w14:paraId="28BC2AA2">
            <w:pPr>
              <w:widowControl/>
              <w:spacing w:line="240" w:lineRule="exact"/>
              <w:jc w:val="left"/>
              <w:textAlignment w:val="center"/>
              <w:rPr>
                <w:rFonts w:ascii="仿宋" w:hAnsi="仿宋" w:eastAsia="仿宋" w:cs="仿宋"/>
                <w:kern w:val="0"/>
                <w:szCs w:val="21"/>
              </w:rPr>
            </w:pPr>
            <w:r>
              <w:rPr>
                <w:rFonts w:ascii="仿宋_GB2312" w:hAnsi="新宋体" w:eastAsia="仿宋_GB2312" w:cs="仿宋_GB2312"/>
                <w:kern w:val="0"/>
                <w:szCs w:val="21"/>
              </w:rPr>
              <w:t>得分=[某部门</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-min（</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）]/[max（</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）－min（</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2554489D">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0BA3A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6BA709D2">
            <w:pPr>
              <w:widowControl/>
              <w:spacing w:line="240" w:lineRule="exact"/>
              <w:jc w:val="left"/>
              <w:rPr>
                <w:szCs w:val="21"/>
              </w:rPr>
            </w:pPr>
            <w:r>
              <w:rPr>
                <w:rFonts w:ascii="仿宋_GB2312" w:hAnsi="新宋体" w:eastAsia="仿宋_GB2312" w:cs="仿宋_GB2312"/>
                <w:kern w:val="0"/>
                <w:szCs w:val="21"/>
              </w:rPr>
              <w:t>过程</w:t>
            </w:r>
            <w:r>
              <w:rPr>
                <w:rFonts w:hint="eastAsia" w:ascii="仿宋_GB2312" w:hAnsi="新宋体" w:eastAsia="仿宋_GB2312" w:cs="仿宋_GB2312"/>
                <w:kern w:val="0"/>
                <w:szCs w:val="21"/>
                <w:lang w:eastAsia="zh-CN"/>
              </w:rPr>
              <w:t>（</w:t>
            </w:r>
            <w:r>
              <w:rPr>
                <w:rFonts w:hint="eastAsia" w:ascii="仿宋_GB2312" w:hAnsi="新宋体" w:eastAsia="仿宋_GB2312" w:cs="仿宋_GB2312"/>
                <w:kern w:val="0"/>
                <w:szCs w:val="21"/>
              </w:rPr>
              <w:t>45分</w:t>
            </w:r>
            <w:r>
              <w:rPr>
                <w:rFonts w:hint="eastAsia" w:ascii="仿宋_GB2312" w:hAnsi="新宋体" w:eastAsia="仿宋_GB2312" w:cs="仿宋_GB2312"/>
                <w:kern w:val="0"/>
                <w:szCs w:val="21"/>
                <w:lang w:eastAsia="zh-CN"/>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4FD707D7">
            <w:pPr>
              <w:widowControl/>
              <w:spacing w:line="240" w:lineRule="exact"/>
              <w:jc w:val="left"/>
              <w:rPr>
                <w:szCs w:val="21"/>
              </w:rPr>
            </w:pPr>
            <w:r>
              <w:rPr>
                <w:rFonts w:ascii="仿宋_GB2312" w:hAnsi="新宋体" w:eastAsia="仿宋_GB2312" w:cs="仿宋_GB2312"/>
                <w:kern w:val="0"/>
                <w:szCs w:val="21"/>
              </w:rPr>
              <w:t>预算执行</w:t>
            </w:r>
            <w:r>
              <w:rPr>
                <w:rFonts w:hint="eastAsia" w:ascii="仿宋_GB2312" w:hAnsi="新宋体" w:eastAsia="仿宋_GB2312" w:cs="仿宋_GB2312"/>
                <w:kern w:val="0"/>
                <w:szCs w:val="21"/>
              </w:rPr>
              <w:t>情况</w:t>
            </w:r>
            <w:r>
              <w:rPr>
                <w:rFonts w:hint="eastAsia" w:ascii="仿宋_GB2312" w:hAnsi="新宋体" w:eastAsia="仿宋_GB2312" w:cs="仿宋_GB2312"/>
                <w:kern w:val="0"/>
                <w:szCs w:val="21"/>
                <w:lang w:eastAsia="zh-CN"/>
              </w:rPr>
              <w:t>（</w:t>
            </w:r>
            <w:r>
              <w:rPr>
                <w:rFonts w:hint="eastAsia" w:ascii="仿宋_GB2312" w:hAnsi="新宋体" w:eastAsia="仿宋_GB2312" w:cs="仿宋_GB2312"/>
                <w:kern w:val="0"/>
                <w:szCs w:val="21"/>
              </w:rPr>
              <w:t>25分</w:t>
            </w:r>
            <w:r>
              <w:rPr>
                <w:rFonts w:hint="eastAsia" w:ascii="仿宋_GB2312" w:hAnsi="新宋体" w:eastAsia="仿宋_GB2312" w:cs="仿宋_GB2312"/>
                <w:kern w:val="0"/>
                <w:szCs w:val="21"/>
                <w:lang w:eastAsia="zh-CN"/>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46A99AE8">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预算完成率</w:t>
            </w:r>
          </w:p>
          <w:p w14:paraId="17CA3182">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E066B8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通过对部门本年度预算完成数与预算数的比较，反映和评价部门预算的完成程度。</w:t>
            </w:r>
          </w:p>
          <w:p w14:paraId="2BB4913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预算完成率=（预算完成数/预算数）×100%。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6BE137C0">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1.预算完成率大于或等于95%的，得满分；</w:t>
            </w:r>
          </w:p>
          <w:p w14:paraId="0B6F67A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2.预算完成率小于或等于85%的，得0分；</w:t>
            </w:r>
          </w:p>
          <w:p w14:paraId="6056D926">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3.预算完成率在</w:t>
            </w:r>
            <w:r>
              <w:rPr>
                <w:rFonts w:hint="eastAsia" w:ascii="仿宋_GB2312" w:hAnsi="新宋体" w:eastAsia="仿宋_GB2312" w:cs="仿宋_GB2312"/>
                <w:kern w:val="0"/>
                <w:szCs w:val="21"/>
                <w:lang w:eastAsia="zh-CN"/>
              </w:rPr>
              <w:t>85%—95%</w:t>
            </w:r>
            <w:r>
              <w:rPr>
                <w:rFonts w:ascii="仿宋_GB2312" w:hAnsi="新宋体" w:eastAsia="仿宋_GB2312" w:cs="仿宋_GB2312"/>
                <w:kern w:val="0"/>
                <w:szCs w:val="21"/>
              </w:rPr>
              <w:t>之间的，在0分和满分之间计算确定：</w:t>
            </w:r>
          </w:p>
          <w:p w14:paraId="0F6A2B4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得分=[某部门预算完成率-min（预算完成率）]/[max（预算完成率）－min（预算完成率）]×该指标分值。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3F4E3D59">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00538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B85BDA9">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62B8E160">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AF73D4C">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预算调整率</w:t>
            </w:r>
          </w:p>
          <w:p w14:paraId="241F6934">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E11868D">
            <w:pPr>
              <w:widowControl/>
              <w:spacing w:line="240" w:lineRule="exact"/>
              <w:jc w:val="left"/>
              <w:rPr>
                <w:szCs w:val="21"/>
              </w:rPr>
            </w:pPr>
            <w:r>
              <w:rPr>
                <w:rFonts w:ascii="仿宋_GB2312" w:hAnsi="新宋体" w:eastAsia="仿宋_GB2312" w:cs="仿宋_GB2312"/>
                <w:kern w:val="0"/>
                <w:szCs w:val="21"/>
              </w:rPr>
              <w:t>部门本年度预算调整数与预算数的比率，用以反映和评价部门预算的调整程度。</w:t>
            </w:r>
          </w:p>
          <w:p w14:paraId="54ADCEBE">
            <w:pPr>
              <w:widowControl/>
              <w:spacing w:line="240" w:lineRule="exact"/>
              <w:jc w:val="left"/>
              <w:rPr>
                <w:szCs w:val="21"/>
              </w:rPr>
            </w:pPr>
            <w:r>
              <w:rPr>
                <w:rFonts w:ascii="仿宋_GB2312" w:hAnsi="新宋体" w:eastAsia="仿宋_GB2312" w:cs="仿宋_GB2312"/>
                <w:kern w:val="0"/>
                <w:szCs w:val="21"/>
              </w:rPr>
              <w:t>预算调整率=（预算调整数/预算数）×100%。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29FBE3C3">
            <w:pPr>
              <w:widowControl/>
              <w:spacing w:line="240" w:lineRule="exact"/>
              <w:jc w:val="left"/>
              <w:rPr>
                <w:rFonts w:hint="eastAsia" w:eastAsia="仿宋_GB2312"/>
                <w:szCs w:val="21"/>
                <w:lang w:eastAsia="zh-CN"/>
              </w:rPr>
            </w:pPr>
            <w:r>
              <w:rPr>
                <w:rFonts w:ascii="仿宋_GB2312" w:hAnsi="新宋体" w:eastAsia="仿宋_GB2312" w:cs="仿宋_GB2312"/>
                <w:kern w:val="0"/>
                <w:szCs w:val="21"/>
              </w:rPr>
              <w:t>1.预算调整率等于0的，得满分；</w:t>
            </w:r>
          </w:p>
          <w:p w14:paraId="06EA294D">
            <w:pPr>
              <w:widowControl/>
              <w:spacing w:line="240" w:lineRule="exact"/>
              <w:jc w:val="left"/>
              <w:rPr>
                <w:szCs w:val="21"/>
              </w:rPr>
            </w:pPr>
            <w:r>
              <w:rPr>
                <w:rFonts w:ascii="仿宋_GB2312" w:hAnsi="新宋体" w:eastAsia="仿宋_GB2312" w:cs="仿宋_GB2312"/>
                <w:kern w:val="0"/>
                <w:szCs w:val="21"/>
              </w:rPr>
              <w:t>2.预算调整率大于或等于10%的，得0分；</w:t>
            </w:r>
          </w:p>
          <w:p w14:paraId="0EE3B7C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3.预算调整率在</w:t>
            </w:r>
            <w:r>
              <w:rPr>
                <w:rFonts w:hint="eastAsia" w:ascii="仿宋_GB2312" w:hAnsi="新宋体" w:eastAsia="仿宋_GB2312" w:cs="仿宋_GB2312"/>
                <w:kern w:val="0"/>
                <w:szCs w:val="21"/>
                <w:lang w:eastAsia="zh-CN"/>
              </w:rPr>
              <w:t>0—10%</w:t>
            </w:r>
            <w:r>
              <w:rPr>
                <w:rFonts w:ascii="仿宋_GB2312" w:hAnsi="新宋体" w:eastAsia="仿宋_GB2312" w:cs="仿宋_GB2312"/>
                <w:kern w:val="0"/>
                <w:szCs w:val="21"/>
              </w:rPr>
              <w:t>之间的，在0分和满分之间确定：</w:t>
            </w:r>
          </w:p>
          <w:p w14:paraId="628A75D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得分=［max（预算调整率）-某部门预算调整率］/［max（预算调整率）-min（预算调整率）］×该指标分值。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61F4A05E">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2D2B5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2"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10C9A9C">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FDA9B51">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32F01A17">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支付进度率</w:t>
            </w:r>
          </w:p>
          <w:p w14:paraId="1943934B">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6F3AC3B">
            <w:pPr>
              <w:widowControl/>
              <w:spacing w:line="240" w:lineRule="exact"/>
              <w:jc w:val="left"/>
              <w:rPr>
                <w:szCs w:val="21"/>
              </w:rPr>
            </w:pPr>
            <w:r>
              <w:rPr>
                <w:rFonts w:ascii="仿宋_GB2312" w:hAnsi="新宋体" w:eastAsia="仿宋_GB2312" w:cs="仿宋_GB2312"/>
                <w:kern w:val="0"/>
                <w:szCs w:val="21"/>
              </w:rPr>
              <w:t>部门</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度支付数与</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度任务数的比率，用以反映和评价部门预算执行的及时和均衡程度。</w:t>
            </w:r>
          </w:p>
          <w:p w14:paraId="3539FFB9">
            <w:pPr>
              <w:widowControl/>
              <w:spacing w:line="240" w:lineRule="exact"/>
              <w:jc w:val="left"/>
              <w:rPr>
                <w:szCs w:val="21"/>
              </w:rPr>
            </w:pPr>
            <w:r>
              <w:rPr>
                <w:rFonts w:ascii="仿宋_GB2312" w:hAnsi="新宋体" w:eastAsia="仿宋_GB2312" w:cs="仿宋_GB2312"/>
                <w:kern w:val="0"/>
                <w:szCs w:val="21"/>
              </w:rPr>
              <w:t>支付进度率=（</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度任务数）×100%。</w:t>
            </w:r>
          </w:p>
        </w:tc>
        <w:tc>
          <w:tcPr>
            <w:tcW w:w="2552" w:type="dxa"/>
            <w:tcBorders>
              <w:top w:val="single" w:color="000000" w:sz="4" w:space="0"/>
              <w:left w:val="single" w:color="auto" w:sz="4" w:space="0"/>
              <w:bottom w:val="single" w:color="000000" w:sz="4" w:space="0"/>
              <w:right w:val="single" w:color="auto" w:sz="4" w:space="0"/>
            </w:tcBorders>
            <w:vAlign w:val="center"/>
          </w:tcPr>
          <w:p w14:paraId="36D86497">
            <w:pPr>
              <w:widowControl/>
              <w:spacing w:line="240" w:lineRule="exact"/>
              <w:jc w:val="left"/>
              <w:rPr>
                <w:szCs w:val="21"/>
              </w:rPr>
            </w:pPr>
            <w:r>
              <w:rPr>
                <w:rFonts w:ascii="仿宋_GB2312" w:hAnsi="新宋体" w:eastAsia="仿宋_GB2312" w:cs="仿宋_GB2312"/>
                <w:kern w:val="0"/>
                <w:szCs w:val="21"/>
              </w:rPr>
              <w:t>按</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度的执行情况进行打分</w:t>
            </w:r>
            <w:r>
              <w:rPr>
                <w:rFonts w:hint="eastAsia" w:ascii="仿宋_GB2312" w:hAnsi="新宋体" w:eastAsia="仿宋_GB2312" w:cs="仿宋_GB2312"/>
                <w:kern w:val="0"/>
                <w:szCs w:val="21"/>
              </w:rPr>
              <w:t>。</w:t>
            </w:r>
            <w:r>
              <w:rPr>
                <w:rFonts w:ascii="仿宋_GB2312" w:hAnsi="新宋体" w:eastAsia="仿宋_GB2312" w:cs="仿宋_GB2312"/>
                <w:kern w:val="0"/>
                <w:szCs w:val="21"/>
              </w:rPr>
              <w:t>得分=</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度任务数×该指标分值。</w:t>
            </w:r>
          </w:p>
          <w:p w14:paraId="046C7BAE">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46F93765">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2B0AB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C8B7BAC">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7475B44A">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0CF90E30">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结转</w:t>
            </w:r>
          </w:p>
          <w:p w14:paraId="12BBC93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结余率</w:t>
            </w:r>
          </w:p>
          <w:p w14:paraId="4F96976D">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8E89601">
            <w:pPr>
              <w:widowControl/>
              <w:spacing w:line="240" w:lineRule="exact"/>
              <w:jc w:val="left"/>
              <w:rPr>
                <w:szCs w:val="21"/>
              </w:rPr>
            </w:pPr>
            <w:r>
              <w:rPr>
                <w:rFonts w:ascii="仿宋_GB2312" w:hAnsi="新宋体" w:eastAsia="仿宋_GB2312" w:cs="仿宋_GB2312"/>
                <w:kern w:val="0"/>
                <w:szCs w:val="21"/>
              </w:rPr>
              <w:t>通过对部门本年度结转结余总额与支出预算数的比较，反映和评价部门对本年度结转结余资金的实际控制程度。</w:t>
            </w:r>
          </w:p>
          <w:p w14:paraId="6222915F">
            <w:pPr>
              <w:widowControl/>
              <w:spacing w:line="240" w:lineRule="exact"/>
              <w:jc w:val="left"/>
              <w:rPr>
                <w:szCs w:val="21"/>
              </w:rPr>
            </w:pPr>
            <w:r>
              <w:rPr>
                <w:rFonts w:ascii="仿宋_GB2312" w:hAnsi="新宋体" w:eastAsia="仿宋_GB2312" w:cs="仿宋_GB2312"/>
                <w:kern w:val="0"/>
                <w:szCs w:val="21"/>
              </w:rPr>
              <w:t>结转结余率=（结转结余总额/支出预算数）×100%。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2582458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1.结转结余率等于0的，得满分；</w:t>
            </w:r>
          </w:p>
          <w:p w14:paraId="6D51A18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2.结转结余率大于或等于50%的，得0分；</w:t>
            </w:r>
          </w:p>
          <w:p w14:paraId="7197AA3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3.结转结余率在</w:t>
            </w:r>
            <w:r>
              <w:rPr>
                <w:rFonts w:hint="eastAsia" w:ascii="仿宋_GB2312" w:hAnsi="新宋体" w:eastAsia="仿宋_GB2312" w:cs="仿宋_GB2312"/>
                <w:kern w:val="0"/>
                <w:szCs w:val="21"/>
                <w:lang w:eastAsia="zh-CN"/>
              </w:rPr>
              <w:t>0—50%</w:t>
            </w:r>
            <w:r>
              <w:rPr>
                <w:rFonts w:ascii="仿宋_GB2312" w:hAnsi="新宋体" w:eastAsia="仿宋_GB2312" w:cs="仿宋_GB2312"/>
                <w:kern w:val="0"/>
                <w:szCs w:val="21"/>
              </w:rPr>
              <w:t>之间的，在0和满分之间计算确定：</w:t>
            </w:r>
          </w:p>
          <w:p w14:paraId="32E0CB7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得分=[max（结转结余率）－某部门结转结余率]/[max（结转结余率）－min（结转结余率）]×该指标分值。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714361B7">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613E1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E269421">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6022F102">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6A9FA85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公用经费</w:t>
            </w:r>
          </w:p>
          <w:p w14:paraId="10F7A034">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控制率</w:t>
            </w:r>
          </w:p>
          <w:p w14:paraId="74878C01">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72136D3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通过对部门本年度实际支出的公用经费总额与预算安排的公用经费总额的比率，反映和评价部门对机构运转成本的实际控制程度。</w:t>
            </w:r>
          </w:p>
          <w:p w14:paraId="6FEF156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公用经费控制率=（实际支出公用经费总额/预算安排公用经费总额）×100%。</w:t>
            </w:r>
          </w:p>
        </w:tc>
        <w:tc>
          <w:tcPr>
            <w:tcW w:w="2552" w:type="dxa"/>
            <w:tcBorders>
              <w:top w:val="single" w:color="000000" w:sz="4" w:space="0"/>
              <w:left w:val="single" w:color="auto" w:sz="4" w:space="0"/>
              <w:bottom w:val="single" w:color="000000" w:sz="4" w:space="0"/>
              <w:right w:val="single" w:color="auto" w:sz="4" w:space="0"/>
            </w:tcBorders>
            <w:vAlign w:val="center"/>
          </w:tcPr>
          <w:p w14:paraId="7007EB4E">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1.公用经费控制率小于或等于100%的，得满分；</w:t>
            </w:r>
          </w:p>
          <w:p w14:paraId="653962A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2.公用经费控制率大于或等于105%的，得0分；</w:t>
            </w:r>
          </w:p>
          <w:p w14:paraId="06BDF3E6">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3.公用经费控制率在</w:t>
            </w:r>
            <w:r>
              <w:rPr>
                <w:rFonts w:hint="eastAsia" w:ascii="仿宋_GB2312" w:hAnsi="新宋体" w:eastAsia="仿宋_GB2312" w:cs="仿宋_GB2312"/>
                <w:kern w:val="0"/>
                <w:szCs w:val="21"/>
                <w:lang w:eastAsia="zh-CN"/>
              </w:rPr>
              <w:t>100%—105%</w:t>
            </w:r>
            <w:r>
              <w:rPr>
                <w:rFonts w:ascii="仿宋_GB2312" w:hAnsi="新宋体" w:eastAsia="仿宋_GB2312" w:cs="仿宋_GB2312"/>
                <w:kern w:val="0"/>
                <w:szCs w:val="21"/>
              </w:rPr>
              <w:t>之间的，在0和满分之间计算确定：</w:t>
            </w:r>
          </w:p>
          <w:p w14:paraId="05CEC84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得分=［max（公用经费控制率）-某部门公用经费控制率］/［max（公用经费控制率）-min（公用经费控制率）］×该指标分值。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201F8BB3">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2CCB7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C5C64D3">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630B67D6">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7F1BA1A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政府采购</w:t>
            </w:r>
          </w:p>
          <w:p w14:paraId="2979BB6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执行率</w:t>
            </w:r>
          </w:p>
          <w:p w14:paraId="4EC93398">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F15E83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通过对部门本年度实际政府采购预算项目个数与政府采购预算项目个数的比较，反映和评价部门政府采购预算执行情况。</w:t>
            </w:r>
          </w:p>
          <w:p w14:paraId="1F41E59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政府采购执行率=（实际政府采购预算项目个数/政府采购预算项目个数）×100%。</w:t>
            </w:r>
          </w:p>
          <w:p w14:paraId="05B0244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政府采购项目中非预算内安排的项目除外。</w:t>
            </w:r>
          </w:p>
        </w:tc>
        <w:tc>
          <w:tcPr>
            <w:tcW w:w="2552" w:type="dxa"/>
            <w:tcBorders>
              <w:top w:val="single" w:color="000000" w:sz="4" w:space="0"/>
              <w:left w:val="single" w:color="auto" w:sz="4" w:space="0"/>
              <w:bottom w:val="single" w:color="000000" w:sz="4" w:space="0"/>
              <w:right w:val="single" w:color="auto" w:sz="4" w:space="0"/>
            </w:tcBorders>
            <w:vAlign w:val="center"/>
          </w:tcPr>
          <w:p w14:paraId="4195DA7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1.政府采购执行率等于100%的，得满分；</w:t>
            </w:r>
          </w:p>
          <w:p w14:paraId="4F5F8D3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2.政府采购执行率小于或等于90%的，0分；</w:t>
            </w:r>
          </w:p>
          <w:p w14:paraId="62C75850">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3.政府采购执行率在</w:t>
            </w:r>
            <w:r>
              <w:rPr>
                <w:rFonts w:hint="eastAsia" w:ascii="仿宋_GB2312" w:hAnsi="新宋体" w:eastAsia="仿宋_GB2312" w:cs="仿宋_GB2312"/>
                <w:kern w:val="0"/>
                <w:szCs w:val="21"/>
                <w:lang w:eastAsia="zh-CN"/>
              </w:rPr>
              <w:t>90%—100%</w:t>
            </w:r>
            <w:r>
              <w:rPr>
                <w:rFonts w:ascii="仿宋_GB2312" w:hAnsi="新宋体" w:eastAsia="仿宋_GB2312" w:cs="仿宋_GB2312"/>
                <w:kern w:val="0"/>
                <w:szCs w:val="21"/>
              </w:rPr>
              <w:t>之间的，在0和满分之间计算确定：</w:t>
            </w:r>
          </w:p>
          <w:p w14:paraId="584E5E9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得分=［某部门政府采购执行率-min（政府采购执行率）］/［max（政府采购执行率）-min（政府采购执行率）］×该指标分值。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3CFABCC7">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7118B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DC9D60C">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6AE91840">
            <w:pPr>
              <w:widowControl/>
              <w:spacing w:line="240" w:lineRule="exact"/>
              <w:jc w:val="left"/>
              <w:rPr>
                <w:szCs w:val="21"/>
              </w:rPr>
            </w:pPr>
            <w:r>
              <w:rPr>
                <w:rFonts w:ascii="仿宋_GB2312" w:hAnsi="新宋体" w:eastAsia="仿宋_GB2312" w:cs="仿宋_GB2312"/>
                <w:kern w:val="0"/>
                <w:szCs w:val="21"/>
              </w:rPr>
              <w:t>预算管理</w:t>
            </w:r>
            <w:r>
              <w:rPr>
                <w:rFonts w:hint="eastAsia" w:ascii="仿宋_GB2312" w:hAnsi="新宋体" w:eastAsia="仿宋_GB2312" w:cs="仿宋_GB2312"/>
                <w:kern w:val="0"/>
                <w:szCs w:val="21"/>
              </w:rPr>
              <w:t>情况</w:t>
            </w:r>
          </w:p>
          <w:p w14:paraId="004F0BEE">
            <w:pPr>
              <w:widowControl/>
              <w:spacing w:line="240" w:lineRule="exact"/>
              <w:jc w:val="left"/>
              <w:rPr>
                <w:szCs w:val="21"/>
              </w:rPr>
            </w:pPr>
            <w:r>
              <w:rPr>
                <w:rFonts w:hint="eastAsia" w:ascii="仿宋_GB2312" w:hAnsi="新宋体" w:eastAsia="仿宋_GB2312" w:cs="仿宋_GB2312"/>
                <w:kern w:val="0"/>
                <w:szCs w:val="21"/>
                <w:lang w:eastAsia="zh-CN"/>
              </w:rPr>
              <w:t>(</w:t>
            </w:r>
            <w:r>
              <w:rPr>
                <w:rFonts w:ascii="仿宋_GB2312" w:hAnsi="新宋体" w:eastAsia="仿宋_GB2312" w:cs="仿宋_GB2312"/>
                <w:kern w:val="0"/>
                <w:szCs w:val="21"/>
              </w:rPr>
              <w:t>15</w:t>
            </w:r>
            <w:r>
              <w:rPr>
                <w:rFonts w:hint="eastAsia" w:ascii="仿宋_GB2312" w:hAnsi="新宋体" w:eastAsia="仿宋_GB2312" w:cs="仿宋_GB2312"/>
                <w:kern w:val="0"/>
                <w:szCs w:val="21"/>
                <w:lang w:eastAsia="zh-CN"/>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29964CF3">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资金使用</w:t>
            </w:r>
          </w:p>
          <w:p w14:paraId="26D836C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合规性</w:t>
            </w:r>
          </w:p>
          <w:p w14:paraId="0B477DF5">
            <w:pPr>
              <w:widowControl/>
              <w:spacing w:line="240" w:lineRule="exact"/>
              <w:jc w:val="left"/>
              <w:rPr>
                <w:szCs w:val="21"/>
              </w:rPr>
            </w:pPr>
            <w:r>
              <w:rPr>
                <w:rFonts w:ascii="仿宋_GB2312" w:hAnsi="新宋体" w:eastAsia="仿宋_GB2312" w:cs="仿宋_GB2312"/>
                <w:kern w:val="0"/>
                <w:szCs w:val="21"/>
              </w:rPr>
              <w:t>（8</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120C8D1">
            <w:pPr>
              <w:widowControl/>
              <w:spacing w:line="240" w:lineRule="exact"/>
              <w:jc w:val="left"/>
              <w:rPr>
                <w:szCs w:val="21"/>
              </w:rPr>
            </w:pPr>
            <w:r>
              <w:rPr>
                <w:rFonts w:ascii="仿宋_GB2312" w:hAnsi="新宋体" w:eastAsia="仿宋_GB2312" w:cs="仿宋_GB2312"/>
                <w:kern w:val="0"/>
                <w:szCs w:val="21"/>
              </w:rPr>
              <w:t>部门使用预算资金是否符合相关的预算财务管理制度的规定，反映和评价部门预算资金的规范运行情况。</w:t>
            </w:r>
          </w:p>
          <w:p w14:paraId="10067ABC">
            <w:pPr>
              <w:widowControl/>
              <w:spacing w:line="240" w:lineRule="exact"/>
              <w:jc w:val="left"/>
              <w:rPr>
                <w:szCs w:val="21"/>
              </w:rPr>
            </w:pPr>
            <w:r>
              <w:rPr>
                <w:rFonts w:ascii="仿宋_GB2312" w:hAnsi="新宋体" w:eastAsia="仿宋_GB2312" w:cs="仿宋_GB2312"/>
                <w:kern w:val="0"/>
                <w:szCs w:val="21"/>
              </w:rPr>
              <w:t>评价要点：</w:t>
            </w:r>
          </w:p>
          <w:p w14:paraId="4BA8E970">
            <w:pPr>
              <w:widowControl/>
              <w:spacing w:line="240" w:lineRule="exact"/>
              <w:jc w:val="left"/>
              <w:rPr>
                <w:szCs w:val="21"/>
              </w:rPr>
            </w:pPr>
            <w:r>
              <w:rPr>
                <w:rFonts w:ascii="仿宋_GB2312" w:hAnsi="新宋体" w:eastAsia="仿宋_GB2312" w:cs="仿宋_GB2312"/>
                <w:kern w:val="0"/>
                <w:szCs w:val="21"/>
              </w:rPr>
              <w:t>1.符合国家财经法规和财务管理制度规定以及有关部门资金管理办法的规定；</w:t>
            </w:r>
          </w:p>
          <w:p w14:paraId="705B8F5E">
            <w:pPr>
              <w:widowControl/>
              <w:spacing w:line="240" w:lineRule="exact"/>
              <w:jc w:val="left"/>
              <w:rPr>
                <w:szCs w:val="21"/>
              </w:rPr>
            </w:pPr>
            <w:r>
              <w:rPr>
                <w:rFonts w:ascii="仿宋_GB2312" w:hAnsi="新宋体" w:eastAsia="仿宋_GB2312" w:cs="仿宋_GB2312"/>
                <w:kern w:val="0"/>
                <w:szCs w:val="21"/>
              </w:rPr>
              <w:t>2.资金的拨付有完整的审批过程和手续；</w:t>
            </w:r>
          </w:p>
          <w:p w14:paraId="4CFA22E1">
            <w:pPr>
              <w:widowControl/>
              <w:spacing w:line="240" w:lineRule="exact"/>
              <w:jc w:val="left"/>
              <w:rPr>
                <w:szCs w:val="21"/>
              </w:rPr>
            </w:pPr>
            <w:r>
              <w:rPr>
                <w:rFonts w:ascii="仿宋_GB2312" w:hAnsi="新宋体" w:eastAsia="仿宋_GB2312" w:cs="仿宋_GB2312"/>
                <w:kern w:val="0"/>
                <w:szCs w:val="21"/>
              </w:rPr>
              <w:t>3.项目的重大开支经过评估论证；</w:t>
            </w:r>
          </w:p>
          <w:p w14:paraId="5FEA9AC1">
            <w:pPr>
              <w:widowControl/>
              <w:spacing w:line="240" w:lineRule="exact"/>
              <w:jc w:val="left"/>
              <w:rPr>
                <w:szCs w:val="21"/>
              </w:rPr>
            </w:pPr>
            <w:r>
              <w:rPr>
                <w:rFonts w:ascii="仿宋_GB2312" w:hAnsi="新宋体" w:eastAsia="仿宋_GB2312" w:cs="仿宋_GB2312"/>
                <w:kern w:val="0"/>
                <w:szCs w:val="21"/>
              </w:rPr>
              <w:t>4.符合部门预算批复的用途；</w:t>
            </w:r>
          </w:p>
          <w:p w14:paraId="7719A209">
            <w:pPr>
              <w:widowControl/>
              <w:spacing w:line="240" w:lineRule="exact"/>
              <w:jc w:val="left"/>
              <w:rPr>
                <w:szCs w:val="21"/>
              </w:rPr>
            </w:pPr>
            <w:r>
              <w:rPr>
                <w:rFonts w:ascii="仿宋_GB2312" w:hAnsi="新宋体" w:eastAsia="仿宋_GB2312" w:cs="仿宋_GB2312"/>
                <w:kern w:val="0"/>
                <w:szCs w:val="21"/>
              </w:rPr>
              <w:t>5.不存在截留情况；</w:t>
            </w:r>
          </w:p>
          <w:p w14:paraId="2E9CA1F9">
            <w:pPr>
              <w:widowControl/>
              <w:spacing w:line="240" w:lineRule="exact"/>
              <w:jc w:val="left"/>
              <w:rPr>
                <w:szCs w:val="21"/>
              </w:rPr>
            </w:pPr>
            <w:r>
              <w:rPr>
                <w:rFonts w:ascii="仿宋_GB2312" w:hAnsi="新宋体" w:eastAsia="仿宋_GB2312" w:cs="仿宋_GB2312"/>
                <w:kern w:val="0"/>
                <w:szCs w:val="21"/>
              </w:rPr>
              <w:t>6.不存在挤占情况；</w:t>
            </w:r>
          </w:p>
          <w:p w14:paraId="6A259C7D">
            <w:pPr>
              <w:widowControl/>
              <w:spacing w:line="240" w:lineRule="exact"/>
              <w:jc w:val="left"/>
              <w:rPr>
                <w:szCs w:val="21"/>
              </w:rPr>
            </w:pPr>
            <w:r>
              <w:rPr>
                <w:rFonts w:ascii="仿宋_GB2312" w:hAnsi="新宋体" w:eastAsia="仿宋_GB2312" w:cs="仿宋_GB2312"/>
                <w:kern w:val="0"/>
                <w:szCs w:val="21"/>
              </w:rPr>
              <w:t>7.不存在挪用情况；</w:t>
            </w:r>
          </w:p>
          <w:p w14:paraId="763BF28B">
            <w:pPr>
              <w:widowControl/>
              <w:spacing w:line="240" w:lineRule="exact"/>
              <w:jc w:val="left"/>
              <w:rPr>
                <w:szCs w:val="21"/>
              </w:rPr>
            </w:pPr>
            <w:r>
              <w:rPr>
                <w:rFonts w:ascii="仿宋_GB2312" w:hAnsi="新宋体" w:eastAsia="仿宋_GB2312" w:cs="仿宋_GB2312"/>
                <w:kern w:val="0"/>
                <w:szCs w:val="21"/>
              </w:rPr>
              <w:t>8.不存在虚列支出情况。</w:t>
            </w:r>
          </w:p>
        </w:tc>
        <w:tc>
          <w:tcPr>
            <w:tcW w:w="2552" w:type="dxa"/>
            <w:tcBorders>
              <w:top w:val="single" w:color="000000" w:sz="4" w:space="0"/>
              <w:left w:val="single" w:color="auto" w:sz="4" w:space="0"/>
              <w:bottom w:val="single" w:color="000000" w:sz="4" w:space="0"/>
              <w:right w:val="single" w:color="auto" w:sz="4" w:space="0"/>
            </w:tcBorders>
            <w:vAlign w:val="center"/>
          </w:tcPr>
          <w:p w14:paraId="309CF1A8">
            <w:pPr>
              <w:widowControl/>
              <w:spacing w:line="240" w:lineRule="exact"/>
              <w:jc w:val="left"/>
              <w:rPr>
                <w:szCs w:val="21"/>
              </w:rPr>
            </w:pPr>
            <w:r>
              <w:rPr>
                <w:rFonts w:ascii="仿宋_GB2312" w:hAnsi="新宋体" w:eastAsia="仿宋_GB2312" w:cs="仿宋_GB2312"/>
                <w:kern w:val="0"/>
                <w:szCs w:val="21"/>
              </w:rPr>
              <w:t>全部符合（8）；</w:t>
            </w:r>
          </w:p>
          <w:p w14:paraId="6A442D36">
            <w:pPr>
              <w:widowControl/>
              <w:spacing w:line="240" w:lineRule="exact"/>
              <w:jc w:val="left"/>
              <w:rPr>
                <w:szCs w:val="21"/>
              </w:rPr>
            </w:pPr>
            <w:r>
              <w:rPr>
                <w:rFonts w:ascii="仿宋_GB2312" w:hAnsi="新宋体" w:eastAsia="仿宋_GB2312" w:cs="仿宋_GB2312"/>
                <w:kern w:val="0"/>
                <w:szCs w:val="21"/>
              </w:rPr>
              <w:t>符合其中七项（6）；</w:t>
            </w:r>
          </w:p>
          <w:p w14:paraId="771E9D51">
            <w:pPr>
              <w:widowControl/>
              <w:spacing w:line="240" w:lineRule="exact"/>
              <w:jc w:val="left"/>
              <w:rPr>
                <w:szCs w:val="21"/>
              </w:rPr>
            </w:pPr>
            <w:r>
              <w:rPr>
                <w:rFonts w:ascii="仿宋_GB2312" w:hAnsi="新宋体" w:eastAsia="仿宋_GB2312" w:cs="仿宋_GB2312"/>
                <w:kern w:val="0"/>
                <w:szCs w:val="21"/>
              </w:rPr>
              <w:t>符合其中六项（4）；</w:t>
            </w:r>
          </w:p>
          <w:p w14:paraId="6B5FD567">
            <w:pPr>
              <w:widowControl/>
              <w:spacing w:line="240" w:lineRule="exact"/>
              <w:jc w:val="left"/>
              <w:rPr>
                <w:szCs w:val="21"/>
              </w:rPr>
            </w:pPr>
            <w:r>
              <w:rPr>
                <w:rFonts w:ascii="仿宋_GB2312" w:hAnsi="新宋体" w:eastAsia="仿宋_GB2312" w:cs="仿宋_GB2312"/>
                <w:kern w:val="0"/>
                <w:szCs w:val="21"/>
              </w:rPr>
              <w:t>符合其中五项（2）；</w:t>
            </w:r>
          </w:p>
          <w:p w14:paraId="3812B2D7">
            <w:pPr>
              <w:widowControl/>
              <w:spacing w:line="240" w:lineRule="exact"/>
              <w:jc w:val="left"/>
              <w:rPr>
                <w:szCs w:val="21"/>
              </w:rPr>
            </w:pPr>
            <w:r>
              <w:rPr>
                <w:rFonts w:ascii="仿宋_GB2312" w:hAnsi="新宋体" w:eastAsia="仿宋_GB2312" w:cs="仿宋_GB2312"/>
                <w:kern w:val="0"/>
                <w:szCs w:val="21"/>
              </w:rPr>
              <w:t>符合其中四项及以下（0）。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169629A2">
            <w:pPr>
              <w:widowControl/>
              <w:spacing w:line="240" w:lineRule="exact"/>
              <w:jc w:val="left"/>
              <w:rPr>
                <w:rFonts w:hint="eastAsia" w:eastAsiaTheme="minorEastAsia"/>
                <w:szCs w:val="21"/>
                <w:lang w:val="en-US" w:eastAsia="zh-CN"/>
              </w:rPr>
            </w:pPr>
            <w:r>
              <w:rPr>
                <w:rFonts w:hint="eastAsia"/>
                <w:szCs w:val="21"/>
                <w:lang w:val="en-US" w:eastAsia="zh-CN"/>
              </w:rPr>
              <w:t>8</w:t>
            </w:r>
          </w:p>
        </w:tc>
      </w:tr>
      <w:tr w14:paraId="23242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FAAF686">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13787972">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3DD051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预决算信息</w:t>
            </w:r>
          </w:p>
          <w:p w14:paraId="71EB1BA2">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公开性</w:t>
            </w:r>
          </w:p>
          <w:p w14:paraId="484CBF45">
            <w:pPr>
              <w:widowControl/>
              <w:spacing w:line="240" w:lineRule="exact"/>
              <w:jc w:val="left"/>
              <w:rPr>
                <w:szCs w:val="21"/>
              </w:rPr>
            </w:pPr>
            <w:r>
              <w:rPr>
                <w:rFonts w:ascii="仿宋_GB2312" w:hAnsi="新宋体" w:eastAsia="仿宋_GB2312" w:cs="仿宋_GB2312"/>
                <w:kern w:val="0"/>
                <w:szCs w:val="21"/>
              </w:rPr>
              <w:t>（3</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7083BE1">
            <w:pPr>
              <w:widowControl/>
              <w:spacing w:line="240" w:lineRule="exact"/>
              <w:jc w:val="left"/>
              <w:rPr>
                <w:szCs w:val="21"/>
              </w:rPr>
            </w:pPr>
            <w:r>
              <w:rPr>
                <w:rFonts w:ascii="仿宋_GB2312" w:hAnsi="新宋体" w:eastAsia="仿宋_GB2312" w:cs="仿宋_GB2312"/>
                <w:kern w:val="0"/>
                <w:szCs w:val="21"/>
              </w:rPr>
              <w:t>部门是否按照政府信息公开有关规定公开相关预决算信息，用以反映和评价部门预决算管理的公开透明情况。</w:t>
            </w:r>
          </w:p>
          <w:p w14:paraId="43F57427">
            <w:pPr>
              <w:widowControl/>
              <w:spacing w:line="240" w:lineRule="exact"/>
              <w:jc w:val="left"/>
              <w:rPr>
                <w:szCs w:val="21"/>
              </w:rPr>
            </w:pPr>
            <w:r>
              <w:rPr>
                <w:rFonts w:ascii="仿宋_GB2312" w:hAnsi="新宋体" w:eastAsia="仿宋_GB2312" w:cs="仿宋_GB2312"/>
                <w:kern w:val="0"/>
                <w:szCs w:val="21"/>
              </w:rPr>
              <w:t>预决算信息是指与部门预算、执行、决算、监督、绩效等管理相关的信息。</w:t>
            </w:r>
          </w:p>
          <w:p w14:paraId="2CE85A6A">
            <w:pPr>
              <w:widowControl/>
              <w:spacing w:line="240" w:lineRule="exact"/>
              <w:jc w:val="left"/>
              <w:rPr>
                <w:szCs w:val="21"/>
              </w:rPr>
            </w:pPr>
            <w:r>
              <w:rPr>
                <w:rFonts w:ascii="仿宋_GB2312" w:hAnsi="新宋体" w:eastAsia="仿宋_GB2312" w:cs="仿宋_GB2312"/>
                <w:kern w:val="0"/>
                <w:szCs w:val="21"/>
              </w:rPr>
              <w:t>评价要点：</w:t>
            </w:r>
          </w:p>
          <w:p w14:paraId="2939A578">
            <w:pPr>
              <w:widowControl/>
              <w:spacing w:line="240" w:lineRule="exact"/>
              <w:jc w:val="left"/>
              <w:rPr>
                <w:szCs w:val="21"/>
              </w:rPr>
            </w:pPr>
            <w:r>
              <w:rPr>
                <w:rFonts w:ascii="仿宋_GB2312" w:hAnsi="新宋体" w:eastAsia="仿宋_GB2312" w:cs="仿宋_GB2312"/>
                <w:kern w:val="0"/>
                <w:szCs w:val="21"/>
              </w:rPr>
              <w:t>1.公开预决算信息；</w:t>
            </w:r>
          </w:p>
          <w:p w14:paraId="3FAD1E6A">
            <w:pPr>
              <w:widowControl/>
              <w:spacing w:line="240" w:lineRule="exact"/>
              <w:jc w:val="left"/>
              <w:rPr>
                <w:szCs w:val="21"/>
              </w:rPr>
            </w:pPr>
            <w:r>
              <w:rPr>
                <w:rFonts w:ascii="仿宋_GB2312" w:hAnsi="新宋体" w:eastAsia="仿宋_GB2312" w:cs="仿宋_GB2312"/>
                <w:kern w:val="0"/>
                <w:szCs w:val="21"/>
              </w:rPr>
              <w:t>2.按规定内容公开预决算信息；</w:t>
            </w:r>
          </w:p>
          <w:p w14:paraId="182DA6AB">
            <w:pPr>
              <w:widowControl/>
              <w:spacing w:line="240" w:lineRule="exact"/>
              <w:jc w:val="left"/>
              <w:rPr>
                <w:szCs w:val="21"/>
              </w:rPr>
            </w:pPr>
            <w:r>
              <w:rPr>
                <w:rFonts w:ascii="仿宋_GB2312" w:hAnsi="新宋体" w:eastAsia="仿宋_GB2312" w:cs="仿宋_GB2312"/>
                <w:kern w:val="0"/>
                <w:szCs w:val="21"/>
              </w:rPr>
              <w:t>3.按规定时限公开预决算信息。</w:t>
            </w:r>
          </w:p>
        </w:tc>
        <w:tc>
          <w:tcPr>
            <w:tcW w:w="2552" w:type="dxa"/>
            <w:tcBorders>
              <w:top w:val="single" w:color="000000" w:sz="4" w:space="0"/>
              <w:left w:val="single" w:color="auto" w:sz="4" w:space="0"/>
              <w:bottom w:val="single" w:color="000000" w:sz="4" w:space="0"/>
              <w:right w:val="single" w:color="auto" w:sz="4" w:space="0"/>
            </w:tcBorders>
            <w:vAlign w:val="center"/>
          </w:tcPr>
          <w:p w14:paraId="6BE53039">
            <w:pPr>
              <w:widowControl/>
              <w:spacing w:line="240" w:lineRule="exact"/>
              <w:jc w:val="left"/>
              <w:rPr>
                <w:szCs w:val="21"/>
              </w:rPr>
            </w:pPr>
            <w:r>
              <w:rPr>
                <w:rFonts w:ascii="仿宋_GB2312" w:hAnsi="新宋体" w:eastAsia="仿宋_GB2312" w:cs="仿宋_GB2312"/>
                <w:kern w:val="0"/>
                <w:szCs w:val="21"/>
              </w:rPr>
              <w:t>全部符合（3）；</w:t>
            </w:r>
          </w:p>
          <w:p w14:paraId="2B20CE24">
            <w:pPr>
              <w:widowControl/>
              <w:spacing w:line="240" w:lineRule="exact"/>
              <w:jc w:val="left"/>
              <w:rPr>
                <w:szCs w:val="21"/>
              </w:rPr>
            </w:pPr>
            <w:r>
              <w:rPr>
                <w:rFonts w:ascii="仿宋_GB2312" w:hAnsi="新宋体" w:eastAsia="仿宋_GB2312" w:cs="仿宋_GB2312"/>
                <w:kern w:val="0"/>
                <w:szCs w:val="21"/>
              </w:rPr>
              <w:t>符合其中两项（2）</w:t>
            </w:r>
          </w:p>
          <w:p w14:paraId="35C5CF70">
            <w:pPr>
              <w:widowControl/>
              <w:spacing w:line="240" w:lineRule="exact"/>
              <w:jc w:val="left"/>
              <w:rPr>
                <w:szCs w:val="21"/>
              </w:rPr>
            </w:pPr>
            <w:r>
              <w:rPr>
                <w:rFonts w:ascii="仿宋_GB2312" w:hAnsi="新宋体" w:eastAsia="仿宋_GB2312" w:cs="仿宋_GB2312"/>
                <w:kern w:val="0"/>
                <w:szCs w:val="21"/>
              </w:rPr>
              <w:t>符合其中一项及以下（0）。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64D155B7">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6D607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608F2D6">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5A759B0">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053A9A39">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基础信息</w:t>
            </w:r>
          </w:p>
          <w:p w14:paraId="55B2D438">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完善性</w:t>
            </w:r>
          </w:p>
          <w:p w14:paraId="4B97CA6D">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6CC3927">
            <w:pPr>
              <w:widowControl/>
              <w:spacing w:line="240" w:lineRule="exact"/>
              <w:jc w:val="left"/>
              <w:rPr>
                <w:szCs w:val="21"/>
              </w:rPr>
            </w:pPr>
            <w:r>
              <w:rPr>
                <w:rFonts w:ascii="仿宋_GB2312" w:hAnsi="新宋体" w:eastAsia="仿宋_GB2312" w:cs="仿宋_GB2312"/>
                <w:kern w:val="0"/>
                <w:szCs w:val="21"/>
              </w:rPr>
              <w:t>部门基础信息是否完善，用以反映和评价基础信息对预算管理工作的支撑情况。</w:t>
            </w:r>
          </w:p>
          <w:p w14:paraId="2168A665">
            <w:pPr>
              <w:widowControl/>
              <w:spacing w:line="240" w:lineRule="exact"/>
              <w:jc w:val="left"/>
              <w:rPr>
                <w:szCs w:val="21"/>
              </w:rPr>
            </w:pPr>
            <w:r>
              <w:rPr>
                <w:rFonts w:ascii="仿宋_GB2312" w:hAnsi="新宋体" w:eastAsia="仿宋_GB2312" w:cs="仿宋_GB2312"/>
                <w:kern w:val="0"/>
                <w:szCs w:val="21"/>
              </w:rPr>
              <w:t>评价要点：</w:t>
            </w:r>
          </w:p>
          <w:p w14:paraId="25C18FE2">
            <w:pPr>
              <w:widowControl/>
              <w:spacing w:line="240" w:lineRule="exact"/>
              <w:jc w:val="left"/>
              <w:rPr>
                <w:szCs w:val="21"/>
              </w:rPr>
            </w:pPr>
            <w:r>
              <w:rPr>
                <w:rFonts w:ascii="仿宋_GB2312" w:hAnsi="新宋体" w:eastAsia="仿宋_GB2312" w:cs="仿宋_GB2312"/>
                <w:kern w:val="0"/>
                <w:szCs w:val="21"/>
              </w:rPr>
              <w:t>1.基本财务管理制度健全；</w:t>
            </w:r>
          </w:p>
          <w:p w14:paraId="1D7FC213">
            <w:pPr>
              <w:widowControl/>
              <w:spacing w:line="240" w:lineRule="exact"/>
              <w:jc w:val="left"/>
              <w:rPr>
                <w:szCs w:val="21"/>
              </w:rPr>
            </w:pPr>
            <w:r>
              <w:rPr>
                <w:rFonts w:ascii="仿宋_GB2312" w:hAnsi="新宋体" w:eastAsia="仿宋_GB2312" w:cs="仿宋_GB2312"/>
                <w:kern w:val="0"/>
                <w:szCs w:val="21"/>
              </w:rPr>
              <w:t>2.基础数据信息和会计信息资料真实；</w:t>
            </w:r>
          </w:p>
          <w:p w14:paraId="534573D7">
            <w:pPr>
              <w:widowControl/>
              <w:spacing w:line="240" w:lineRule="exact"/>
              <w:jc w:val="left"/>
              <w:rPr>
                <w:szCs w:val="21"/>
              </w:rPr>
            </w:pPr>
            <w:r>
              <w:rPr>
                <w:rFonts w:ascii="仿宋_GB2312" w:hAnsi="新宋体" w:eastAsia="仿宋_GB2312" w:cs="仿宋_GB2312"/>
                <w:kern w:val="0"/>
                <w:szCs w:val="21"/>
              </w:rPr>
              <w:t>3.基础数据信息和会计信息资料完整；</w:t>
            </w:r>
          </w:p>
          <w:p w14:paraId="6FDF739A">
            <w:pPr>
              <w:widowControl/>
              <w:spacing w:line="240" w:lineRule="exact"/>
              <w:jc w:val="left"/>
              <w:rPr>
                <w:szCs w:val="21"/>
              </w:rPr>
            </w:pPr>
            <w:r>
              <w:rPr>
                <w:rFonts w:ascii="仿宋_GB2312" w:hAnsi="新宋体" w:eastAsia="仿宋_GB2312" w:cs="仿宋_GB2312"/>
                <w:kern w:val="0"/>
                <w:szCs w:val="21"/>
              </w:rPr>
              <w:t>4.基础数据信息和会计信息资料准确。</w:t>
            </w:r>
          </w:p>
        </w:tc>
        <w:tc>
          <w:tcPr>
            <w:tcW w:w="2552" w:type="dxa"/>
            <w:tcBorders>
              <w:top w:val="single" w:color="000000" w:sz="4" w:space="0"/>
              <w:left w:val="single" w:color="auto" w:sz="4" w:space="0"/>
              <w:bottom w:val="single" w:color="000000" w:sz="4" w:space="0"/>
              <w:right w:val="single" w:color="auto" w:sz="4" w:space="0"/>
            </w:tcBorders>
            <w:vAlign w:val="center"/>
          </w:tcPr>
          <w:p w14:paraId="5B32004B">
            <w:pPr>
              <w:widowControl/>
              <w:spacing w:line="240" w:lineRule="exact"/>
              <w:jc w:val="left"/>
              <w:rPr>
                <w:szCs w:val="21"/>
              </w:rPr>
            </w:pPr>
            <w:r>
              <w:rPr>
                <w:rFonts w:ascii="仿宋_GB2312" w:hAnsi="新宋体" w:eastAsia="仿宋_GB2312" w:cs="仿宋_GB2312"/>
                <w:kern w:val="0"/>
                <w:szCs w:val="21"/>
              </w:rPr>
              <w:t>符合全部四项（4）；</w:t>
            </w:r>
          </w:p>
          <w:p w14:paraId="4C043414">
            <w:pPr>
              <w:widowControl/>
              <w:spacing w:line="240" w:lineRule="exact"/>
              <w:jc w:val="left"/>
              <w:rPr>
                <w:szCs w:val="21"/>
              </w:rPr>
            </w:pPr>
            <w:r>
              <w:rPr>
                <w:rFonts w:ascii="仿宋_GB2312" w:hAnsi="新宋体" w:eastAsia="仿宋_GB2312" w:cs="仿宋_GB2312"/>
                <w:kern w:val="0"/>
                <w:szCs w:val="21"/>
              </w:rPr>
              <w:t>符合其中三项（2）；</w:t>
            </w:r>
          </w:p>
          <w:p w14:paraId="4FA32DF3">
            <w:pPr>
              <w:widowControl/>
              <w:spacing w:line="240" w:lineRule="exact"/>
              <w:jc w:val="left"/>
              <w:rPr>
                <w:szCs w:val="21"/>
              </w:rPr>
            </w:pPr>
            <w:r>
              <w:rPr>
                <w:rFonts w:ascii="仿宋_GB2312" w:hAnsi="新宋体" w:eastAsia="仿宋_GB2312" w:cs="仿宋_GB2312"/>
                <w:kern w:val="0"/>
                <w:szCs w:val="21"/>
              </w:rPr>
              <w:t>符合其中两项（1）；</w:t>
            </w:r>
          </w:p>
          <w:p w14:paraId="7D2FA24B">
            <w:pPr>
              <w:widowControl/>
              <w:spacing w:line="240" w:lineRule="exact"/>
              <w:jc w:val="left"/>
              <w:rPr>
                <w:szCs w:val="21"/>
              </w:rPr>
            </w:pPr>
            <w:r>
              <w:rPr>
                <w:rFonts w:ascii="仿宋_GB2312" w:hAnsi="新宋体" w:eastAsia="仿宋_GB2312" w:cs="仿宋_GB2312"/>
                <w:kern w:val="0"/>
                <w:szCs w:val="21"/>
              </w:rPr>
              <w:t>符合其中一项及以下（0）。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7E6063FC">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1FB6D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0CB8361">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01926A51">
            <w:pPr>
              <w:widowControl/>
              <w:spacing w:line="240" w:lineRule="exact"/>
              <w:jc w:val="left"/>
              <w:rPr>
                <w:szCs w:val="21"/>
              </w:rPr>
            </w:pPr>
            <w:r>
              <w:rPr>
                <w:rFonts w:ascii="仿宋_GB2312" w:hAnsi="新宋体" w:eastAsia="仿宋_GB2312" w:cs="仿宋_GB2312"/>
                <w:kern w:val="0"/>
                <w:szCs w:val="21"/>
              </w:rPr>
              <w:t>资产管理</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auto" w:sz="4" w:space="0"/>
              <w:left w:val="single" w:color="000000" w:sz="4" w:space="0"/>
              <w:bottom w:val="single" w:color="000000" w:sz="4" w:space="0"/>
              <w:right w:val="single" w:color="auto" w:sz="4" w:space="0"/>
            </w:tcBorders>
            <w:vAlign w:val="center"/>
          </w:tcPr>
          <w:p w14:paraId="606BB993">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资产管理</w:t>
            </w:r>
          </w:p>
          <w:p w14:paraId="46C5BFF4">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完整性</w:t>
            </w:r>
          </w:p>
          <w:p w14:paraId="1AB4715B">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2分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6134281E">
            <w:pPr>
              <w:widowControl/>
              <w:spacing w:line="240" w:lineRule="exact"/>
              <w:jc w:val="left"/>
              <w:rPr>
                <w:szCs w:val="21"/>
              </w:rPr>
            </w:pPr>
            <w:r>
              <w:rPr>
                <w:rFonts w:ascii="仿宋_GB2312" w:hAnsi="新宋体" w:eastAsia="仿宋_GB2312" w:cs="仿宋_GB2312"/>
                <w:kern w:val="0"/>
                <w:szCs w:val="21"/>
              </w:rPr>
              <w:t>部门的资产是否保存完整、使用合规、收入及时足额上缴，用以反映和评价部门资产运行情况。</w:t>
            </w:r>
          </w:p>
          <w:p w14:paraId="7AB6BD85">
            <w:pPr>
              <w:widowControl/>
              <w:spacing w:line="240" w:lineRule="exact"/>
              <w:jc w:val="left"/>
              <w:rPr>
                <w:szCs w:val="21"/>
              </w:rPr>
            </w:pPr>
            <w:r>
              <w:rPr>
                <w:rFonts w:ascii="仿宋_GB2312" w:hAnsi="新宋体" w:eastAsia="仿宋_GB2312" w:cs="仿宋_GB2312"/>
                <w:kern w:val="0"/>
                <w:szCs w:val="21"/>
              </w:rPr>
              <w:t>评价要点：</w:t>
            </w:r>
          </w:p>
          <w:p w14:paraId="4A16952F">
            <w:pPr>
              <w:widowControl/>
              <w:spacing w:line="240" w:lineRule="exact"/>
              <w:jc w:val="left"/>
              <w:rPr>
                <w:szCs w:val="21"/>
              </w:rPr>
            </w:pPr>
            <w:r>
              <w:rPr>
                <w:rFonts w:ascii="仿宋_GB2312" w:hAnsi="新宋体" w:eastAsia="仿宋_GB2312" w:cs="仿宋_GB2312"/>
                <w:kern w:val="0"/>
                <w:szCs w:val="21"/>
              </w:rPr>
              <w:t>1.资产保存完整；</w:t>
            </w:r>
          </w:p>
          <w:p w14:paraId="5939F703">
            <w:pPr>
              <w:widowControl/>
              <w:spacing w:line="240" w:lineRule="exact"/>
              <w:jc w:val="left"/>
              <w:rPr>
                <w:szCs w:val="21"/>
              </w:rPr>
            </w:pPr>
            <w:r>
              <w:rPr>
                <w:rFonts w:ascii="仿宋_GB2312" w:hAnsi="新宋体" w:eastAsia="仿宋_GB2312" w:cs="仿宋_GB2312"/>
                <w:kern w:val="0"/>
                <w:szCs w:val="21"/>
              </w:rPr>
              <w:t>2.资产账务管理是否合规，</w:t>
            </w:r>
            <w:r>
              <w:rPr>
                <w:rFonts w:hint="eastAsia" w:ascii="仿宋_GB2312" w:hAnsi="新宋体" w:eastAsia="仿宋_GB2312" w:cs="仿宋_GB2312"/>
                <w:kern w:val="0"/>
                <w:szCs w:val="21"/>
                <w:lang w:eastAsia="zh-CN"/>
              </w:rPr>
              <w:t>账</w:t>
            </w:r>
            <w:r>
              <w:rPr>
                <w:rFonts w:ascii="仿宋_GB2312" w:hAnsi="新宋体" w:eastAsia="仿宋_GB2312" w:cs="仿宋_GB2312"/>
                <w:kern w:val="0"/>
                <w:szCs w:val="21"/>
              </w:rPr>
              <w:t>实相符；</w:t>
            </w:r>
          </w:p>
          <w:p w14:paraId="13A512B0">
            <w:pPr>
              <w:widowControl/>
              <w:spacing w:line="240" w:lineRule="exact"/>
              <w:jc w:val="left"/>
              <w:rPr>
                <w:szCs w:val="21"/>
              </w:rPr>
            </w:pPr>
            <w:r>
              <w:rPr>
                <w:rFonts w:ascii="仿宋_GB2312" w:hAnsi="新宋体" w:eastAsia="仿宋_GB2312" w:cs="仿宋_GB2312"/>
                <w:kern w:val="0"/>
                <w:szCs w:val="21"/>
              </w:rPr>
              <w:t>3.资产有偿使用及处置收入及时足额上缴。</w:t>
            </w:r>
          </w:p>
        </w:tc>
        <w:tc>
          <w:tcPr>
            <w:tcW w:w="2552" w:type="dxa"/>
            <w:tcBorders>
              <w:top w:val="single" w:color="auto" w:sz="4" w:space="0"/>
              <w:left w:val="single" w:color="auto" w:sz="4" w:space="0"/>
              <w:bottom w:val="single" w:color="000000" w:sz="4" w:space="0"/>
              <w:right w:val="single" w:color="auto" w:sz="4" w:space="0"/>
            </w:tcBorders>
            <w:vAlign w:val="center"/>
          </w:tcPr>
          <w:p w14:paraId="1ACC52FB">
            <w:pPr>
              <w:widowControl/>
              <w:spacing w:line="240" w:lineRule="exact"/>
              <w:jc w:val="left"/>
              <w:rPr>
                <w:szCs w:val="21"/>
              </w:rPr>
            </w:pPr>
            <w:r>
              <w:rPr>
                <w:rFonts w:ascii="仿宋_GB2312" w:hAnsi="新宋体" w:eastAsia="仿宋_GB2312" w:cs="仿宋_GB2312"/>
                <w:kern w:val="0"/>
                <w:szCs w:val="21"/>
              </w:rPr>
              <w:t>符合全部三项（3）；</w:t>
            </w:r>
          </w:p>
          <w:p w14:paraId="112B8619">
            <w:pPr>
              <w:widowControl/>
              <w:spacing w:line="240" w:lineRule="exact"/>
              <w:jc w:val="left"/>
              <w:rPr>
                <w:szCs w:val="21"/>
              </w:rPr>
            </w:pPr>
            <w:r>
              <w:rPr>
                <w:rFonts w:ascii="仿宋_GB2312" w:hAnsi="新宋体" w:eastAsia="仿宋_GB2312" w:cs="仿宋_GB2312"/>
                <w:kern w:val="0"/>
                <w:szCs w:val="21"/>
              </w:rPr>
              <w:t>符合其中两项（2）；</w:t>
            </w:r>
          </w:p>
          <w:p w14:paraId="1CF53679">
            <w:pPr>
              <w:widowControl/>
              <w:spacing w:line="240" w:lineRule="exact"/>
              <w:jc w:val="left"/>
              <w:rPr>
                <w:szCs w:val="21"/>
              </w:rPr>
            </w:pPr>
            <w:r>
              <w:rPr>
                <w:rFonts w:ascii="仿宋_GB2312" w:hAnsi="新宋体" w:eastAsia="仿宋_GB2312" w:cs="仿宋_GB2312"/>
                <w:kern w:val="0"/>
                <w:szCs w:val="21"/>
              </w:rPr>
              <w:t>符合其中一项（1）；</w:t>
            </w:r>
          </w:p>
          <w:p w14:paraId="7B3920E1">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符合零项（0）。</w:t>
            </w:r>
          </w:p>
        </w:tc>
        <w:tc>
          <w:tcPr>
            <w:tcW w:w="567" w:type="dxa"/>
            <w:tcBorders>
              <w:top w:val="single" w:color="auto" w:sz="4" w:space="0"/>
              <w:left w:val="single" w:color="auto" w:sz="4" w:space="0"/>
              <w:bottom w:val="single" w:color="000000" w:sz="4" w:space="0"/>
              <w:right w:val="single" w:color="000000" w:sz="4" w:space="0"/>
            </w:tcBorders>
            <w:vAlign w:val="center"/>
          </w:tcPr>
          <w:p w14:paraId="413A1422">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39273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A4634BB">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DFC6289">
            <w:pPr>
              <w:spacing w:line="240" w:lineRule="exact"/>
              <w:rPr>
                <w:rFonts w:ascii="宋体"/>
                <w:szCs w:val="21"/>
              </w:rPr>
            </w:pPr>
          </w:p>
        </w:tc>
        <w:tc>
          <w:tcPr>
            <w:tcW w:w="1559" w:type="dxa"/>
            <w:tcBorders>
              <w:top w:val="single" w:color="auto" w:sz="4" w:space="0"/>
              <w:left w:val="single" w:color="000000" w:sz="4" w:space="0"/>
              <w:bottom w:val="single" w:color="000000" w:sz="4" w:space="0"/>
              <w:right w:val="single" w:color="auto" w:sz="4" w:space="0"/>
            </w:tcBorders>
            <w:vAlign w:val="center"/>
          </w:tcPr>
          <w:p w14:paraId="6DE08723">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固定资产</w:t>
            </w:r>
          </w:p>
          <w:p w14:paraId="7EB4ECC1">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利用率</w:t>
            </w:r>
          </w:p>
          <w:p w14:paraId="130D4701">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3C1E41EF">
            <w:pPr>
              <w:widowControl/>
              <w:spacing w:line="240" w:lineRule="exact"/>
              <w:jc w:val="left"/>
              <w:rPr>
                <w:szCs w:val="21"/>
              </w:rPr>
            </w:pPr>
            <w:r>
              <w:rPr>
                <w:rFonts w:ascii="仿宋_GB2312" w:hAnsi="新宋体" w:eastAsia="仿宋_GB2312" w:cs="仿宋_GB2312"/>
                <w:kern w:val="0"/>
                <w:szCs w:val="21"/>
              </w:rPr>
              <w:t>部门实际在用固定资产总额与所有固定资产总额的比率，用以反映和评价部门固定资产使用效率。</w:t>
            </w:r>
          </w:p>
          <w:p w14:paraId="3AC1B433">
            <w:pPr>
              <w:widowControl/>
              <w:spacing w:line="240" w:lineRule="exact"/>
              <w:jc w:val="left"/>
              <w:rPr>
                <w:szCs w:val="21"/>
              </w:rPr>
            </w:pPr>
            <w:r>
              <w:rPr>
                <w:rFonts w:ascii="仿宋_GB2312" w:hAnsi="新宋体" w:eastAsia="仿宋_GB2312" w:cs="仿宋_GB2312"/>
                <w:kern w:val="0"/>
                <w:szCs w:val="21"/>
              </w:rPr>
              <w:t>固定资产利用率=（实际在用固定资产总额/所有固定资产总额）×100%。</w:t>
            </w:r>
          </w:p>
        </w:tc>
        <w:tc>
          <w:tcPr>
            <w:tcW w:w="2552" w:type="dxa"/>
            <w:tcBorders>
              <w:top w:val="single" w:color="auto" w:sz="4" w:space="0"/>
              <w:left w:val="single" w:color="auto" w:sz="4" w:space="0"/>
              <w:bottom w:val="single" w:color="000000" w:sz="4" w:space="0"/>
              <w:right w:val="single" w:color="auto" w:sz="4" w:space="0"/>
            </w:tcBorders>
            <w:vAlign w:val="center"/>
          </w:tcPr>
          <w:p w14:paraId="37AD2F2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1.固定资产利用率大于或等于95%的，得满分；</w:t>
            </w:r>
          </w:p>
          <w:p w14:paraId="423BC7F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2.固定资产利用率小于或等于85%的，得0分；</w:t>
            </w:r>
          </w:p>
          <w:p w14:paraId="44743E1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3.固定资产利用率在</w:t>
            </w:r>
            <w:r>
              <w:rPr>
                <w:rFonts w:hint="eastAsia" w:ascii="仿宋_GB2312" w:hAnsi="新宋体" w:eastAsia="仿宋_GB2312" w:cs="仿宋_GB2312"/>
                <w:kern w:val="0"/>
                <w:szCs w:val="21"/>
                <w:lang w:eastAsia="zh-CN"/>
              </w:rPr>
              <w:t>85%—95%</w:t>
            </w:r>
            <w:r>
              <w:rPr>
                <w:rFonts w:ascii="仿宋_GB2312" w:hAnsi="新宋体" w:eastAsia="仿宋_GB2312" w:cs="仿宋_GB2312"/>
                <w:kern w:val="0"/>
                <w:szCs w:val="21"/>
              </w:rPr>
              <w:t>之间的，在0和满分之间计算确定：</w:t>
            </w:r>
          </w:p>
          <w:p w14:paraId="4F97139B">
            <w:pPr>
              <w:widowControl/>
              <w:pBdr>
                <w:top w:val="none" w:color="000000" w:sz="0" w:space="0"/>
                <w:left w:val="none" w:color="000000" w:sz="0" w:space="0"/>
                <w:bottom w:val="none" w:color="000000" w:sz="0" w:space="0"/>
                <w:right w:val="none" w:color="000000" w:sz="0" w:space="0"/>
              </w:pBdr>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得分=［某部门固定资产利用率-min（固定资产利用率）］/［max（固定资产利用率）-min（固定资产利用率）］×该指标分值。</w:t>
            </w:r>
          </w:p>
          <w:p w14:paraId="02619A31">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0F902B82">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31302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002CE83E">
            <w:pPr>
              <w:widowControl/>
              <w:spacing w:line="240" w:lineRule="exact"/>
              <w:jc w:val="left"/>
              <w:rPr>
                <w:szCs w:val="21"/>
              </w:rPr>
            </w:pPr>
            <w:r>
              <w:rPr>
                <w:rFonts w:ascii="仿宋_GB2312" w:hAnsi="新宋体" w:eastAsia="仿宋_GB2312" w:cs="仿宋_GB2312"/>
                <w:kern w:val="0"/>
                <w:szCs w:val="21"/>
              </w:rPr>
              <w:t>产出</w:t>
            </w:r>
            <w:r>
              <w:rPr>
                <w:rFonts w:hint="eastAsia" w:ascii="仿宋_GB2312" w:hAnsi="新宋体" w:eastAsia="仿宋_GB2312" w:cs="仿宋_GB2312"/>
                <w:kern w:val="0"/>
                <w:szCs w:val="21"/>
                <w:lang w:eastAsia="zh-CN"/>
              </w:rPr>
              <w:t>（</w:t>
            </w:r>
            <w:r>
              <w:rPr>
                <w:rFonts w:ascii="仿宋_GB2312" w:hAnsi="新宋体" w:eastAsia="仿宋_GB2312" w:cs="仿宋_GB2312"/>
                <w:kern w:val="0"/>
                <w:szCs w:val="21"/>
              </w:rPr>
              <w:t>2</w:t>
            </w:r>
            <w:r>
              <w:rPr>
                <w:rFonts w:hint="eastAsia" w:ascii="仿宋_GB2312" w:hAnsi="新宋体" w:eastAsia="仿宋_GB2312" w:cs="仿宋_GB2312"/>
                <w:kern w:val="0"/>
                <w:szCs w:val="21"/>
              </w:rPr>
              <w:t>5分</w:t>
            </w:r>
            <w:r>
              <w:rPr>
                <w:rFonts w:hint="eastAsia" w:ascii="仿宋_GB2312" w:hAnsi="新宋体" w:eastAsia="仿宋_GB2312" w:cs="仿宋_GB2312"/>
                <w:kern w:val="0"/>
                <w:szCs w:val="21"/>
                <w:lang w:eastAsia="zh-CN"/>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75B5A7E7">
            <w:pPr>
              <w:widowControl/>
              <w:spacing w:line="240" w:lineRule="exact"/>
              <w:jc w:val="left"/>
              <w:rPr>
                <w:szCs w:val="21"/>
              </w:rPr>
            </w:pPr>
            <w:r>
              <w:rPr>
                <w:rFonts w:ascii="仿宋_GB2312" w:hAnsi="新宋体" w:eastAsia="仿宋_GB2312" w:cs="仿宋_GB2312"/>
                <w:kern w:val="0"/>
                <w:szCs w:val="21"/>
              </w:rPr>
              <w:t>职责履行</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（2</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7646B39F">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w:t>
            </w:r>
          </w:p>
          <w:p w14:paraId="0882D41B">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完成</w:t>
            </w:r>
          </w:p>
          <w:p w14:paraId="0221DEE8">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情况</w:t>
            </w:r>
          </w:p>
          <w:p w14:paraId="28014181">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10分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5AC1B771">
            <w:pPr>
              <w:widowControl/>
              <w:spacing w:line="240" w:lineRule="exact"/>
              <w:jc w:val="left"/>
              <w:textAlignment w:val="center"/>
              <w:rPr>
                <w:szCs w:val="21"/>
              </w:rPr>
            </w:pPr>
            <w:r>
              <w:rPr>
                <w:rFonts w:hint="eastAsia" w:ascii="仿宋" w:hAnsi="仿宋" w:eastAsia="仿宋" w:cs="仿宋"/>
                <w:color w:val="000000"/>
                <w:kern w:val="0"/>
                <w:szCs w:val="21"/>
              </w:rPr>
              <w:t>根据年度主要任务分解表的具体任务，逐项评价任务量化指标完成情况、实施效果和责任制建立情况。用以反映和考核部门（单位）履职工作任务目标的完成情况。评价要点：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1.每项任务是否已制定了明确、具体、可量化、可衡量的绩效指标；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2.每项任务绩效指标的完成情况，是全部完成、基本完成、未完成，还是未实施；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3.每项任务实施效果情况，是优秀、良好、一般，还是无效果；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4.每项任务是否建立了目标责任制，是否落实到具体部门和人员负责。</w:t>
            </w:r>
          </w:p>
        </w:tc>
        <w:tc>
          <w:tcPr>
            <w:tcW w:w="2552" w:type="dxa"/>
            <w:tcBorders>
              <w:top w:val="single" w:color="000000" w:sz="4" w:space="0"/>
              <w:left w:val="single" w:color="auto" w:sz="4" w:space="0"/>
              <w:bottom w:val="single" w:color="auto" w:sz="4" w:space="0"/>
              <w:right w:val="single" w:color="auto" w:sz="4" w:space="0"/>
            </w:tcBorders>
            <w:vAlign w:val="center"/>
          </w:tcPr>
          <w:p w14:paraId="44680492">
            <w:pPr>
              <w:widowControl/>
              <w:spacing w:line="240" w:lineRule="exact"/>
              <w:jc w:val="left"/>
              <w:textAlignment w:val="center"/>
              <w:rPr>
                <w:szCs w:val="21"/>
              </w:rPr>
            </w:pPr>
            <w:r>
              <w:rPr>
                <w:rFonts w:hint="eastAsia" w:ascii="仿宋" w:hAnsi="仿宋" w:eastAsia="仿宋" w:cs="仿宋"/>
                <w:color w:val="000000"/>
                <w:kern w:val="0"/>
                <w:szCs w:val="21"/>
              </w:rPr>
              <w:t>根据不同部门履职的内容和特点，具体测算部门履职工作任务目标的完成情况。</w:t>
            </w:r>
          </w:p>
        </w:tc>
        <w:tc>
          <w:tcPr>
            <w:tcW w:w="567" w:type="dxa"/>
            <w:tcBorders>
              <w:top w:val="single" w:color="000000" w:sz="4" w:space="0"/>
              <w:left w:val="single" w:color="auto" w:sz="4" w:space="0"/>
              <w:bottom w:val="single" w:color="auto" w:sz="4" w:space="0"/>
              <w:right w:val="single" w:color="000000" w:sz="4" w:space="0"/>
            </w:tcBorders>
            <w:vAlign w:val="center"/>
          </w:tcPr>
          <w:p w14:paraId="79D33FC4">
            <w:pPr>
              <w:widowControl/>
              <w:spacing w:line="240" w:lineRule="exact"/>
              <w:jc w:val="left"/>
              <w:rPr>
                <w:rFonts w:hint="default" w:eastAsiaTheme="minorEastAsia"/>
                <w:szCs w:val="21"/>
                <w:lang w:val="en-US" w:eastAsia="zh-CN"/>
              </w:rPr>
            </w:pPr>
            <w:r>
              <w:rPr>
                <w:rFonts w:hint="eastAsia"/>
                <w:szCs w:val="21"/>
                <w:lang w:val="en-US" w:eastAsia="zh-CN"/>
              </w:rPr>
              <w:t>10</w:t>
            </w:r>
          </w:p>
        </w:tc>
      </w:tr>
      <w:tr w14:paraId="3E598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A7BE3F6">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41700DFD">
            <w:pPr>
              <w:spacing w:line="240" w:lineRule="exact"/>
              <w:rPr>
                <w:rFonts w:ascii="宋体"/>
                <w:szCs w:val="21"/>
              </w:rPr>
            </w:pPr>
          </w:p>
        </w:tc>
        <w:tc>
          <w:tcPr>
            <w:tcW w:w="1559" w:type="dxa"/>
            <w:tcBorders>
              <w:top w:val="single" w:color="000000" w:sz="4" w:space="0"/>
              <w:left w:val="single" w:color="000000" w:sz="4" w:space="0"/>
              <w:right w:val="single" w:color="auto" w:sz="4" w:space="0"/>
            </w:tcBorders>
            <w:vAlign w:val="center"/>
          </w:tcPr>
          <w:p w14:paraId="6E06B666">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项目</w:t>
            </w:r>
            <w:r>
              <w:rPr>
                <w:rFonts w:hint="eastAsia" w:ascii="仿宋_GB2312" w:hAnsi="新宋体" w:eastAsia="仿宋_GB2312" w:cs="仿宋_GB2312"/>
                <w:kern w:val="0"/>
                <w:szCs w:val="21"/>
              </w:rPr>
              <w:t>完成</w:t>
            </w:r>
          </w:p>
          <w:p w14:paraId="4972E551">
            <w:pPr>
              <w:widowControl/>
              <w:spacing w:line="240" w:lineRule="exact"/>
              <w:jc w:val="left"/>
              <w:rPr>
                <w:szCs w:val="21"/>
              </w:rPr>
            </w:pPr>
            <w:r>
              <w:rPr>
                <w:rFonts w:ascii="仿宋_GB2312" w:hAnsi="新宋体" w:eastAsia="仿宋_GB2312" w:cs="仿宋_GB2312"/>
                <w:kern w:val="0"/>
                <w:szCs w:val="21"/>
              </w:rPr>
              <w:t>质量达标率（</w:t>
            </w:r>
            <w:r>
              <w:rPr>
                <w:rFonts w:hint="eastAsia" w:ascii="仿宋_GB2312" w:hAnsi="新宋体" w:eastAsia="仿宋_GB2312" w:cs="仿宋_GB2312"/>
                <w:kern w:val="0"/>
                <w:szCs w:val="21"/>
              </w:rPr>
              <w:t>15</w:t>
            </w:r>
            <w:r>
              <w:rPr>
                <w:rFonts w:ascii="仿宋_GB2312" w:hAnsi="新宋体" w:eastAsia="仿宋_GB2312" w:cs="仿宋_GB2312"/>
                <w:kern w:val="0"/>
                <w:szCs w:val="21"/>
              </w:rPr>
              <w:t>）</w:t>
            </w:r>
          </w:p>
        </w:tc>
        <w:tc>
          <w:tcPr>
            <w:tcW w:w="3260" w:type="dxa"/>
            <w:tcBorders>
              <w:top w:val="single" w:color="000000" w:sz="4" w:space="0"/>
              <w:left w:val="single" w:color="auto" w:sz="4" w:space="0"/>
              <w:right w:val="single" w:color="auto" w:sz="4" w:space="0"/>
            </w:tcBorders>
            <w:vAlign w:val="center"/>
          </w:tcPr>
          <w:p w14:paraId="5CD9420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部门已完成项目中质量达标项目个数占已完成项目个数的比率</w:t>
            </w:r>
            <w:r>
              <w:rPr>
                <w:rFonts w:hint="eastAsia" w:ascii="仿宋_GB2312" w:hAnsi="新宋体" w:eastAsia="仿宋_GB2312" w:cs="仿宋_GB2312"/>
                <w:kern w:val="0"/>
                <w:szCs w:val="21"/>
                <w:lang w:eastAsia="zh-CN"/>
              </w:rPr>
              <w:t>，</w:t>
            </w:r>
            <w:r>
              <w:rPr>
                <w:rFonts w:ascii="仿宋_GB2312" w:hAnsi="新宋体" w:eastAsia="仿宋_GB2312" w:cs="仿宋_GB2312"/>
                <w:kern w:val="0"/>
                <w:szCs w:val="21"/>
              </w:rPr>
              <w:t>用以反映和评价部门履职质量目标的实现程度。</w:t>
            </w:r>
          </w:p>
          <w:p w14:paraId="3A4E0775">
            <w:pPr>
              <w:widowControl/>
              <w:spacing w:line="240" w:lineRule="exact"/>
              <w:jc w:val="left"/>
              <w:rPr>
                <w:szCs w:val="21"/>
              </w:rPr>
            </w:pPr>
            <w:r>
              <w:rPr>
                <w:rFonts w:ascii="仿宋_GB2312" w:hAnsi="新宋体" w:eastAsia="仿宋_GB2312" w:cs="仿宋_GB2312"/>
                <w:kern w:val="0"/>
                <w:szCs w:val="21"/>
              </w:rPr>
              <w:t>项目质量达标率=（已完成项目中质量达标项目个数/已完成项目个数）×100%。</w:t>
            </w:r>
          </w:p>
          <w:p w14:paraId="5A63DB4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项目质量达标是指项目决算验收合格。</w:t>
            </w:r>
          </w:p>
        </w:tc>
        <w:tc>
          <w:tcPr>
            <w:tcW w:w="2552" w:type="dxa"/>
            <w:tcBorders>
              <w:top w:val="single" w:color="000000" w:sz="4" w:space="0"/>
              <w:left w:val="single" w:color="auto" w:sz="4" w:space="0"/>
              <w:right w:val="single" w:color="auto" w:sz="4" w:space="0"/>
            </w:tcBorders>
            <w:vAlign w:val="center"/>
          </w:tcPr>
          <w:p w14:paraId="008B017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1.项目质量达标率等于100%的，得满分；</w:t>
            </w:r>
          </w:p>
          <w:p w14:paraId="38A3044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2.项目质量达标率小于或等于99%的，得0分；</w:t>
            </w:r>
          </w:p>
          <w:p w14:paraId="64006623">
            <w:pPr>
              <w:widowControl/>
              <w:pBdr>
                <w:top w:val="none" w:color="000000" w:sz="0" w:space="0"/>
                <w:left w:val="none" w:color="000000" w:sz="0" w:space="0"/>
                <w:bottom w:val="none" w:color="000000" w:sz="0" w:space="0"/>
                <w:right w:val="none" w:color="000000" w:sz="0" w:space="0"/>
              </w:pBdr>
              <w:spacing w:line="240" w:lineRule="exact"/>
              <w:jc w:val="left"/>
              <w:rPr>
                <w:rFonts w:hint="eastAsia" w:eastAsia="仿宋_GB2312"/>
                <w:szCs w:val="21"/>
                <w:lang w:eastAsia="zh-CN"/>
              </w:rPr>
            </w:pPr>
            <w:r>
              <w:rPr>
                <w:rFonts w:ascii="仿宋_GB2312" w:hAnsi="新宋体" w:eastAsia="仿宋_GB2312" w:cs="仿宋_GB2312"/>
                <w:kern w:val="0"/>
                <w:szCs w:val="21"/>
              </w:rPr>
              <w:t>3.项目质量达标率在</w:t>
            </w:r>
            <w:r>
              <w:rPr>
                <w:rFonts w:hint="eastAsia" w:ascii="仿宋_GB2312" w:hAnsi="新宋体" w:eastAsia="仿宋_GB2312" w:cs="仿宋_GB2312"/>
                <w:kern w:val="0"/>
                <w:szCs w:val="21"/>
                <w:lang w:eastAsia="zh-CN"/>
              </w:rPr>
              <w:t>99%—100%</w:t>
            </w:r>
            <w:r>
              <w:rPr>
                <w:rFonts w:ascii="仿宋_GB2312" w:hAnsi="新宋体" w:eastAsia="仿宋_GB2312" w:cs="仿宋_GB2312"/>
                <w:kern w:val="0"/>
                <w:szCs w:val="21"/>
              </w:rPr>
              <w:t>之间的，在0和满分之间计算确定：</w:t>
            </w:r>
          </w:p>
          <w:p w14:paraId="500690F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得分=［某部门项目质量达标率-min（项目质量达标率）］/［max（项目质量达标率）-min（项目质量达标率）］×该指标分值。</w:t>
            </w:r>
          </w:p>
        </w:tc>
        <w:tc>
          <w:tcPr>
            <w:tcW w:w="567" w:type="dxa"/>
            <w:tcBorders>
              <w:top w:val="single" w:color="000000" w:sz="4" w:space="0"/>
              <w:left w:val="single" w:color="auto" w:sz="4" w:space="0"/>
              <w:bottom w:val="single" w:color="auto" w:sz="4" w:space="0"/>
              <w:right w:val="single" w:color="000000" w:sz="4" w:space="0"/>
            </w:tcBorders>
            <w:vAlign w:val="center"/>
          </w:tcPr>
          <w:p w14:paraId="2D1079CA">
            <w:pPr>
              <w:widowControl/>
              <w:spacing w:line="240" w:lineRule="exact"/>
              <w:jc w:val="left"/>
              <w:rPr>
                <w:rFonts w:hint="default" w:eastAsiaTheme="minorEastAsia"/>
                <w:szCs w:val="21"/>
                <w:lang w:val="en-US" w:eastAsia="zh-CN"/>
              </w:rPr>
            </w:pPr>
            <w:r>
              <w:rPr>
                <w:rFonts w:hint="eastAsia"/>
                <w:szCs w:val="21"/>
                <w:lang w:val="en-US" w:eastAsia="zh-CN"/>
              </w:rPr>
              <w:t>14</w:t>
            </w:r>
          </w:p>
        </w:tc>
      </w:tr>
      <w:tr w14:paraId="4625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79755A41">
            <w:pPr>
              <w:widowControl/>
              <w:spacing w:line="240" w:lineRule="exact"/>
              <w:jc w:val="left"/>
              <w:rPr>
                <w:szCs w:val="21"/>
              </w:rPr>
            </w:pPr>
            <w:r>
              <w:rPr>
                <w:rFonts w:ascii="仿宋_GB2312" w:hAnsi="新宋体" w:eastAsia="仿宋_GB2312" w:cs="仿宋_GB2312"/>
                <w:kern w:val="0"/>
                <w:szCs w:val="21"/>
              </w:rPr>
              <w:t>效果（</w:t>
            </w:r>
            <w:r>
              <w:rPr>
                <w:rFonts w:hint="eastAsia" w:ascii="仿宋_GB2312" w:hAnsi="新宋体" w:eastAsia="仿宋_GB2312" w:cs="仿宋_GB2312"/>
                <w:kern w:val="0"/>
                <w:szCs w:val="21"/>
              </w:rPr>
              <w:t>2</w:t>
            </w:r>
            <w:r>
              <w:rPr>
                <w:rFonts w:ascii="仿宋_GB2312" w:hAnsi="新宋体" w:eastAsia="仿宋_GB2312" w:cs="仿宋_GB2312"/>
                <w:kern w:val="0"/>
                <w:szCs w:val="21"/>
              </w:rPr>
              <w:t>0</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851" w:type="dxa"/>
            <w:vMerge w:val="restart"/>
            <w:tcBorders>
              <w:top w:val="single" w:color="auto" w:sz="4" w:space="0"/>
              <w:left w:val="single" w:color="000000" w:sz="4" w:space="0"/>
              <w:right w:val="single" w:color="000000" w:sz="4" w:space="0"/>
            </w:tcBorders>
            <w:vAlign w:val="center"/>
          </w:tcPr>
          <w:p w14:paraId="45D5C751">
            <w:pPr>
              <w:widowControl/>
              <w:spacing w:line="240" w:lineRule="exact"/>
              <w:jc w:val="left"/>
              <w:rPr>
                <w:rFonts w:ascii="仿宋_GB2312" w:hAnsi="新宋体" w:eastAsia="仿宋_GB2312" w:cs="仿宋_GB2312"/>
                <w:kern w:val="0"/>
                <w:szCs w:val="21"/>
              </w:rPr>
            </w:pPr>
          </w:p>
          <w:p w14:paraId="070A248D">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履职效益情况</w:t>
            </w:r>
          </w:p>
          <w:p w14:paraId="205383C9">
            <w:pPr>
              <w:widowControl/>
              <w:spacing w:line="240" w:lineRule="exact"/>
              <w:jc w:val="left"/>
              <w:rPr>
                <w:rFonts w:ascii="仿宋_GB2312" w:hAnsi="新宋体" w:eastAsia="仿宋_GB2312" w:cs="仿宋_GB2312"/>
                <w:kern w:val="0"/>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20分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35A1B2EF">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经济效益</w:t>
            </w:r>
          </w:p>
          <w:p w14:paraId="7F5FBF97">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572883D0">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部门及所属二级单位通过履行职责和预算安排支出项目的实施，对我市带来的经济影响。</w:t>
            </w:r>
          </w:p>
          <w:p w14:paraId="6A478C13">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1.通过部门所属企事业单位改革，促进了企事业单位效益增长情况；</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2.通过预算支出项目的实施，促进了行业生产能力增长，从而带动行业经济效益增长；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3.通过预算支出项目的实施，有效提高劳动效率，节约成本费用；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4.通过预算支出项目的实施，降低了损耗，从而提高了生产效益；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5.通过预算支出项目的实施，完善了突发情况的监测预警，保障了生产安全，降低了生产损失。</w:t>
            </w:r>
          </w:p>
        </w:tc>
        <w:tc>
          <w:tcPr>
            <w:tcW w:w="2552" w:type="dxa"/>
            <w:tcBorders>
              <w:top w:val="single" w:color="000000" w:sz="4" w:space="0"/>
              <w:left w:val="single" w:color="auto" w:sz="4" w:space="0"/>
              <w:bottom w:val="single" w:color="000000" w:sz="4" w:space="0"/>
              <w:right w:val="single" w:color="auto" w:sz="4" w:space="0"/>
            </w:tcBorders>
            <w:vAlign w:val="center"/>
          </w:tcPr>
          <w:p w14:paraId="73F8FCB9">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根据不同部门履职的内容和特点，具体测算部门履职产生的经济效益。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372DEA5E">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544F6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left w:val="single" w:color="000000" w:sz="4" w:space="0"/>
              <w:right w:val="single" w:color="000000" w:sz="4" w:space="0"/>
            </w:tcBorders>
            <w:vAlign w:val="center"/>
          </w:tcPr>
          <w:p w14:paraId="4189113E">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2DD99FE6">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2F820330">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社会效益</w:t>
            </w:r>
          </w:p>
          <w:p w14:paraId="0408A5E3">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69E8A87A">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部门及所属二级单位履行职责对社会发展所带来的直接或间接影响。</w:t>
            </w:r>
          </w:p>
          <w:p w14:paraId="5F7874E6">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1.通过部门所属企事业单位的改革，促进了企事业单位可持续发展，带动就业增长情况；</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2.通过预算支出项目的实施，是否明显促进了行业精神文明建设；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3.通过部门履职是否明显提高城乡居民生活水平，满足了</w:t>
            </w:r>
            <w:r>
              <w:rPr>
                <w:rFonts w:hint="eastAsia" w:ascii="仿宋" w:hAnsi="仿宋" w:eastAsia="仿宋" w:cs="仿宋"/>
                <w:color w:val="000000"/>
                <w:kern w:val="0"/>
                <w:szCs w:val="21"/>
                <w:lang w:eastAsia="zh-CN"/>
              </w:rPr>
              <w:t>人民日益增长的</w:t>
            </w:r>
            <w:r>
              <w:rPr>
                <w:rFonts w:hint="eastAsia" w:ascii="仿宋" w:hAnsi="仿宋" w:eastAsia="仿宋" w:cs="仿宋"/>
                <w:color w:val="000000"/>
                <w:kern w:val="0"/>
                <w:szCs w:val="21"/>
              </w:rPr>
              <w:t>物质与文化生活需求；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4.通过预算项目的实施，是否提高了劳动生产率，降低了劳动强度，促进了劳动人民的身心健康；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5.通过部门履职行业形象是否</w:t>
            </w:r>
            <w:r>
              <w:rPr>
                <w:rFonts w:hint="eastAsia" w:ascii="仿宋" w:hAnsi="仿宋" w:eastAsia="仿宋" w:cs="仿宋"/>
                <w:color w:val="000000"/>
                <w:kern w:val="0"/>
                <w:szCs w:val="21"/>
                <w:lang w:eastAsia="zh-CN"/>
              </w:rPr>
              <w:t>得到大幅提升</w:t>
            </w:r>
            <w:r>
              <w:rPr>
                <w:rFonts w:hint="eastAsia" w:ascii="仿宋" w:hAnsi="仿宋" w:eastAsia="仿宋" w:cs="仿宋"/>
                <w:color w:val="000000"/>
                <w:kern w:val="0"/>
                <w:szCs w:val="21"/>
              </w:rPr>
              <w:t>，增强了部门影响力。</w:t>
            </w:r>
          </w:p>
        </w:tc>
        <w:tc>
          <w:tcPr>
            <w:tcW w:w="2552" w:type="dxa"/>
            <w:tcBorders>
              <w:top w:val="single" w:color="000000" w:sz="4" w:space="0"/>
              <w:left w:val="single" w:color="auto" w:sz="4" w:space="0"/>
              <w:bottom w:val="single" w:color="000000" w:sz="4" w:space="0"/>
              <w:right w:val="single" w:color="auto" w:sz="4" w:space="0"/>
            </w:tcBorders>
            <w:vAlign w:val="center"/>
          </w:tcPr>
          <w:p w14:paraId="0713DA88">
            <w:pPr>
              <w:widowControl/>
              <w:spacing w:line="240" w:lineRule="exac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根据不同部门履职的内容和特点，具体测算部门履职产生的社会效益。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343F5820">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2CEBE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left w:val="single" w:color="000000" w:sz="4" w:space="0"/>
              <w:right w:val="single" w:color="000000" w:sz="4" w:space="0"/>
            </w:tcBorders>
            <w:vAlign w:val="center"/>
          </w:tcPr>
          <w:p w14:paraId="14A722F0">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04D56A57">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1BB283B0">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生态效益</w:t>
            </w:r>
          </w:p>
          <w:p w14:paraId="2B3E1710">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657B01AC">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部门及所属二级单位履行职责对生态环境所带来的直接或间接影响。</w:t>
            </w:r>
          </w:p>
          <w:p w14:paraId="01A7B1B3">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1.通过预算支出项目的实施，绿色、节能环保新技术的应用和推广，明显带动各环节的节能减排，也具有一定的环境效益；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2.通过履职有效地控制虚假、伪劣、霉变等劣质产品进入市场，影响了人民生活质量，</w:t>
            </w:r>
            <w:r>
              <w:rPr>
                <w:rFonts w:hint="eastAsia" w:ascii="仿宋" w:hAnsi="仿宋" w:eastAsia="仿宋" w:cs="仿宋"/>
                <w:color w:val="000000"/>
                <w:kern w:val="0"/>
                <w:szCs w:val="21"/>
                <w:lang w:eastAsia="zh-CN"/>
              </w:rPr>
              <w:t>净化</w:t>
            </w:r>
            <w:r>
              <w:rPr>
                <w:rFonts w:hint="eastAsia" w:ascii="仿宋" w:hAnsi="仿宋" w:eastAsia="仿宋" w:cs="仿宋"/>
                <w:color w:val="000000"/>
                <w:kern w:val="0"/>
                <w:szCs w:val="21"/>
              </w:rPr>
              <w:t>市场环境；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3.通过预算支出项目的实施，是否达到减少污染物排放；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4.通过预算支出项目的实施，周围环境得到了整治，面貌得到了改善。</w:t>
            </w:r>
          </w:p>
        </w:tc>
        <w:tc>
          <w:tcPr>
            <w:tcW w:w="2552" w:type="dxa"/>
            <w:tcBorders>
              <w:top w:val="single" w:color="000000" w:sz="4" w:space="0"/>
              <w:left w:val="single" w:color="auto" w:sz="4" w:space="0"/>
              <w:bottom w:val="single" w:color="000000" w:sz="4" w:space="0"/>
              <w:right w:val="single" w:color="auto" w:sz="4" w:space="0"/>
            </w:tcBorders>
            <w:vAlign w:val="center"/>
          </w:tcPr>
          <w:p w14:paraId="7EA378D9">
            <w:pPr>
              <w:widowControl/>
              <w:spacing w:line="240" w:lineRule="exact"/>
              <w:jc w:val="left"/>
              <w:textAlignment w:val="center"/>
              <w:rPr>
                <w:szCs w:val="21"/>
              </w:rPr>
            </w:pPr>
            <w:r>
              <w:rPr>
                <w:rFonts w:hint="eastAsia" w:ascii="仿宋" w:hAnsi="仿宋" w:eastAsia="仿宋" w:cs="仿宋"/>
                <w:color w:val="000000"/>
                <w:kern w:val="0"/>
                <w:szCs w:val="21"/>
              </w:rPr>
              <w:t>根据不同部门履职的内容和特点，具体测算部门履职产生的生态效益。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7685E284">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4E9B8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CAC63A1">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4A0C9866">
            <w:pPr>
              <w:widowControl/>
              <w:spacing w:line="240" w:lineRule="exact"/>
              <w:jc w:val="left"/>
              <w:rPr>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5C87F988">
            <w:pPr>
              <w:widowControl/>
              <w:spacing w:line="240" w:lineRule="exact"/>
              <w:jc w:val="left"/>
              <w:rPr>
                <w:szCs w:val="21"/>
              </w:rPr>
            </w:pPr>
            <w:r>
              <w:rPr>
                <w:rFonts w:hint="eastAsia" w:ascii="仿宋_GB2312" w:hAnsi="新宋体" w:eastAsia="仿宋_GB2312" w:cs="仿宋_GB2312"/>
                <w:kern w:val="0"/>
                <w:szCs w:val="21"/>
              </w:rPr>
              <w:t>服务对象</w:t>
            </w:r>
            <w:r>
              <w:rPr>
                <w:rFonts w:ascii="仿宋_GB2312" w:hAnsi="新宋体" w:eastAsia="仿宋_GB2312" w:cs="仿宋_GB2312"/>
                <w:kern w:val="0"/>
                <w:szCs w:val="21"/>
              </w:rPr>
              <w:t>满意度（5）</w:t>
            </w:r>
          </w:p>
        </w:tc>
        <w:tc>
          <w:tcPr>
            <w:tcW w:w="3260" w:type="dxa"/>
            <w:tcBorders>
              <w:top w:val="single" w:color="000000" w:sz="4" w:space="0"/>
              <w:left w:val="single" w:color="auto" w:sz="4" w:space="0"/>
              <w:bottom w:val="single" w:color="000000" w:sz="4" w:space="0"/>
              <w:right w:val="single" w:color="auto" w:sz="4" w:space="0"/>
            </w:tcBorders>
            <w:vAlign w:val="center"/>
          </w:tcPr>
          <w:p w14:paraId="7AD406E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hint="eastAsia" w:ascii="仿宋_GB2312" w:hAnsi="新宋体" w:eastAsia="仿宋_GB2312" w:cs="仿宋_GB2312"/>
                <w:kern w:val="0"/>
                <w:szCs w:val="21"/>
              </w:rPr>
              <w:t>通过对部门（单位）的服务对象对部门履职效果的满意程度调查，反映和考核社会公众或服务对象对部门履职的满意度。</w:t>
            </w:r>
          </w:p>
        </w:tc>
        <w:tc>
          <w:tcPr>
            <w:tcW w:w="2552" w:type="dxa"/>
            <w:tcBorders>
              <w:top w:val="single" w:color="000000" w:sz="4" w:space="0"/>
              <w:left w:val="single" w:color="auto" w:sz="4" w:space="0"/>
              <w:bottom w:val="single" w:color="000000" w:sz="4" w:space="0"/>
              <w:right w:val="single" w:color="auto" w:sz="4" w:space="0"/>
            </w:tcBorders>
            <w:vAlign w:val="center"/>
          </w:tcPr>
          <w:p w14:paraId="7F0A2667">
            <w:pPr>
              <w:widowControl/>
              <w:spacing w:line="240" w:lineRule="exact"/>
              <w:rPr>
                <w:rFonts w:ascii="仿宋" w:hAnsi="仿宋" w:eastAsia="仿宋" w:cs="宋体"/>
                <w:kern w:val="0"/>
                <w:szCs w:val="21"/>
              </w:rPr>
            </w:pPr>
            <w:r>
              <w:rPr>
                <w:rFonts w:ascii="仿宋" w:hAnsi="仿宋" w:eastAsia="仿宋" w:cs="Arial"/>
                <w:kern w:val="0"/>
                <w:szCs w:val="21"/>
              </w:rPr>
              <w:t>按照满意度调查的优秀、良好、合格、不合格给予该项指标打分：</w:t>
            </w:r>
          </w:p>
          <w:p w14:paraId="479563E5">
            <w:pPr>
              <w:widowControl/>
              <w:spacing w:line="240" w:lineRule="exact"/>
              <w:rPr>
                <w:szCs w:val="21"/>
              </w:rPr>
            </w:pPr>
            <w:r>
              <w:rPr>
                <w:rFonts w:ascii="仿宋" w:hAnsi="仿宋" w:eastAsia="仿宋" w:cs="Arial"/>
                <w:kern w:val="0"/>
                <w:szCs w:val="21"/>
              </w:rPr>
              <w:t>优秀（</w:t>
            </w:r>
            <w:r>
              <w:rPr>
                <w:rFonts w:hint="eastAsia" w:ascii="仿宋" w:hAnsi="仿宋" w:eastAsia="仿宋" w:cs="Arial"/>
                <w:kern w:val="0"/>
                <w:szCs w:val="21"/>
              </w:rPr>
              <w:t>5</w:t>
            </w:r>
            <w:r>
              <w:rPr>
                <w:rFonts w:ascii="仿宋" w:hAnsi="仿宋" w:eastAsia="仿宋" w:cs="Arial"/>
                <w:kern w:val="0"/>
                <w:szCs w:val="21"/>
              </w:rPr>
              <w:t>）；良好（</w:t>
            </w:r>
            <w:r>
              <w:rPr>
                <w:rFonts w:hint="eastAsia" w:ascii="仿宋" w:hAnsi="仿宋" w:eastAsia="仿宋" w:cs="Arial"/>
                <w:kern w:val="0"/>
                <w:szCs w:val="21"/>
              </w:rPr>
              <w:t>3</w:t>
            </w:r>
            <w:r>
              <w:rPr>
                <w:rFonts w:ascii="仿宋" w:hAnsi="仿宋" w:eastAsia="仿宋" w:cs="Arial"/>
                <w:kern w:val="0"/>
                <w:szCs w:val="21"/>
              </w:rPr>
              <w:t>）；合格（</w:t>
            </w:r>
            <w:r>
              <w:rPr>
                <w:rFonts w:hint="eastAsia" w:ascii="仿宋" w:hAnsi="仿宋" w:eastAsia="仿宋" w:cs="Arial"/>
                <w:kern w:val="0"/>
                <w:szCs w:val="21"/>
              </w:rPr>
              <w:t>1</w:t>
            </w:r>
            <w:r>
              <w:rPr>
                <w:rFonts w:ascii="仿宋" w:hAnsi="仿宋" w:eastAsia="仿宋" w:cs="Arial"/>
                <w:kern w:val="0"/>
                <w:szCs w:val="21"/>
              </w:rPr>
              <w:t>）；不合格（</w:t>
            </w:r>
            <w:r>
              <w:rPr>
                <w:rFonts w:hint="eastAsia" w:ascii="仿宋" w:hAnsi="仿宋" w:eastAsia="仿宋" w:cs="Arial"/>
                <w:kern w:val="0"/>
                <w:szCs w:val="21"/>
              </w:rPr>
              <w:t>0</w:t>
            </w:r>
            <w:r>
              <w:rPr>
                <w:rFonts w:ascii="仿宋" w:hAnsi="仿宋" w:eastAsia="仿宋" w:cs="Arial"/>
                <w:kern w:val="0"/>
                <w:szCs w:val="21"/>
              </w:rPr>
              <w:t>）。</w:t>
            </w:r>
          </w:p>
        </w:tc>
        <w:tc>
          <w:tcPr>
            <w:tcW w:w="567" w:type="dxa"/>
            <w:tcBorders>
              <w:top w:val="single" w:color="000000" w:sz="4" w:space="0"/>
              <w:left w:val="single" w:color="auto" w:sz="4" w:space="0"/>
              <w:bottom w:val="single" w:color="000000" w:sz="4" w:space="0"/>
              <w:right w:val="single" w:color="000000" w:sz="4" w:space="0"/>
            </w:tcBorders>
            <w:vAlign w:val="center"/>
          </w:tcPr>
          <w:p w14:paraId="6EAE41AA">
            <w:pPr>
              <w:widowControl/>
              <w:spacing w:line="240" w:lineRule="exact"/>
              <w:jc w:val="left"/>
              <w:rPr>
                <w:rFonts w:hint="eastAsia" w:eastAsiaTheme="minorEastAsia"/>
                <w:szCs w:val="21"/>
                <w:lang w:val="en-US" w:eastAsia="zh-CN"/>
              </w:rPr>
            </w:pPr>
            <w:r>
              <w:rPr>
                <w:rFonts w:hint="eastAsia"/>
                <w:szCs w:val="21"/>
                <w:lang w:val="en-US" w:eastAsia="zh-CN"/>
              </w:rPr>
              <w:t>5</w:t>
            </w:r>
          </w:p>
        </w:tc>
      </w:tr>
    </w:tbl>
    <w:p w14:paraId="1A369E10">
      <w:pPr>
        <w:widowControl/>
        <w:spacing w:line="480" w:lineRule="exact"/>
        <w:jc w:val="left"/>
        <w:rPr>
          <w:rFonts w:ascii="仿宋" w:hAnsi="仿宋" w:eastAsia="仿宋" w:cs="仿宋"/>
          <w:kern w:val="0"/>
          <w:sz w:val="32"/>
          <w:szCs w:val="32"/>
          <w:shd w:val="clear" w:color="auto" w:fill="FFFFFF"/>
        </w:rPr>
      </w:pPr>
    </w:p>
    <w:p w14:paraId="15B8E503">
      <w:pPr>
        <w:rPr>
          <w:rFonts w:ascii="黑体" w:hAnsi="黑体" w:eastAsia="黑体" w:cs="黑体"/>
          <w:b/>
          <w:bCs/>
          <w:sz w:val="30"/>
          <w:szCs w:val="30"/>
        </w:rPr>
      </w:pPr>
      <w:r>
        <w:rPr>
          <w:rFonts w:hint="eastAsia" w:ascii="黑体" w:hAnsi="黑体" w:eastAsia="黑体" w:cs="黑体"/>
          <w:b/>
          <w:bCs/>
          <w:sz w:val="30"/>
          <w:szCs w:val="30"/>
          <w:lang w:eastAsia="zh-CN"/>
        </w:rPr>
        <w:t>（</w:t>
      </w:r>
      <w:r>
        <w:rPr>
          <w:rFonts w:hint="eastAsia" w:ascii="黑体" w:hAnsi="黑体" w:eastAsia="黑体" w:cs="黑体"/>
          <w:b/>
          <w:bCs/>
          <w:sz w:val="30"/>
          <w:szCs w:val="30"/>
        </w:rPr>
        <w:t>后附部门整体自评报告</w:t>
      </w:r>
      <w:r>
        <w:rPr>
          <w:rFonts w:hint="eastAsia" w:ascii="黑体" w:hAnsi="黑体" w:eastAsia="黑体" w:cs="黑体"/>
          <w:b/>
          <w:bCs/>
          <w:sz w:val="30"/>
          <w:szCs w:val="30"/>
          <w:lang w:eastAsia="zh-CN"/>
        </w:rPr>
        <w:t>）</w:t>
      </w:r>
    </w:p>
    <w:p w14:paraId="7960F345">
      <w:pPr>
        <w:ind w:firstLine="780"/>
        <w:jc w:val="center"/>
        <w:rPr>
          <w:rFonts w:hint="eastAsia" w:cs="黑体" w:asciiTheme="minorEastAsia" w:hAnsiTheme="minorEastAsia" w:eastAsiaTheme="minorEastAsia"/>
          <w:b/>
          <w:bCs/>
          <w:sz w:val="44"/>
          <w:szCs w:val="44"/>
          <w:lang w:eastAsia="zh-CN"/>
        </w:rPr>
      </w:pPr>
      <w:r>
        <w:rPr>
          <w:rFonts w:hint="eastAsia" w:cs="黑体" w:asciiTheme="minorEastAsia" w:hAnsiTheme="minorEastAsia"/>
          <w:b/>
          <w:bCs/>
          <w:sz w:val="44"/>
          <w:szCs w:val="44"/>
        </w:rPr>
        <w:t>隆尧县</w:t>
      </w:r>
      <w:r>
        <w:rPr>
          <w:rFonts w:hint="eastAsia" w:cs="黑体" w:asciiTheme="minorEastAsia" w:hAnsiTheme="minorEastAsia"/>
          <w:b/>
          <w:bCs/>
          <w:sz w:val="44"/>
          <w:szCs w:val="44"/>
          <w:lang w:eastAsia="zh-CN"/>
        </w:rPr>
        <w:t>委员会宣传部</w:t>
      </w:r>
    </w:p>
    <w:p w14:paraId="389EA5F2">
      <w:pPr>
        <w:ind w:firstLine="780"/>
        <w:jc w:val="center"/>
        <w:rPr>
          <w:rFonts w:cs="黑体" w:asciiTheme="minorEastAsia" w:hAnsiTheme="minorEastAsia"/>
          <w:b/>
          <w:bCs/>
          <w:sz w:val="44"/>
          <w:szCs w:val="44"/>
        </w:rPr>
      </w:pPr>
      <w:r>
        <w:rPr>
          <w:rFonts w:hint="eastAsia" w:cs="黑体" w:asciiTheme="minorEastAsia" w:hAnsiTheme="minorEastAsia"/>
          <w:b/>
          <w:bCs/>
          <w:sz w:val="44"/>
          <w:szCs w:val="44"/>
        </w:rPr>
        <w:t>2021年部门整体支出绩效评价报告</w:t>
      </w:r>
    </w:p>
    <w:p w14:paraId="19A79EA3">
      <w:pPr>
        <w:ind w:firstLine="640" w:firstLineChars="200"/>
        <w:rPr>
          <w:rFonts w:ascii="黑体" w:hAnsi="黑体" w:eastAsia="黑体" w:cs="仿宋"/>
          <w:sz w:val="32"/>
          <w:szCs w:val="32"/>
        </w:rPr>
      </w:pPr>
      <w:r>
        <w:rPr>
          <w:rFonts w:hint="eastAsia" w:ascii="黑体" w:hAnsi="黑体" w:eastAsia="黑体" w:cs="仿宋"/>
          <w:sz w:val="32"/>
          <w:szCs w:val="32"/>
        </w:rPr>
        <w:t>一、基本概况。</w:t>
      </w:r>
    </w:p>
    <w:p w14:paraId="54B5FE0E">
      <w:pPr>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部门主要职责职能和部门组织架构</w:t>
      </w:r>
    </w:p>
    <w:p w14:paraId="0F3AEDE0">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拟订全县宣传思想文化工作重大方针政策和事业发展总体规划，统筹协调推进宣传思想文化领域</w:t>
      </w:r>
      <w:r>
        <w:rPr>
          <w:rFonts w:hint="eastAsia" w:ascii="仿宋" w:hAnsi="仿宋" w:eastAsia="仿宋" w:cs="仿宋"/>
          <w:sz w:val="32"/>
          <w:szCs w:val="32"/>
          <w:lang w:eastAsia="zh-CN"/>
        </w:rPr>
        <w:t>法治建设</w:t>
      </w:r>
      <w:r>
        <w:rPr>
          <w:rFonts w:hint="eastAsia" w:ascii="仿宋" w:hAnsi="仿宋" w:eastAsia="仿宋" w:cs="仿宋"/>
          <w:sz w:val="32"/>
          <w:szCs w:val="32"/>
        </w:rPr>
        <w:t>，按照县委统一部署，协调宣传思想文化系统各部门之间的工作。</w:t>
      </w:r>
    </w:p>
    <w:p w14:paraId="4D7C9100">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统筹协调全县党的意识形态工作，贯彻落实县委关于意识形态工作决策部署，组织协调意识形态工作责任制落实和日常监督检查，结合巡视巡察工作开展专项检查。</w:t>
      </w:r>
    </w:p>
    <w:p w14:paraId="3999D461">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统筹指导协调全县理论研究、理论学习、理论宣传工作，组织推动理论武装工作，推动落实马克思主义理论研究和建设工程任务，负责县委理论学习中心组理论学习的有关工作。</w:t>
      </w:r>
    </w:p>
    <w:p w14:paraId="1B63B149">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负责规划组织全县全局性思想政治工作任务，组织对全县先进典型的选树学习宣传推广。配合县委组织部做好基层党员教育工作，指导协调编写党员教育教材，会同有关部门研究和改进群众思想教育工作。负责全县爱国主义教育基地的建设、管理、使用。负责全县国防教育工作。</w:t>
      </w:r>
    </w:p>
    <w:p w14:paraId="60689FB5">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统筹分析研判和引导全县社会舆论，指导协调全县各新闻单位的工作，组织全县突发公共事件应急新闻工作。</w:t>
      </w:r>
    </w:p>
    <w:p w14:paraId="580E13A1">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6.拟定</w:t>
      </w:r>
      <w:r>
        <w:rPr>
          <w:rFonts w:hint="eastAsia" w:ascii="仿宋" w:hAnsi="仿宋" w:eastAsia="仿宋" w:cs="仿宋"/>
          <w:sz w:val="32"/>
          <w:szCs w:val="32"/>
        </w:rPr>
        <w:t>全县新闻出版业的管理政策并督促落实，管理新闻出版行政事务，统筹规划和指导协调新闻出版事业、产业发展，监督管理出版物内容和质量，监督管理印刷业，管理著作权，管理出版物进出口等。组织指导协调全县“扫黄打非”工作。负责全县新闻记者证的监管工作。</w:t>
      </w:r>
    </w:p>
    <w:p w14:paraId="6EF88624">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从宏观上统筹指导协调全县互联网宣传和信息内容管理工作。统筹数字新媒体的建设和管理。</w:t>
      </w:r>
    </w:p>
    <w:p w14:paraId="054635E6">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从宏观上统筹指导协调推动全县精神文化产品的创作和生产，协调组织中华优秀传统文化传承发展有关工作，指导协调推动群众文化建设。</w:t>
      </w:r>
    </w:p>
    <w:p w14:paraId="7D42863D">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负责管理全县电影行政事务，指导监管电影制片、发行、放映工作，组织对电影内容进行审查，指导协调全县性重大电影活动。</w:t>
      </w:r>
    </w:p>
    <w:p w14:paraId="1E338FFA">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对全县新闻出版、广播影视、文化艺术业改革发展研究提出政策性建议，统筹指导协调文化体制改革和文化事业、文化产业及旅游业发展，负责全县文化企业国有资产监督管理。</w:t>
      </w:r>
    </w:p>
    <w:p w14:paraId="0BC8A1ED">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统筹指导全县舆情信息工作，组织协调开展县内外舆情信息收集分析研判工作，跟踪了解、研究掌握宣传舆情动态。</w:t>
      </w:r>
    </w:p>
    <w:p w14:paraId="35D4EC26">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统筹研究拟订有关全县精神文明建设的相关政策。规划部署全县精神文明建设工作，组织开展文明城市创建工作，指导全县群众性精神文明创建活动。</w:t>
      </w:r>
    </w:p>
    <w:p w14:paraId="4BFD67DA">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13.</w:t>
      </w:r>
      <w:r>
        <w:rPr>
          <w:rFonts w:hint="eastAsia" w:ascii="仿宋" w:hAnsi="仿宋" w:eastAsia="仿宋" w:cs="仿宋"/>
          <w:sz w:val="32"/>
          <w:szCs w:val="32"/>
        </w:rPr>
        <w:t>统筹协调全县对外宣传工作。指导协调有关部门研究拟订全县对外宣传事业发展规划，组织协调我县对外宣传文化交流工作，会同有关部门做好境外记者采访事务方面工作。</w:t>
      </w:r>
    </w:p>
    <w:p w14:paraId="597520FD">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14.</w:t>
      </w:r>
      <w:r>
        <w:rPr>
          <w:rFonts w:hint="eastAsia" w:ascii="仿宋" w:hAnsi="仿宋" w:eastAsia="仿宋" w:cs="仿宋"/>
          <w:sz w:val="32"/>
          <w:szCs w:val="32"/>
        </w:rPr>
        <w:t>统筹协调组织开展新闻发布工作。承担县委新闻发布有关组织协调工作，负责县政府新闻发布组织实施工作，指导协调县政府各部门和各乡镇的新闻发布工作，推动新闻发言人制度落实。拟订我县重大问题对外宣传口径。</w:t>
      </w:r>
    </w:p>
    <w:p w14:paraId="5399BA05">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受县委委托，会同县委组织部管理新闻、文化、出版和互联网信息等方面县直宣传文化单位的领导干部。对县直宣传思想文化部门主要负责人和各乡镇党委宣传委员的任免提出意见。负责有关重要宣传舆论阵地和重要岗位领导干部管理工作。负责组织开展宣传思想文化系统干部教育培训和人才工作。负责政工师的评审、推荐、管理相关工作。</w:t>
      </w:r>
    </w:p>
    <w:p w14:paraId="08126AC6">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16.</w:t>
      </w:r>
      <w:r>
        <w:rPr>
          <w:rFonts w:hint="eastAsia" w:ascii="仿宋" w:hAnsi="仿宋" w:eastAsia="仿宋" w:cs="仿宋"/>
          <w:sz w:val="32"/>
          <w:szCs w:val="32"/>
        </w:rPr>
        <w:t>对县互联网信息办公室互联网宣传和信息内容管理方面的工作实施方针、政策的指导。归口领县文化广电和旅游局、县广播电视台、县融媒体中心。受县委委托，代管县文联。</w:t>
      </w:r>
    </w:p>
    <w:p w14:paraId="6B75D97C">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17.</w:t>
      </w:r>
      <w:r>
        <w:rPr>
          <w:rFonts w:hint="eastAsia" w:ascii="仿宋" w:hAnsi="仿宋" w:eastAsia="仿宋" w:cs="仿宋"/>
          <w:sz w:val="32"/>
          <w:szCs w:val="32"/>
        </w:rPr>
        <w:t>完成县委交办的其他任务。</w:t>
      </w:r>
    </w:p>
    <w:p w14:paraId="1EE50A8F">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（二）人员情况。</w:t>
      </w:r>
    </w:p>
    <w:p w14:paraId="35C3344C">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行政编制</w:t>
      </w:r>
      <w:r>
        <w:rPr>
          <w:rFonts w:hint="eastAsia" w:ascii="仿宋" w:hAnsi="仿宋" w:eastAsia="仿宋" w:cs="仿宋"/>
          <w:sz w:val="32"/>
          <w:szCs w:val="32"/>
          <w:lang w:val="en-US" w:eastAsia="zh-CN"/>
        </w:rPr>
        <w:t>10人，目前在编人数8人。</w:t>
      </w:r>
    </w:p>
    <w:p w14:paraId="571C6E75">
      <w:pPr>
        <w:keepNext w:val="0"/>
        <w:keepLines w:val="0"/>
        <w:pageBreakBefore w:val="0"/>
        <w:widowControl w:val="0"/>
        <w:numPr>
          <w:ilvl w:val="0"/>
          <w:numId w:val="0"/>
        </w:numPr>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部门履职总体目标。</w:t>
      </w:r>
    </w:p>
    <w:p w14:paraId="4FC7E0C0">
      <w:pPr>
        <w:keepNext w:val="0"/>
        <w:keepLines w:val="0"/>
        <w:pageBreakBefore w:val="0"/>
        <w:widowControl w:val="0"/>
        <w:numPr>
          <w:ilvl w:val="0"/>
          <w:numId w:val="0"/>
        </w:numPr>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全县宣传思想文化战线将坚持以习近平新时代中国特色社会主义思想为指导，深入贯彻党的十九大和十九届二中、三中、四中全会精神，自觉承担起举旗帜、聚民心、育新人、兴文化、展形象的使命任务，围绕“三深化、三提升”，服务“11446”发展思路、“135”发展布局和“一二三四”工作思路，强力推进理论武装、新闻宣传、文化繁荣、精神文明创建等重点工作，努力为新时代经济强县、幸福隆尧建设提供思想保证和精神动力</w:t>
      </w:r>
      <w:r>
        <w:rPr>
          <w:rFonts w:hint="eastAsia" w:ascii="仿宋" w:hAnsi="仿宋" w:eastAsia="仿宋" w:cs="仿宋"/>
          <w:sz w:val="32"/>
          <w:szCs w:val="32"/>
          <w:lang w:eastAsia="zh-CN"/>
        </w:rPr>
        <w:t>。</w:t>
      </w:r>
    </w:p>
    <w:p w14:paraId="3102CD13">
      <w:pPr>
        <w:keepNext w:val="0"/>
        <w:keepLines w:val="0"/>
        <w:pageBreakBefore w:val="0"/>
        <w:widowControl w:val="0"/>
        <w:numPr>
          <w:ilvl w:val="0"/>
          <w:numId w:val="0"/>
        </w:numPr>
        <w:kinsoku/>
        <w:wordWrap/>
        <w:overflowPunct/>
        <w:topLinePunct w:val="0"/>
        <w:autoSpaceDE/>
        <w:autoSpaceDN/>
        <w:bidi w:val="0"/>
        <w:adjustRightInd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抓好各级党委（党组）中心组学习，扎实推进理论“六进”工作，做好巡视整改后续工作，压紧压实意识形态工作责任制，管好守住各类意识形态阵地。进一步加强新闻宣传工作，扎实推动“扫黄打非”深入开展，全力做好印刷发行管理工作。坚持“抓两头带中间”。推进新时代文明实践中心建设。实施时代新人培育工程。坚持文明县城创建常态化。以移风易俗和传承优秀传统文化为两翼加强乡风文明建设。积极打造志愿服务品牌。创作编纂隆尧历史文化文艺作品，弘扬传承隆尧优秀历史文化。编辑出版《尧乡诗词》期刊。进一步深化“全民阅读，书香隆尧”建设。组织开展文艺精品创作和评选。开展“深入生活、扎根人民”主题创作实践活动。强化业务培训。实行“三比照”对账要账落实机制。加强党的建设和作风建设。</w:t>
      </w:r>
    </w:p>
    <w:p w14:paraId="6893434B">
      <w:pPr>
        <w:numPr>
          <w:ilvl w:val="0"/>
          <w:numId w:val="0"/>
        </w:numPr>
        <w:adjustRightInd w:val="0"/>
        <w:ind w:left="480" w:leftChars="0"/>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年度整体绩效目标和工作任务。</w:t>
      </w:r>
    </w:p>
    <w:p w14:paraId="3A09ECD1">
      <w:pPr>
        <w:pStyle w:val="18"/>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持续推进习近平新时代中国特色社会主义思想落地生根</w:t>
      </w:r>
    </w:p>
    <w:p w14:paraId="7BDE570F">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抓好各级党委（党组）中心组学习。</w:t>
      </w:r>
    </w:p>
    <w:p w14:paraId="09EB66EB">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扎实推进理论“六进”工作。</w:t>
      </w:r>
    </w:p>
    <w:p w14:paraId="27E2D9D3">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）党的二十大胜利召开后</w:t>
      </w:r>
      <w:r>
        <w:rPr>
          <w:rFonts w:hint="eastAsia" w:ascii="仿宋" w:hAnsi="仿宋" w:eastAsia="仿宋" w:cs="仿宋"/>
          <w:sz w:val="32"/>
          <w:szCs w:val="32"/>
        </w:rPr>
        <w:t>，全力宣传</w:t>
      </w:r>
      <w:r>
        <w:rPr>
          <w:rFonts w:hint="eastAsia" w:ascii="仿宋" w:hAnsi="仿宋" w:eastAsia="仿宋" w:cs="仿宋"/>
          <w:sz w:val="32"/>
          <w:szCs w:val="32"/>
          <w:lang w:eastAsia="zh-CN"/>
        </w:rPr>
        <w:t>党的二十大精神</w:t>
      </w:r>
      <w:r>
        <w:rPr>
          <w:rFonts w:hint="eastAsia" w:ascii="仿宋" w:hAnsi="仿宋" w:eastAsia="仿宋" w:cs="仿宋"/>
          <w:sz w:val="32"/>
          <w:szCs w:val="32"/>
        </w:rPr>
        <w:t>。</w:t>
      </w:r>
    </w:p>
    <w:p w14:paraId="73729126">
      <w:pPr>
        <w:pStyle w:val="18"/>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严格落实意识形态工作责任制</w:t>
      </w:r>
    </w:p>
    <w:p w14:paraId="2B1C0F73">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压紧压实意识形态工作责任制。</w:t>
      </w:r>
    </w:p>
    <w:p w14:paraId="00FB5E28">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加强各类阵地监督管理。</w:t>
      </w:r>
    </w:p>
    <w:p w14:paraId="706C0D16">
      <w:pPr>
        <w:pStyle w:val="18"/>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营造高质量赶超发展主流舆论强势</w:t>
      </w:r>
    </w:p>
    <w:p w14:paraId="5D2F71ED">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壮大主流舆论阵地。</w:t>
      </w:r>
    </w:p>
    <w:p w14:paraId="32BBEC23">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w:t>
      </w:r>
      <w:r>
        <w:rPr>
          <w:rFonts w:hint="eastAsia" w:ascii="仿宋" w:hAnsi="仿宋" w:eastAsia="仿宋" w:cs="仿宋"/>
          <w:sz w:val="32"/>
          <w:szCs w:val="32"/>
        </w:rPr>
        <w:t>推进融媒体改革进程。</w:t>
      </w:r>
    </w:p>
    <w:p w14:paraId="07DA357F">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）加大</w:t>
      </w:r>
      <w:r>
        <w:rPr>
          <w:rFonts w:hint="eastAsia" w:ascii="仿宋" w:hAnsi="仿宋" w:eastAsia="仿宋" w:cs="仿宋"/>
          <w:sz w:val="32"/>
          <w:szCs w:val="32"/>
        </w:rPr>
        <w:t>对外对上宣传力度。</w:t>
      </w:r>
    </w:p>
    <w:p w14:paraId="700A68B2">
      <w:pPr>
        <w:pStyle w:val="18"/>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加强新时代公民道德建设</w:t>
      </w:r>
    </w:p>
    <w:p w14:paraId="4CF63EFB">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rPr>
        <w:t>持续实施先进典型引领工程。</w:t>
      </w:r>
    </w:p>
    <w:p w14:paraId="5D00F269">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w:t>
      </w:r>
      <w:r>
        <w:rPr>
          <w:rFonts w:hint="eastAsia" w:ascii="仿宋" w:hAnsi="仿宋" w:eastAsia="仿宋" w:cs="仿宋"/>
          <w:sz w:val="32"/>
          <w:szCs w:val="32"/>
        </w:rPr>
        <w:t>推动公民道德建设。</w:t>
      </w:r>
    </w:p>
    <w:p w14:paraId="5FB9F1E4">
      <w:pPr>
        <w:pStyle w:val="18"/>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深入推进精神文明创建</w:t>
      </w:r>
    </w:p>
    <w:p w14:paraId="4C0B4674">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w:t>
      </w:r>
      <w:r>
        <w:rPr>
          <w:rFonts w:hint="eastAsia" w:ascii="仿宋" w:hAnsi="仿宋" w:eastAsia="仿宋" w:cs="仿宋"/>
          <w:sz w:val="32"/>
          <w:szCs w:val="32"/>
        </w:rPr>
        <w:t>全力争创省级文明县城。</w:t>
      </w:r>
    </w:p>
    <w:p w14:paraId="104A2C80">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w:t>
      </w:r>
      <w:r>
        <w:rPr>
          <w:rFonts w:hint="eastAsia" w:ascii="仿宋" w:hAnsi="仿宋" w:eastAsia="仿宋" w:cs="仿宋"/>
          <w:sz w:val="32"/>
          <w:szCs w:val="32"/>
        </w:rPr>
        <w:t>实施乡风文明建设2022行动计划。</w:t>
      </w:r>
    </w:p>
    <w:p w14:paraId="00479F91">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w:t>
      </w:r>
      <w:r>
        <w:rPr>
          <w:rFonts w:hint="eastAsia" w:ascii="仿宋" w:hAnsi="仿宋" w:eastAsia="仿宋" w:cs="仿宋"/>
          <w:sz w:val="32"/>
          <w:szCs w:val="32"/>
        </w:rPr>
        <w:t>推进新时代文明实践中心建设。</w:t>
      </w:r>
    </w:p>
    <w:p w14:paraId="0B115DF0">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14</w:t>
      </w:r>
      <w:r>
        <w:rPr>
          <w:rFonts w:hint="eastAsia" w:ascii="仿宋" w:hAnsi="仿宋" w:eastAsia="仿宋" w:cs="仿宋"/>
          <w:sz w:val="32"/>
          <w:szCs w:val="32"/>
          <w:lang w:eastAsia="zh-CN"/>
        </w:rPr>
        <w:t>）</w:t>
      </w:r>
      <w:r>
        <w:rPr>
          <w:rFonts w:hint="eastAsia" w:ascii="仿宋" w:hAnsi="仿宋" w:eastAsia="仿宋" w:cs="仿宋"/>
          <w:sz w:val="32"/>
          <w:szCs w:val="32"/>
        </w:rPr>
        <w:t>全力打造志愿服务品牌。</w:t>
      </w:r>
    </w:p>
    <w:p w14:paraId="47E4F6AE">
      <w:pPr>
        <w:pStyle w:val="18"/>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推动文化产业发展</w:t>
      </w:r>
    </w:p>
    <w:p w14:paraId="07C93863">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w:t>
      </w:r>
      <w:r>
        <w:rPr>
          <w:rFonts w:hint="eastAsia" w:ascii="仿宋" w:hAnsi="仿宋" w:eastAsia="仿宋" w:cs="仿宋"/>
          <w:sz w:val="32"/>
          <w:szCs w:val="32"/>
        </w:rPr>
        <w:t>推进文化产业发展。</w:t>
      </w:r>
    </w:p>
    <w:p w14:paraId="70F47078">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16</w:t>
      </w:r>
      <w:r>
        <w:rPr>
          <w:rFonts w:hint="eastAsia" w:ascii="仿宋" w:hAnsi="仿宋" w:eastAsia="仿宋" w:cs="仿宋"/>
          <w:sz w:val="32"/>
          <w:szCs w:val="32"/>
          <w:lang w:eastAsia="zh-CN"/>
        </w:rPr>
        <w:t>）</w:t>
      </w:r>
      <w:r>
        <w:rPr>
          <w:rFonts w:hint="eastAsia" w:ascii="仿宋" w:hAnsi="仿宋" w:eastAsia="仿宋" w:cs="仿宋"/>
          <w:sz w:val="32"/>
          <w:szCs w:val="32"/>
        </w:rPr>
        <w:t>提升文化产业平台建设。</w:t>
      </w:r>
    </w:p>
    <w:p w14:paraId="7AF1B8EA">
      <w:pPr>
        <w:pStyle w:val="18"/>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聚焦文化民生，持续实施邢襄文化弘扬工程</w:t>
      </w:r>
    </w:p>
    <w:p w14:paraId="16EF1897">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17</w:t>
      </w:r>
      <w:r>
        <w:rPr>
          <w:rFonts w:hint="eastAsia" w:ascii="仿宋" w:hAnsi="仿宋" w:eastAsia="仿宋" w:cs="仿宋"/>
          <w:sz w:val="32"/>
          <w:szCs w:val="32"/>
          <w:lang w:eastAsia="zh-CN"/>
        </w:rPr>
        <w:t>）</w:t>
      </w:r>
      <w:r>
        <w:rPr>
          <w:rFonts w:hint="eastAsia" w:ascii="仿宋" w:hAnsi="仿宋" w:eastAsia="仿宋" w:cs="仿宋"/>
          <w:sz w:val="32"/>
          <w:szCs w:val="32"/>
        </w:rPr>
        <w:t>创作编纂隆尧历史文化文艺作品，弘</w:t>
      </w:r>
      <w:r>
        <w:rPr>
          <w:rFonts w:hint="eastAsia" w:ascii="仿宋" w:hAnsi="仿宋" w:eastAsia="仿宋" w:cs="仿宋"/>
          <w:sz w:val="32"/>
          <w:szCs w:val="32"/>
          <w:lang w:eastAsia="zh-CN"/>
        </w:rPr>
        <w:t>扬和</w:t>
      </w:r>
      <w:r>
        <w:rPr>
          <w:rFonts w:hint="eastAsia" w:ascii="仿宋" w:hAnsi="仿宋" w:eastAsia="仿宋" w:cs="仿宋"/>
          <w:sz w:val="32"/>
          <w:szCs w:val="32"/>
        </w:rPr>
        <w:t>传承隆尧历史文化。</w:t>
      </w:r>
    </w:p>
    <w:p w14:paraId="1A82EAFD">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18</w:t>
      </w:r>
      <w:r>
        <w:rPr>
          <w:rFonts w:hint="eastAsia" w:ascii="仿宋" w:hAnsi="仿宋" w:eastAsia="仿宋" w:cs="仿宋"/>
          <w:sz w:val="32"/>
          <w:szCs w:val="32"/>
          <w:lang w:eastAsia="zh-CN"/>
        </w:rPr>
        <w:t>）</w:t>
      </w:r>
      <w:r>
        <w:rPr>
          <w:rFonts w:hint="eastAsia" w:ascii="仿宋" w:hAnsi="仿宋" w:eastAsia="仿宋" w:cs="仿宋"/>
          <w:sz w:val="32"/>
          <w:szCs w:val="32"/>
        </w:rPr>
        <w:t>组织开展文艺精品创作和评选活动。</w:t>
      </w:r>
    </w:p>
    <w:p w14:paraId="1811454E">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19</w:t>
      </w:r>
      <w:r>
        <w:rPr>
          <w:rFonts w:hint="eastAsia" w:ascii="仿宋" w:hAnsi="仿宋" w:eastAsia="仿宋" w:cs="仿宋"/>
          <w:sz w:val="32"/>
          <w:szCs w:val="32"/>
          <w:lang w:eastAsia="zh-CN"/>
        </w:rPr>
        <w:t>）</w:t>
      </w:r>
      <w:r>
        <w:rPr>
          <w:rFonts w:hint="eastAsia" w:ascii="仿宋" w:hAnsi="仿宋" w:eastAsia="仿宋" w:cs="仿宋"/>
          <w:sz w:val="32"/>
          <w:szCs w:val="32"/>
        </w:rPr>
        <w:t>进一步深化“三城同建”活动实施。</w:t>
      </w:r>
    </w:p>
    <w:p w14:paraId="40DE5072">
      <w:pPr>
        <w:pStyle w:val="18"/>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强化担当作为，锻炼一</w:t>
      </w:r>
      <w:r>
        <w:rPr>
          <w:rFonts w:hint="eastAsia" w:ascii="仿宋" w:hAnsi="仿宋" w:eastAsia="仿宋" w:cs="仿宋"/>
          <w:sz w:val="32"/>
          <w:szCs w:val="32"/>
          <w:lang w:eastAsia="zh-CN"/>
        </w:rPr>
        <w:t>支</w:t>
      </w:r>
      <w:r>
        <w:rPr>
          <w:rFonts w:hint="eastAsia" w:ascii="仿宋" w:hAnsi="仿宋" w:eastAsia="仿宋" w:cs="仿宋"/>
          <w:sz w:val="32"/>
          <w:szCs w:val="32"/>
        </w:rPr>
        <w:t>过硬的宣传思想干部队伍</w:t>
      </w:r>
    </w:p>
    <w:p w14:paraId="38D31D4B">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w:t>
      </w:r>
      <w:r>
        <w:rPr>
          <w:rFonts w:hint="eastAsia" w:ascii="仿宋" w:hAnsi="仿宋" w:eastAsia="仿宋" w:cs="仿宋"/>
          <w:sz w:val="32"/>
          <w:szCs w:val="32"/>
        </w:rPr>
        <w:t>强化业务能力培训，加强党建和作风建设。</w:t>
      </w:r>
    </w:p>
    <w:p w14:paraId="435539A3">
      <w:pPr>
        <w:pStyle w:val="18"/>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21</w:t>
      </w:r>
      <w:r>
        <w:rPr>
          <w:rFonts w:hint="eastAsia" w:ascii="仿宋" w:hAnsi="仿宋" w:eastAsia="仿宋" w:cs="仿宋"/>
          <w:sz w:val="32"/>
          <w:szCs w:val="32"/>
          <w:lang w:eastAsia="zh-CN"/>
        </w:rPr>
        <w:t>）</w:t>
      </w:r>
      <w:r>
        <w:rPr>
          <w:rFonts w:hint="eastAsia" w:ascii="仿宋" w:hAnsi="仿宋" w:eastAsia="仿宋" w:cs="仿宋"/>
          <w:sz w:val="32"/>
          <w:szCs w:val="32"/>
        </w:rPr>
        <w:t>实行“三比照”对账要账落实机制</w:t>
      </w:r>
    </w:p>
    <w:p w14:paraId="4D8D0E7F">
      <w:pPr>
        <w:adjustRightInd w:val="0"/>
        <w:rPr>
          <w:rFonts w:hint="eastAsia" w:ascii="楷体" w:hAnsi="楷体" w:eastAsia="楷体" w:cs="仿宋"/>
          <w:sz w:val="32"/>
          <w:szCs w:val="32"/>
        </w:rPr>
      </w:pPr>
      <w:r>
        <w:rPr>
          <w:rFonts w:hint="eastAsia" w:ascii="仿宋" w:hAnsi="仿宋" w:eastAsia="仿宋" w:cs="仿宋"/>
          <w:sz w:val="32"/>
          <w:szCs w:val="32"/>
        </w:rPr>
        <w:t>（五）预算资金安排及资金支出</w:t>
      </w:r>
      <w:r>
        <w:rPr>
          <w:rFonts w:hint="eastAsia" w:ascii="楷体" w:hAnsi="楷体" w:eastAsia="楷体" w:cs="仿宋"/>
          <w:sz w:val="32"/>
          <w:szCs w:val="32"/>
        </w:rPr>
        <w:t>情况。</w:t>
      </w:r>
    </w:p>
    <w:p w14:paraId="296B4FD1">
      <w:pPr>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2021年县级项目预算资金总额204.5327万元，资金支出进度100%。</w:t>
      </w:r>
    </w:p>
    <w:p w14:paraId="2E42FA30">
      <w:pPr>
        <w:pStyle w:val="17"/>
        <w:numPr>
          <w:ilvl w:val="0"/>
          <w:numId w:val="0"/>
        </w:numPr>
        <w:ind w:firstLine="640" w:firstLineChars="200"/>
        <w:rPr>
          <w:rFonts w:hint="eastAsia" w:ascii="黑体" w:hAnsi="黑体" w:eastAsia="黑体" w:cs="仿宋"/>
          <w:sz w:val="32"/>
          <w:szCs w:val="32"/>
        </w:rPr>
      </w:pPr>
      <w:r>
        <w:rPr>
          <w:rFonts w:hint="eastAsia" w:ascii="黑体" w:hAnsi="黑体" w:eastAsia="黑体" w:cs="仿宋"/>
          <w:sz w:val="32"/>
          <w:szCs w:val="32"/>
          <w:lang w:eastAsia="zh-CN"/>
        </w:rPr>
        <w:t>二、</w:t>
      </w:r>
      <w:r>
        <w:rPr>
          <w:rFonts w:hint="eastAsia" w:ascii="黑体" w:hAnsi="黑体" w:eastAsia="黑体" w:cs="仿宋"/>
          <w:sz w:val="32"/>
          <w:szCs w:val="32"/>
        </w:rPr>
        <w:t>预算绩效管理开展及整体绩效实现情况。</w:t>
      </w:r>
    </w:p>
    <w:p w14:paraId="2595214B">
      <w:pPr>
        <w:pStyle w:val="17"/>
        <w:numPr>
          <w:ilvl w:val="0"/>
          <w:numId w:val="0"/>
        </w:numPr>
        <w:ind w:leftChars="200"/>
        <w:rPr>
          <w:rFonts w:hint="eastAsia" w:ascii="仿宋" w:hAnsi="仿宋" w:eastAsia="仿宋" w:cs="仿宋"/>
          <w:sz w:val="32"/>
          <w:szCs w:val="32"/>
        </w:rPr>
      </w:pPr>
      <w:r>
        <w:rPr>
          <w:rFonts w:hint="eastAsia" w:ascii="仿宋" w:hAnsi="仿宋" w:eastAsia="仿宋" w:cs="仿宋"/>
          <w:sz w:val="32"/>
          <w:szCs w:val="32"/>
        </w:rPr>
        <w:t>（一）不断加强绩效管理制度建设</w:t>
      </w:r>
    </w:p>
    <w:p w14:paraId="39AD3D16">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为规范绩效管理工作，我</w:t>
      </w:r>
      <w:r>
        <w:rPr>
          <w:rFonts w:hint="eastAsia" w:ascii="仿宋" w:hAnsi="仿宋" w:eastAsia="仿宋" w:cs="仿宋"/>
          <w:sz w:val="32"/>
          <w:szCs w:val="32"/>
          <w:lang w:eastAsia="zh-CN"/>
        </w:rPr>
        <w:t>单位</w:t>
      </w:r>
      <w:r>
        <w:rPr>
          <w:rFonts w:hint="eastAsia" w:ascii="仿宋" w:hAnsi="仿宋" w:eastAsia="仿宋" w:cs="仿宋"/>
          <w:sz w:val="32"/>
          <w:szCs w:val="32"/>
        </w:rPr>
        <w:t>从事前评估、目标管理、中期监控及绩效评价等各个绩效管理环节，都建立了制度办法，各项制度的建立为扎实开展预算绩效管理工作提供了制度保障。</w:t>
      </w:r>
    </w:p>
    <w:p w14:paraId="11DFF194">
      <w:pPr>
        <w:numPr>
          <w:ilvl w:val="0"/>
          <w:numId w:val="1"/>
        </w:num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逐步扩大绩效目标管理的范围</w:t>
      </w:r>
    </w:p>
    <w:p w14:paraId="09F2BD9A">
      <w:pPr>
        <w:numPr>
          <w:ilvl w:val="0"/>
          <w:numId w:val="0"/>
        </w:numPr>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rPr>
        <w:t>在编制2021年预算时，实现所有支出项目绩效目标全覆盖。在预算编制“一上”阶段，对预算绩效目标逐个进行审核，将绩效目标设置作为项目入库和申请预算的必要前置条件，不符合相关要求的，不得进入下一步预算编审流程。</w:t>
      </w:r>
    </w:p>
    <w:p w14:paraId="175B22EE">
      <w:pPr>
        <w:numPr>
          <w:ilvl w:val="0"/>
          <w:numId w:val="1"/>
        </w:numPr>
        <w:adjustRightInd w:val="0"/>
        <w:ind w:left="0" w:leftChars="0" w:firstLine="480" w:firstLineChars="150"/>
        <w:rPr>
          <w:rFonts w:hint="eastAsia" w:ascii="仿宋" w:hAnsi="仿宋" w:eastAsia="仿宋" w:cs="仿宋"/>
          <w:sz w:val="32"/>
          <w:szCs w:val="32"/>
        </w:rPr>
      </w:pPr>
      <w:r>
        <w:rPr>
          <w:rFonts w:hint="eastAsia" w:ascii="仿宋" w:hAnsi="仿宋" w:eastAsia="仿宋" w:cs="仿宋"/>
          <w:sz w:val="32"/>
          <w:szCs w:val="32"/>
        </w:rPr>
        <w:t>开展中期监控</w:t>
      </w:r>
    </w:p>
    <w:p w14:paraId="02CA15A6">
      <w:pPr>
        <w:numPr>
          <w:ilvl w:val="0"/>
          <w:numId w:val="0"/>
        </w:numPr>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中期根据</w:t>
      </w:r>
      <w:r>
        <w:rPr>
          <w:rFonts w:hint="eastAsia" w:ascii="仿宋" w:hAnsi="仿宋" w:eastAsia="仿宋" w:cs="仿宋"/>
          <w:sz w:val="32"/>
          <w:szCs w:val="32"/>
        </w:rPr>
        <w:t>产出指标的完成值和效益指标的实现程度及趋势，对全年绩效目标完成情况进行综合判断，对预计不能完成目标的原因及拟采取的改进措施进行说明。</w:t>
      </w:r>
    </w:p>
    <w:p w14:paraId="26D73204">
      <w:pPr>
        <w:numPr>
          <w:ilvl w:val="0"/>
          <w:numId w:val="1"/>
        </w:numPr>
        <w:adjustRightInd w:val="0"/>
        <w:ind w:left="0" w:leftChars="0" w:firstLine="480" w:firstLineChars="150"/>
        <w:rPr>
          <w:rFonts w:hint="eastAsia" w:ascii="仿宋" w:hAnsi="仿宋" w:eastAsia="仿宋" w:cs="仿宋"/>
          <w:sz w:val="32"/>
          <w:szCs w:val="32"/>
          <w:lang w:eastAsia="zh-CN"/>
        </w:rPr>
      </w:pPr>
      <w:r>
        <w:rPr>
          <w:rFonts w:hint="eastAsia" w:ascii="仿宋" w:hAnsi="仿宋" w:eastAsia="仿宋" w:cs="仿宋"/>
          <w:sz w:val="32"/>
          <w:szCs w:val="32"/>
        </w:rPr>
        <w:t>完善绩效评价结果应用，增强绩效约束</w:t>
      </w:r>
    </w:p>
    <w:p w14:paraId="722B8249">
      <w:pPr>
        <w:numPr>
          <w:ilvl w:val="0"/>
          <w:numId w:val="0"/>
        </w:numPr>
        <w:adjustRightInd w:val="0"/>
        <w:ind w:firstLine="640" w:firstLineChars="200"/>
        <w:rPr>
          <w:rFonts w:hint="eastAsia" w:ascii="仿宋" w:hAnsi="仿宋" w:eastAsia="仿宋" w:cs="仿宋"/>
          <w:sz w:val="32"/>
          <w:szCs w:val="32"/>
        </w:rPr>
      </w:pPr>
      <w:r>
        <w:rPr>
          <w:rFonts w:hint="eastAsia" w:ascii="仿宋" w:hAnsi="仿宋" w:eastAsia="仿宋" w:cs="仿宋"/>
          <w:sz w:val="32"/>
          <w:szCs w:val="32"/>
        </w:rPr>
        <w:t>推进预算绩效管理，绩效评价的结果应用是关键。一是建立绩效评价结果公开和反馈整改机制。对绩效评价过程中发现的问题，及时反馈给财政局</w:t>
      </w:r>
      <w:r>
        <w:rPr>
          <w:rFonts w:hint="eastAsia" w:ascii="仿宋" w:hAnsi="仿宋" w:eastAsia="仿宋" w:cs="仿宋"/>
          <w:sz w:val="32"/>
          <w:szCs w:val="32"/>
          <w:lang w:eastAsia="zh-CN"/>
        </w:rPr>
        <w:t>主管</w:t>
      </w:r>
      <w:r>
        <w:rPr>
          <w:rFonts w:hint="eastAsia" w:ascii="仿宋" w:hAnsi="仿宋" w:eastAsia="仿宋" w:cs="仿宋"/>
          <w:sz w:val="32"/>
          <w:szCs w:val="32"/>
        </w:rPr>
        <w:t>科室。二是将绩效结果与</w:t>
      </w:r>
      <w:r>
        <w:rPr>
          <w:rFonts w:hint="eastAsia" w:ascii="仿宋" w:hAnsi="仿宋" w:eastAsia="仿宋" w:cs="仿宋"/>
          <w:sz w:val="32"/>
          <w:szCs w:val="32"/>
          <w:lang w:eastAsia="zh-CN"/>
        </w:rPr>
        <w:t>对应业务股室</w:t>
      </w:r>
      <w:r>
        <w:rPr>
          <w:rFonts w:hint="eastAsia" w:ascii="仿宋" w:hAnsi="仿宋" w:eastAsia="仿宋" w:cs="仿宋"/>
          <w:sz w:val="32"/>
          <w:szCs w:val="32"/>
        </w:rPr>
        <w:t>综合考核挂钩。把绩效结果好坏作为综合考核的依据，通过单位自评和中期监控开展情况以及重点绩效评价情况，对</w:t>
      </w:r>
      <w:r>
        <w:rPr>
          <w:rFonts w:hint="eastAsia" w:ascii="仿宋" w:hAnsi="仿宋" w:eastAsia="仿宋" w:cs="仿宋"/>
          <w:sz w:val="32"/>
          <w:szCs w:val="32"/>
          <w:lang w:eastAsia="zh-CN"/>
        </w:rPr>
        <w:t>我单位各业务股室</w:t>
      </w:r>
      <w:r>
        <w:rPr>
          <w:rFonts w:hint="eastAsia" w:ascii="仿宋" w:hAnsi="仿宋" w:eastAsia="仿宋" w:cs="仿宋"/>
          <w:sz w:val="32"/>
          <w:szCs w:val="32"/>
        </w:rPr>
        <w:t>进行考核，有效</w:t>
      </w:r>
      <w:r>
        <w:rPr>
          <w:rFonts w:hint="eastAsia" w:ascii="仿宋" w:hAnsi="仿宋" w:eastAsia="仿宋" w:cs="仿宋"/>
          <w:sz w:val="32"/>
          <w:szCs w:val="32"/>
          <w:lang w:eastAsia="zh-CN"/>
        </w:rPr>
        <w:t>地</w:t>
      </w:r>
      <w:r>
        <w:rPr>
          <w:rFonts w:hint="eastAsia" w:ascii="仿宋" w:hAnsi="仿宋" w:eastAsia="仿宋" w:cs="仿宋"/>
          <w:sz w:val="32"/>
          <w:szCs w:val="32"/>
        </w:rPr>
        <w:t>推动绩效工作的深入开展。</w:t>
      </w:r>
    </w:p>
    <w:p w14:paraId="75FD5BD3">
      <w:pPr>
        <w:pStyle w:val="17"/>
        <w:numPr>
          <w:ilvl w:val="0"/>
          <w:numId w:val="0"/>
        </w:numPr>
        <w:ind w:left="709" w:leftChars="0"/>
        <w:rPr>
          <w:rFonts w:ascii="黑体" w:hAnsi="黑体" w:eastAsia="黑体" w:cs="仿宋"/>
          <w:sz w:val="32"/>
          <w:szCs w:val="32"/>
        </w:rPr>
      </w:pPr>
      <w:r>
        <w:rPr>
          <w:rFonts w:hint="eastAsia" w:ascii="黑体" w:hAnsi="黑体" w:eastAsia="黑体" w:cs="仿宋"/>
          <w:sz w:val="32"/>
          <w:szCs w:val="32"/>
          <w:lang w:eastAsia="zh-CN"/>
        </w:rPr>
        <w:t>三、</w:t>
      </w:r>
      <w:r>
        <w:rPr>
          <w:rFonts w:hint="eastAsia" w:ascii="黑体" w:hAnsi="黑体" w:eastAsia="黑体" w:cs="仿宋"/>
          <w:sz w:val="32"/>
          <w:szCs w:val="32"/>
        </w:rPr>
        <w:t>绩效评价的组织实施情况</w:t>
      </w:r>
    </w:p>
    <w:p w14:paraId="2746E085">
      <w:pPr>
        <w:adjustRightInd w:val="0"/>
        <w:ind w:firstLine="480" w:firstLineChars="150"/>
        <w:rPr>
          <w:rFonts w:hint="eastAsia" w:ascii="仿宋" w:hAnsi="仿宋" w:eastAsia="仿宋" w:cs="仿宋"/>
          <w:sz w:val="32"/>
          <w:szCs w:val="32"/>
          <w:lang w:eastAsia="zh-CN"/>
        </w:rPr>
      </w:pPr>
      <w:r>
        <w:rPr>
          <w:rFonts w:hint="eastAsia" w:ascii="仿宋" w:hAnsi="仿宋" w:eastAsia="仿宋" w:cs="仿宋"/>
          <w:sz w:val="32"/>
          <w:szCs w:val="32"/>
          <w:lang w:eastAsia="zh-CN"/>
        </w:rPr>
        <w:t>我单位</w:t>
      </w:r>
      <w:r>
        <w:rPr>
          <w:rFonts w:hint="eastAsia" w:ascii="仿宋" w:hAnsi="仿宋" w:eastAsia="仿宋" w:cs="仿宋"/>
          <w:sz w:val="32"/>
          <w:szCs w:val="32"/>
        </w:rPr>
        <w:t>通过数据采集、问卷调查及实地调研访谈等形式，对部门决策、部门管理、部门履职、履职绩效、可持续发展能力等内容进行剖析，</w:t>
      </w:r>
      <w:r>
        <w:rPr>
          <w:rFonts w:hint="eastAsia" w:ascii="仿宋" w:hAnsi="仿宋" w:eastAsia="仿宋" w:cs="仿宋"/>
          <w:sz w:val="32"/>
          <w:szCs w:val="32"/>
          <w:lang w:eastAsia="zh-CN"/>
        </w:rPr>
        <w:t>根据部门整体支出绩效评价指标体系评分表综合分析</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年度</w:t>
      </w:r>
      <w:r>
        <w:rPr>
          <w:rFonts w:hint="eastAsia" w:ascii="仿宋" w:hAnsi="仿宋" w:eastAsia="仿宋" w:cs="仿宋"/>
          <w:sz w:val="32"/>
          <w:szCs w:val="32"/>
          <w:lang w:eastAsia="zh-CN"/>
        </w:rPr>
        <w:t>我单位绩效自评得分</w:t>
      </w:r>
      <w:r>
        <w:rPr>
          <w:rFonts w:hint="eastAsia" w:ascii="仿宋" w:hAnsi="仿宋" w:eastAsia="仿宋" w:cs="仿宋"/>
          <w:sz w:val="32"/>
          <w:szCs w:val="32"/>
          <w:lang w:val="en-US" w:eastAsia="zh-CN"/>
        </w:rPr>
        <w:t>99</w:t>
      </w:r>
      <w:r>
        <w:rPr>
          <w:rFonts w:hint="eastAsia" w:ascii="仿宋" w:hAnsi="仿宋" w:eastAsia="仿宋" w:cs="仿宋"/>
          <w:sz w:val="32"/>
          <w:szCs w:val="32"/>
        </w:rPr>
        <w:t>分</w:t>
      </w:r>
      <w:r>
        <w:rPr>
          <w:rFonts w:hint="eastAsia" w:ascii="仿宋" w:hAnsi="仿宋" w:eastAsia="仿宋" w:cs="仿宋"/>
          <w:sz w:val="32"/>
          <w:szCs w:val="32"/>
          <w:lang w:eastAsia="zh-CN"/>
        </w:rPr>
        <w:t>。</w:t>
      </w:r>
    </w:p>
    <w:p w14:paraId="524B45DC">
      <w:pPr>
        <w:adjustRightInd w:val="0"/>
        <w:ind w:firstLine="480" w:firstLineChars="150"/>
        <w:rPr>
          <w:rFonts w:hint="eastAsia" w:ascii="仿宋" w:hAnsi="仿宋" w:eastAsia="仿宋" w:cs="仿宋"/>
          <w:sz w:val="32"/>
          <w:szCs w:val="32"/>
        </w:rPr>
      </w:pPr>
      <w:r>
        <w:rPr>
          <w:rFonts w:hint="eastAsia" w:ascii="仿宋" w:hAnsi="仿宋" w:eastAsia="仿宋" w:cs="仿宋"/>
          <w:sz w:val="32"/>
          <w:szCs w:val="32"/>
        </w:rPr>
        <w:t>在绩效目标评价工作过程中，</w:t>
      </w:r>
      <w:r>
        <w:rPr>
          <w:rFonts w:hint="eastAsia" w:ascii="仿宋" w:hAnsi="仿宋" w:eastAsia="仿宋" w:cs="仿宋"/>
          <w:sz w:val="32"/>
          <w:szCs w:val="32"/>
          <w:lang w:eastAsia="zh-CN"/>
        </w:rPr>
        <w:t>我单位</w:t>
      </w:r>
      <w:r>
        <w:rPr>
          <w:rFonts w:hint="eastAsia" w:ascii="仿宋" w:hAnsi="仿宋" w:eastAsia="仿宋" w:cs="仿宋"/>
          <w:sz w:val="32"/>
          <w:szCs w:val="32"/>
        </w:rPr>
        <w:t>通过对绩效目标的设置情况、资金使用情况、项目实施管理情况、项目绩效表现情况等方面进行综合评价，对 202</w:t>
      </w:r>
      <w:r>
        <w:rPr>
          <w:rFonts w:hint="eastAsia" w:ascii="仿宋" w:hAnsi="仿宋" w:eastAsia="仿宋" w:cs="仿宋"/>
          <w:sz w:val="32"/>
          <w:szCs w:val="32"/>
          <w:lang w:val="en-US" w:eastAsia="zh-CN"/>
        </w:rPr>
        <w:t>1</w:t>
      </w:r>
      <w:r>
        <w:rPr>
          <w:rFonts w:hint="eastAsia" w:ascii="仿宋" w:hAnsi="仿宋" w:eastAsia="仿宋" w:cs="仿宋"/>
          <w:sz w:val="32"/>
          <w:szCs w:val="32"/>
        </w:rPr>
        <w:t>年度整体支出进行深入研究分析。加深了对资金使用是否</w:t>
      </w:r>
      <w:r>
        <w:rPr>
          <w:rFonts w:hint="eastAsia" w:ascii="仿宋" w:hAnsi="仿宋" w:eastAsia="仿宋" w:cs="仿宋"/>
          <w:sz w:val="32"/>
          <w:szCs w:val="32"/>
          <w:lang w:eastAsia="zh-CN"/>
        </w:rPr>
        <w:t>达到</w:t>
      </w:r>
      <w:r>
        <w:rPr>
          <w:rFonts w:hint="eastAsia" w:ascii="仿宋" w:hAnsi="仿宋" w:eastAsia="仿宋" w:cs="仿宋"/>
          <w:sz w:val="32"/>
          <w:szCs w:val="32"/>
        </w:rPr>
        <w:t>预期目标、资金管理是否规范、资金使用是否有效，检验资金支出效率和效果等方面绩效评价的理解，充分发挥了绩效目标情况评价对预算管理的指导和监督作用。</w:t>
      </w:r>
    </w:p>
    <w:p w14:paraId="710D84D9">
      <w:pPr>
        <w:pStyle w:val="17"/>
        <w:numPr>
          <w:ilvl w:val="0"/>
          <w:numId w:val="0"/>
        </w:numPr>
        <w:ind w:left="709" w:leftChars="0"/>
        <w:rPr>
          <w:rFonts w:hint="eastAsia" w:ascii="黑体" w:hAnsi="黑体" w:eastAsia="黑体" w:cs="仿宋"/>
          <w:sz w:val="32"/>
          <w:szCs w:val="32"/>
        </w:rPr>
      </w:pPr>
      <w:r>
        <w:rPr>
          <w:rFonts w:hint="eastAsia" w:ascii="黑体" w:hAnsi="黑体" w:eastAsia="黑体" w:cs="仿宋"/>
          <w:sz w:val="32"/>
          <w:szCs w:val="32"/>
          <w:lang w:eastAsia="zh-CN"/>
        </w:rPr>
        <w:t>四、</w:t>
      </w:r>
      <w:r>
        <w:rPr>
          <w:rFonts w:hint="eastAsia" w:ascii="黑体" w:hAnsi="黑体" w:eastAsia="黑体" w:cs="仿宋"/>
          <w:sz w:val="32"/>
          <w:szCs w:val="32"/>
        </w:rPr>
        <w:t>各项绩效目标的实现程度及差异性原因分析。</w:t>
      </w:r>
    </w:p>
    <w:p w14:paraId="5F7DCB18">
      <w:pPr>
        <w:pStyle w:val="17"/>
        <w:numPr>
          <w:ilvl w:val="0"/>
          <w:numId w:val="0"/>
        </w:numPr>
        <w:ind w:left="709" w:leftChars="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各项绩效目标均按绩效设定目标完成。</w:t>
      </w:r>
    </w:p>
    <w:p w14:paraId="461CDC09">
      <w:pPr>
        <w:pStyle w:val="17"/>
        <w:numPr>
          <w:ilvl w:val="0"/>
          <w:numId w:val="0"/>
        </w:numPr>
        <w:ind w:left="709" w:leftChars="0"/>
        <w:rPr>
          <w:rFonts w:hint="eastAsia" w:ascii="黑体" w:hAnsi="黑体" w:eastAsia="黑体" w:cs="仿宋"/>
          <w:sz w:val="32"/>
          <w:szCs w:val="32"/>
          <w:lang w:eastAsia="zh-CN"/>
        </w:rPr>
      </w:pPr>
      <w:r>
        <w:rPr>
          <w:rFonts w:hint="eastAsia" w:ascii="黑体" w:hAnsi="黑体" w:eastAsia="黑体" w:cs="仿宋"/>
          <w:sz w:val="32"/>
          <w:szCs w:val="32"/>
          <w:lang w:eastAsia="zh-CN"/>
        </w:rPr>
        <w:t>五、</w:t>
      </w:r>
      <w:r>
        <w:rPr>
          <w:rFonts w:hint="eastAsia" w:ascii="黑体" w:hAnsi="黑体" w:eastAsia="黑体" w:cs="仿宋"/>
          <w:sz w:val="32"/>
          <w:szCs w:val="32"/>
        </w:rPr>
        <w:t>存在问题</w:t>
      </w:r>
      <w:r>
        <w:rPr>
          <w:rFonts w:hint="eastAsia" w:ascii="黑体" w:hAnsi="黑体" w:eastAsia="黑体" w:cs="仿宋"/>
          <w:sz w:val="32"/>
          <w:szCs w:val="32"/>
          <w:lang w:eastAsia="zh-CN"/>
        </w:rPr>
        <w:t>。</w:t>
      </w:r>
    </w:p>
    <w:p w14:paraId="51754BEC">
      <w:pPr>
        <w:pStyle w:val="17"/>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1.绩效评价是一项综合性工作，涉及财务管理、经济学、社会学等多个专业领域，故仅仅依靠财务人员在没有其他相关领域的专家进行协作的情况下，对部门整体支出进行独立评价具有一定的局限性。</w:t>
      </w:r>
    </w:p>
    <w:p w14:paraId="61137655">
      <w:pPr>
        <w:pStyle w:val="17"/>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2.在设计绩效评价体系时目标的确定与量化往往带有较强的主观性与经验主义，这需要在评价过程中不断完善。</w:t>
      </w:r>
    </w:p>
    <w:p w14:paraId="0DE050A5">
      <w:pPr>
        <w:pStyle w:val="17"/>
        <w:numPr>
          <w:ilvl w:val="0"/>
          <w:numId w:val="0"/>
        </w:numPr>
        <w:ind w:firstLine="640" w:firstLineChars="200"/>
        <w:rPr>
          <w:rFonts w:hint="eastAsia" w:ascii="黑体" w:hAnsi="黑体" w:eastAsia="黑体" w:cs="仿宋"/>
          <w:sz w:val="32"/>
          <w:szCs w:val="32"/>
        </w:rPr>
      </w:pPr>
      <w:r>
        <w:rPr>
          <w:rFonts w:hint="eastAsia" w:ascii="黑体" w:hAnsi="黑体" w:eastAsia="黑体" w:cs="仿宋"/>
          <w:sz w:val="32"/>
          <w:szCs w:val="32"/>
          <w:lang w:eastAsia="zh-CN"/>
        </w:rPr>
        <w:t>六、</w:t>
      </w:r>
      <w:r>
        <w:rPr>
          <w:rFonts w:hint="eastAsia" w:ascii="黑体" w:hAnsi="黑体" w:eastAsia="黑体" w:cs="仿宋"/>
          <w:sz w:val="32"/>
          <w:szCs w:val="32"/>
        </w:rPr>
        <w:t>采取的纠偏措施及改进绩效管理建议。</w:t>
      </w:r>
    </w:p>
    <w:p w14:paraId="167FA2EA">
      <w:pPr>
        <w:pStyle w:val="17"/>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今后制定年度绩效目标时，将根据相关政府工作报告、年度工作计划和年度工作任务等文书文件中体现的具体要求，进一步梳理细化后，制定出更加明确具体的、定性和定量相结合的、可衡量考核的年度绩效目标。</w:t>
      </w: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420F2">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7</w:t>
    </w:r>
    <w:r>
      <w:rPr>
        <w:rStyle w:val="11"/>
        <w:rFonts w:ascii="宋体" w:hAnsi="宋体" w:eastAsia="宋体"/>
        <w:sz w:val="28"/>
        <w:szCs w:val="28"/>
      </w:rPr>
      <w:fldChar w:fldCharType="end"/>
    </w:r>
    <w:r>
      <w:rPr>
        <w:rStyle w:val="11"/>
        <w:rFonts w:hint="eastAsia" w:ascii="宋体" w:hAnsi="宋体" w:eastAsia="宋体"/>
        <w:sz w:val="28"/>
        <w:szCs w:val="28"/>
      </w:rPr>
      <w:t>-</w:t>
    </w:r>
  </w:p>
  <w:p w14:paraId="1F536B38">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ADDAF">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395B428A">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9C5BE8"/>
    <w:multiLevelType w:val="singleLevel"/>
    <w:tmpl w:val="ED9C5B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E0MDAzYmNjM2NmMzFjZTY0ZTE1NGYzNDAxODAyZjUifQ=="/>
  </w:docVars>
  <w:rsids>
    <w:rsidRoot w:val="00042933"/>
    <w:rsid w:val="00002F2C"/>
    <w:rsid w:val="000070A8"/>
    <w:rsid w:val="00016CA4"/>
    <w:rsid w:val="000324AE"/>
    <w:rsid w:val="00042933"/>
    <w:rsid w:val="00074438"/>
    <w:rsid w:val="0008033E"/>
    <w:rsid w:val="00083780"/>
    <w:rsid w:val="0008759D"/>
    <w:rsid w:val="00094F2B"/>
    <w:rsid w:val="000B0A83"/>
    <w:rsid w:val="000B6322"/>
    <w:rsid w:val="000C2CC1"/>
    <w:rsid w:val="000E4A5A"/>
    <w:rsid w:val="00103547"/>
    <w:rsid w:val="00136EC7"/>
    <w:rsid w:val="0017068B"/>
    <w:rsid w:val="00185A3C"/>
    <w:rsid w:val="00192D5A"/>
    <w:rsid w:val="001C59B3"/>
    <w:rsid w:val="001D49CC"/>
    <w:rsid w:val="001E0886"/>
    <w:rsid w:val="001F7E31"/>
    <w:rsid w:val="002071BC"/>
    <w:rsid w:val="00225AE6"/>
    <w:rsid w:val="002270EB"/>
    <w:rsid w:val="00235F0F"/>
    <w:rsid w:val="00255783"/>
    <w:rsid w:val="00290BA1"/>
    <w:rsid w:val="002A6AEA"/>
    <w:rsid w:val="002F07DF"/>
    <w:rsid w:val="002F2268"/>
    <w:rsid w:val="003C50C2"/>
    <w:rsid w:val="0041099F"/>
    <w:rsid w:val="00436A1D"/>
    <w:rsid w:val="004379D7"/>
    <w:rsid w:val="004A68B1"/>
    <w:rsid w:val="004B64F3"/>
    <w:rsid w:val="004E3B64"/>
    <w:rsid w:val="005020C5"/>
    <w:rsid w:val="00567FE6"/>
    <w:rsid w:val="0058162A"/>
    <w:rsid w:val="005B2327"/>
    <w:rsid w:val="005B3616"/>
    <w:rsid w:val="005E12FA"/>
    <w:rsid w:val="006279F4"/>
    <w:rsid w:val="00683167"/>
    <w:rsid w:val="006A1CCC"/>
    <w:rsid w:val="006A5056"/>
    <w:rsid w:val="006E64C9"/>
    <w:rsid w:val="007048FF"/>
    <w:rsid w:val="00712100"/>
    <w:rsid w:val="0071700D"/>
    <w:rsid w:val="00742652"/>
    <w:rsid w:val="00752E24"/>
    <w:rsid w:val="00756EFC"/>
    <w:rsid w:val="00772600"/>
    <w:rsid w:val="007D5D41"/>
    <w:rsid w:val="007F01F9"/>
    <w:rsid w:val="00856BA1"/>
    <w:rsid w:val="00867620"/>
    <w:rsid w:val="008709E0"/>
    <w:rsid w:val="008A6A10"/>
    <w:rsid w:val="008A6A31"/>
    <w:rsid w:val="008C54C8"/>
    <w:rsid w:val="00904AF4"/>
    <w:rsid w:val="00905542"/>
    <w:rsid w:val="00917700"/>
    <w:rsid w:val="00921750"/>
    <w:rsid w:val="00956F74"/>
    <w:rsid w:val="009841E5"/>
    <w:rsid w:val="009B0B5F"/>
    <w:rsid w:val="009C04DA"/>
    <w:rsid w:val="009C4C62"/>
    <w:rsid w:val="009E3627"/>
    <w:rsid w:val="009F53E7"/>
    <w:rsid w:val="00A11BF8"/>
    <w:rsid w:val="00A14A33"/>
    <w:rsid w:val="00A6449D"/>
    <w:rsid w:val="00A768DB"/>
    <w:rsid w:val="00AA09C8"/>
    <w:rsid w:val="00AD5F30"/>
    <w:rsid w:val="00B0681D"/>
    <w:rsid w:val="00B56C08"/>
    <w:rsid w:val="00B9023F"/>
    <w:rsid w:val="00BC1FDC"/>
    <w:rsid w:val="00BD0FD8"/>
    <w:rsid w:val="00C44804"/>
    <w:rsid w:val="00C6362A"/>
    <w:rsid w:val="00C81363"/>
    <w:rsid w:val="00CB27A5"/>
    <w:rsid w:val="00CD55ED"/>
    <w:rsid w:val="00CD63C0"/>
    <w:rsid w:val="00CE62A0"/>
    <w:rsid w:val="00D21F0C"/>
    <w:rsid w:val="00D366C1"/>
    <w:rsid w:val="00D36CB5"/>
    <w:rsid w:val="00D877F7"/>
    <w:rsid w:val="00DB2D43"/>
    <w:rsid w:val="00E266F1"/>
    <w:rsid w:val="00E924C0"/>
    <w:rsid w:val="00EB16A8"/>
    <w:rsid w:val="00EC7904"/>
    <w:rsid w:val="00F72E93"/>
    <w:rsid w:val="00F87A11"/>
    <w:rsid w:val="00FB2D24"/>
    <w:rsid w:val="00FB7E01"/>
    <w:rsid w:val="00FE5F4C"/>
    <w:rsid w:val="00FF39F6"/>
    <w:rsid w:val="05374814"/>
    <w:rsid w:val="054F4731"/>
    <w:rsid w:val="0C8F0285"/>
    <w:rsid w:val="0F8F6BFC"/>
    <w:rsid w:val="107166F3"/>
    <w:rsid w:val="10AE4D1E"/>
    <w:rsid w:val="1AC860C4"/>
    <w:rsid w:val="1C841DE7"/>
    <w:rsid w:val="2E864BA1"/>
    <w:rsid w:val="3791647A"/>
    <w:rsid w:val="455969D8"/>
    <w:rsid w:val="48725571"/>
    <w:rsid w:val="4BDB04ED"/>
    <w:rsid w:val="526A3656"/>
    <w:rsid w:val="53CD5365"/>
    <w:rsid w:val="5D643D56"/>
    <w:rsid w:val="64283056"/>
    <w:rsid w:val="68556066"/>
    <w:rsid w:val="69BD0A47"/>
    <w:rsid w:val="70C266C4"/>
    <w:rsid w:val="71A911C9"/>
    <w:rsid w:val="7793669D"/>
    <w:rsid w:val="7CCC21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 w:type="paragraph" w:styleId="17">
    <w:name w:val="List Paragraph"/>
    <w:basedOn w:val="1"/>
    <w:unhideWhenUsed/>
    <w:qFormat/>
    <w:uiPriority w:val="99"/>
    <w:pPr>
      <w:ind w:firstLine="420" w:firstLineChars="200"/>
    </w:pPr>
  </w:style>
  <w:style w:type="paragraph" w:customStyle="1" w:styleId="18">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3cf6fe82-8f97-4d12-afd7-dcf060b76e39</errorID>
      <errorWord>:(</errorWord>
      <group>L1_Format</group>
      <groupName>格式问题</groupName>
      <ability>L2_HalfPunc_CN</ability>
      <abilityName>全半角检查</abilityName>
      <candidateList>
        <item>：（</item>
      </candidateList>
      <explain>文本全半角错误。</explain>
      <paraID>5711505B</paraID>
      <start>4</start>
      <end>6</end>
      <status>modified</status>
      <modifiedWord>：（</modifiedWord>
      <trackRevisions>false</trackRevisions>
    </reviewItem>
    <reviewItem>
      <errorID>c640e207-2c49-4501-8674-610a1734f700</errorID>
      <errorWord>)</errorWord>
      <group>L1_Format</group>
      <groupName>格式问题</groupName>
      <ability>L2_HalfPunc_CN</ability>
      <abilityName>全半角检查</abilityName>
      <candidateList>
        <item>）</item>
      </candidateList>
      <explain>文本全半角错误。</explain>
      <paraID>5711505B</paraID>
      <start>8</start>
      <end>9</end>
      <status>modified</status>
      <modifiedWord>）</modifiedWord>
      <trackRevisions>false</trackRevisions>
    </reviewItem>
    <reviewItem>
      <errorID>e06437f0-c84b-4d41-8d28-590400ab1f51</errorID>
      <errorWord>:</errorWord>
      <group>L1_Format</group>
      <groupName>格式问题</groupName>
      <ability>L2_HalfPunc_CN</ability>
      <abilityName>全半角检查</abilityName>
      <candidateList>
        <item>：</item>
      </candidateList>
      <explain>文本全半角错误。</explain>
      <paraID>5711505B</paraID>
      <start>47</start>
      <end>48</end>
      <status>modified</status>
      <modifiedWord>：</modifiedWord>
      <trackRevisions>false</trackRevisions>
    </reviewItem>
    <reviewItem>
      <errorID>395466e3-35c3-401c-8cbf-9e1c1039624c</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1AF58A4D</paraID>
      <start>6</start>
      <end>8</end>
      <status>modified</status>
      <modifiedWord>情况</modifiedWord>
      <trackRevisions>false</trackRevisions>
    </reviewItem>
    <reviewItem>
      <errorID>66bd51aa-956a-4d23-a40d-15e7d335a344</errorID>
      <errorWord>(</errorWord>
      <group>L1_Format</group>
      <groupName>格式问题</groupName>
      <ability>L2_HalfPunc_CN</ability>
      <abilityName>全半角检查</abilityName>
      <candidateList>
        <item>（</item>
      </candidateList>
      <explain>文本全半角错误。</explain>
      <paraID>5D3D13A1</paraID>
      <start>6</start>
      <end>7</end>
      <status>modified</status>
      <modifiedWord>（</modifiedWord>
      <trackRevisions>false</trackRevisions>
    </reviewItem>
    <reviewItem>
      <errorID>d068372c-0656-44c6-be2b-e6556569e834</errorID>
      <errorWord>)</errorWord>
      <group>L1_Format</group>
      <groupName>格式问题</groupName>
      <ability>L2_HalfPunc_CN</ability>
      <abilityName>全半角检查</abilityName>
      <candidateList>
        <item>）</item>
      </candidateList>
      <explain>文本全半角错误。</explain>
      <paraID>5D3D13A1</paraID>
      <start>9</start>
      <end>10</end>
      <status>modified</status>
      <modifiedWord>）</modifiedWord>
      <trackRevisions>false</trackRevisions>
    </reviewItem>
    <reviewItem>
      <errorID>02c2b8c1-0488-40d7-a801-584fb322e6f5</errorID>
      <errorWord>100%-115%</errorWord>
      <group>L1_Knowledge</group>
      <groupName>知识性问题</groupName>
      <ability>L2_Knowledge</ability>
      <abilityName>其他知识</abilityName>
      <candidateList>
        <item>100%—115%</item>
      </candidateList>
      <explain>1. “100%-115%”中的单位“%”仅出现在后一个数字上，容易引起歧义；根据《现代汉语标点符号数字用法规范手册》，数字表示范围两边需要使用统一的格式。2. 根据标点国标 4.13 中的规则，数字、时间或地域连接符应使用（视觉上更长的）“—”或“～”。</explain>
      <paraID>49548605</paraID>
      <start>10</start>
      <end>19</end>
      <status>modified</status>
      <modifiedWord>100%—115%</modifiedWord>
      <trackRevisions>false</trackRevisions>
    </reviewItem>
    <reviewItem>
      <errorID>4104d2c3-ec07-4e68-ad40-0cd10cc6bd35</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E107CEC</paraID>
      <start>0</start>
      <end>6</end>
      <status>modified</status>
      <modifiedWord>“三公”经费</modifiedWord>
      <trackRevisions>false</trackRevisions>
    </reviewItem>
    <reviewItem>
      <errorID>35fa77df-2c7f-4180-b1dc-e7bcaaec28e2</errorID>
      <errorWord>“三公经费”预算</errorWord>
      <group>L1_Political</group>
      <groupName>政治性问题</groupName>
      <ability>L2_Keyword</ability>
      <abilityName>固定表述</abilityName>
      <candidateList>
        <item>“三公”经费预算</item>
      </candidateList>
      <explain>注意检查当前固定表述标点是否使用规范。</explain>
      <paraID>10682D8A</paraID>
      <start>5</start>
      <end>13</end>
      <status>modified</status>
      <modifiedWord>“三公”经费预算</modifiedWord>
      <trackRevisions>false</trackRevisions>
    </reviewItem>
    <reviewItem>
      <errorID>4e98531a-8df6-43a2-8683-c98f907eab71</errorID>
      <errorWord>“三公经费”预算</errorWord>
      <group>L1_Political</group>
      <groupName>政治性问题</groupName>
      <ability>L2_Keyword</ability>
      <abilityName>固定表述</abilityName>
      <candidateList>
        <item>“三公”经费预算</item>
      </candidateList>
      <explain>注意检查当前固定表述标点是否使用规范。</explain>
      <paraID>10682D8A</paraID>
      <start>18</start>
      <end>26</end>
      <status>modified</status>
      <modifiedWord>“三公”经费预算</modifiedWord>
      <trackRevisions>false</trackRevisions>
    </reviewItem>
    <reviewItem>
      <errorID>15ca95b7-2e55-4ab3-b4fa-0ad9a85c5591</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10682D8A</paraID>
      <start>57</start>
      <end>63</end>
      <status>modified</status>
      <modifiedWord>“三公”经费</modifiedWord>
      <trackRevisions>false</trackRevisions>
    </reviewItem>
    <reviewItem>
      <errorID>b30b4845-b7dc-4ea6-b7c3-9462db2b5bf8</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10682D8A</paraID>
      <start>72</start>
      <end>78</end>
      <status>modified</status>
      <modifiedWord>“三公”经费</modifiedWord>
      <trackRevisions>false</trackRevisions>
    </reviewItem>
    <reviewItem>
      <errorID>6fb38514-01ec-4a89-8a67-e4f6ef87f4eb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10682D8A</paraID>
      <start>84</start>
      <end>90</end>
      <status>modified</status>
      <modifiedWord>“三公”经费</modifiedWord>
      <trackRevisions>false</trackRevisions>
    </reviewItem>
    <reviewItem>
      <errorID>222e1920-acb7-4145-8c2e-846f16b55cd7</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10682D8A</paraID>
      <start>97</start>
      <end>103</end>
      <status>modified</status>
      <modifiedWord>“三公”经费</modifiedWord>
      <trackRevisions>false</trackRevisions>
    </reviewItem>
    <reviewItem>
      <errorID>730a1f38-53fc-4834-a621-14e27cab9bf0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10682D8A</paraID>
      <start>113</start>
      <end>119</end>
      <status>modified</status>
      <modifiedWord>“三公”经费</modifiedWord>
      <trackRevisions>false</trackRevisions>
    </reviewItem>
    <reviewItem>
      <errorID>de9144fa-76b0-4d7a-9cf0-52c66527985f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385AE9B9</paraID>
      <start>2</start>
      <end>8</end>
      <status>modified</status>
      <modifiedWord>“三公”经费</modifiedWord>
      <trackRevisions>false</trackRevisions>
    </reviewItem>
    <reviewItem>
      <errorID>7e2e6a8a-8c4d-48f1-9dde-8693932574a8</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2196899B</paraID>
      <start>2</start>
      <end>8</end>
      <status>modified</status>
      <modifiedWord>“三公”经费</modifiedWord>
      <trackRevisions>false</trackRevisions>
    </reviewItem>
    <reviewItem>
      <errorID>f193d807-d395-454a-82a4-0f4b8bf844d4</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79AA908B</paraID>
      <start>11</start>
      <end>17</end>
      <status>modified</status>
      <modifiedWord>5%—10%</modifiedWord>
      <trackRevisions>false</trackRevisions>
    </reviewItem>
    <reviewItem>
      <errorID>84ce50a5-f2d2-4e40-a8a1-8d9c5838312e</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17D9F992</paraID>
      <start>133</start>
      <end>138</end>
      <status>modified</status>
      <modifiedWord>党委、政府</modifiedWord>
      <trackRevisions>false</trackRevisions>
    </reviewItem>
    <reviewItem>
      <errorID>f4f48264-8952-4814-bf14-f1d0b8a43907</errorID>
      <errorWord>85%-95%</errorWord>
      <group>L1_Knowledge</group>
      <groupName>知识性问题</groupName>
      <ability>L2_Knowledge</ability>
      <abilityName>其他知识</abilityName>
      <candidateList>
        <item>85%—95%</item>
      </candidateList>
      <explain>1. “85%-95%”中的单位“%”仅出现在后一个数字上，容易引起歧义；根据《现代汉语标点符号数字用法规范手册》，数字表示范围两边需要使用统一的格式。2. 根据标点国标 4.13 中的规则，数字、时间或地域连接符应使用（视觉上更长的）“—”或“～”。</explain>
      <paraID>575B0B33</paraID>
      <start>10</start>
      <end>17</end>
      <status>modified</status>
      <modifiedWord>85%—95%</modifiedWord>
      <trackRevisions>false</trackRevisions>
    </reviewItem>
    <reviewItem>
      <errorID>22edebc4-2eb4-4923-a45b-312e514dcb17</errorID>
      <errorWord>(</errorWord>
      <group>L1_Format</group>
      <groupName>格式问题</groupName>
      <ability>L2_HalfPunc_CN</ability>
      <abilityName>全半角检查</abilityName>
      <candidateList>
        <item>（</item>
      </candidateList>
      <explain>文本全半角错误。</explain>
      <paraID>6BA709D2</paraID>
      <start>2</start>
      <end>3</end>
      <status>modified</status>
      <modifiedWord>（</modifiedWord>
      <trackRevisions>false</trackRevisions>
    </reviewItem>
    <reviewItem>
      <errorID>e9de3c90-3ea2-4a0d-87d0-089c3cea9c8b</errorID>
      <errorWord>)</errorWord>
      <group>L1_Format</group>
      <groupName>格式问题</groupName>
      <ability>L2_HalfPunc_CN</ability>
      <abilityName>全半角检查</abilityName>
      <candidateList>
        <item>）</item>
      </candidateList>
      <explain>文本全半角错误。</explain>
      <paraID>6BA709D2</paraID>
      <start>6</start>
      <end>7</end>
      <status>modified</status>
      <modifiedWord>）</modifiedWord>
      <trackRevisions>false</trackRevisions>
    </reviewItem>
    <reviewItem>
      <errorID>045e22d0-8dc0-4bf4-ad51-9bac095ccec1</errorID>
      <errorWord>(</errorWord>
      <group>L1_Format</group>
      <groupName>格式问题</groupName>
      <ability>L2_HalfPunc_CN</ability>
      <abilityName>全半角检查</abilityName>
      <candidateList>
        <item>（</item>
      </candidateList>
      <explain>文本全半角错误。</explain>
      <paraID>4FD707D7</paraID>
      <start>6</start>
      <end>7</end>
      <status>modified</status>
      <modifiedWord>（</modifiedWord>
      <trackRevisions>false</trackRevisions>
    </reviewItem>
    <reviewItem>
      <errorID>c27da57d-1b01-4326-8f65-562e673b4420</errorID>
      <errorWord>)</errorWord>
      <group>L1_Format</group>
      <groupName>格式问题</groupName>
      <ability>L2_HalfPunc_CN</ability>
      <abilityName>全半角检查</abilityName>
      <candidateList>
        <item>）</item>
      </candidateList>
      <explain>文本全半角错误。</explain>
      <paraID>4FD707D7</paraID>
      <start>10</start>
      <end>11</end>
      <status>modified</status>
      <modifiedWord>）</modifiedWord>
      <trackRevisions>false</trackRevisions>
    </reviewItem>
    <reviewItem>
      <errorID>ff6eb391-a2eb-4a68-830e-91ae62bcaff2</errorID>
      <errorWord>85%-95%</errorWord>
      <group>L1_Knowledge</group>
      <groupName>知识性问题</groupName>
      <ability>L2_Knowledge</ability>
      <abilityName>其他知识</abilityName>
      <candidateList>
        <item>85%—95%</item>
      </candidateList>
      <explain>1. “85%-95%”中的单位“%”仅出现在后一个数字上，容易引起歧义；根据《现代汉语标点符号数字用法规范手册》，数字表示范围两边需要使用统一的格式。2. 根据标点国标 4.13 中的规则，数字、时间或地域连接符应使用（视觉上更长的）“—”或“～”。</explain>
      <paraID>6056D926</paraID>
      <start>8</start>
      <end>15</end>
      <status>modified</status>
      <modifiedWord>85%—95%</modifiedWord>
      <trackRevisions>false</trackRevisions>
    </reviewItem>
    <reviewItem>
      <errorID>e5e53614-426b-4ce9-8e9f-7d6f457834f1</errorID>
      <errorWord>0-10%</errorWord>
      <group>L1_Knowledge</group>
      <groupName>知识性问题</groupName>
      <ability>L2_Knowledge</ability>
      <abilityName>其他知识</abilityName>
      <candidateList>
        <item>0—10%</item>
      </candidateList>
      <explain>1. “0-10%”中的单位“%”仅出现在后一个数字上，容易引起歧义；根据《现代汉语标点符号数字用法规范手册》，数字表示范围两边需要使用统一的格式。2. 根据标点国标 4.13 中的规则，数字、时间或地域连接符应使用（视觉上更长的）“—”或“～”。</explain>
      <paraID> EE3B7CB</paraID>
      <start>8</start>
      <end>13</end>
      <status>modified</status>
      <modifiedWord>0—10%</modifiedWord>
      <trackRevisions>false</trackRevisions>
    </reviewItem>
    <reviewItem>
      <errorID>06558213-b156-4d68-9d05-a8242e64713c</errorID>
      <errorWord>0-50%</errorWord>
      <group>L1_Knowledge</group>
      <groupName>知识性问题</groupName>
      <ability>L2_Knowledge</ability>
      <abilityName>其他知识</abilityName>
      <candidateList>
        <item>0—50%</item>
      </candidateList>
      <explain>1. “0-50%”中的单位“%”仅出现在后一个数字上，容易引起歧义；根据《现代汉语标点符号数字用法规范手册》，数字表示范围两边需要使用统一的格式。2. 根据标点国标 4.13 中的规则，数字、时间或地域连接符应使用（视觉上更长的）“—”或“～”。</explain>
      <paraID>7197AA37</paraID>
      <start>8</start>
      <end>13</end>
      <status>modified</status>
      <modifiedWord>0—50%</modifiedWord>
      <trackRevisions>false</trackRevisions>
    </reviewItem>
    <reviewItem>
      <errorID>753cf5fb-9272-4fb5-a119-02c4e4c33ed7</errorID>
      <errorWord>100%-105%</errorWord>
      <group>L1_Knowledge</group>
      <groupName>知识性问题</groupName>
      <ability>L2_Knowledge</ability>
      <abilityName>其他知识</abilityName>
      <candidateList>
        <item>100%—105%</item>
      </candidateList>
      <explain>1. “100%-105%”中的单位“%”仅出现在后一个数字上，容易引起歧义；根据《现代汉语标点符号数字用法规范手册》，数字表示范围两边需要使用统一的格式。2. 根据标点国标 4.13 中的规则，数字、时间或地域连接符应使用（视觉上更长的）“—”或“～”。</explain>
      <paraID> 6BDF3E6</paraID>
      <start>10</start>
      <end>19</end>
      <status>modified</status>
      <modifiedWord>100%—105%</modifiedWord>
      <trackRevisions>false</trackRevisions>
    </reviewItem>
    <reviewItem>
      <errorID>ff380050-9582-404e-9c43-8d34a4cb8cc1</errorID>
      <errorWord>90%-100%</errorWord>
      <group>L1_Knowledge</group>
      <groupName>知识性问题</groupName>
      <ability>L2_Knowledge</ability>
      <abilityName>其他知识</abilityName>
      <candidateList>
        <item>90%—100%</item>
      </candidateList>
      <explain>1. “90%-100%”中的单位“%”仅出现在后一个数字上，容易引起歧义；根据《现代汉语标点符号数字用法规范手册》，数字表示范围两边需要使用统一的格式。2.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62C75850</paraID>
      <start>10</start>
      <end>18</end>
      <status>modified</status>
      <modifiedWord>90%—100%</modifiedWord>
      <trackRevisions>false</trackRevisions>
    </reviewItem>
    <reviewItem>
      <errorID>b619b218-a1ac-4b47-8828-837be20e4a97</errorID>
      <errorWord>（</errorWord>
      <group>L1_Format</group>
      <groupName>格式问题</groupName>
      <ability>L2_HalfPunc_CN</ability>
      <abilityName>全半角检查</abilityName>
      <candidateList>
        <item>(</item>
      </candidateList>
      <explain>文本全半角错误。</explain>
      <paraID>  4F0BEE</paraID>
      <start>0</start>
      <end>1</end>
      <status>modified</status>
      <modifiedWord>(</modifiedWord>
      <trackRevisions>false</trackRevisions>
    </reviewItem>
    <reviewItem>
      <errorID>8f1a938d-31ad-445b-b18f-8c7acca872af</errorID>
      <errorWord>）</errorWord>
      <group>L1_Format</group>
      <groupName>格式问题</groupName>
      <ability>L2_HalfPunc_CN</ability>
      <abilityName>全半角检查</abilityName>
      <candidateList>
        <item>)</item>
      </candidateList>
      <explain>文本全半角错误。</explain>
      <paraID>  4F0BEE</paraID>
      <start>3</start>
      <end>4</end>
      <status>modified</status>
      <modifiedWord>)</modifiedWord>
      <trackRevisions>false</trackRevisions>
    </reviewItem>
    <reviewItem>
      <errorID>f13f6538-7210-411f-ad8d-c3f52b24a213</errorID>
      <errorWord>85%-95%</errorWord>
      <group>L1_Knowledge</group>
      <groupName>知识性问题</groupName>
      <ability>L2_Knowledge</ability>
      <abilityName>其他知识</abilityName>
      <candidateList>
        <item>85%—95%</item>
      </candidateList>
      <explain>1. “85%-95%”中的单位“%”仅出现在后一个数字上，容易引起歧义；根据《现代汉语标点符号数字用法规范手册》，数字表示范围两边需要使用统一的格式。2. 根据标点国标 4.13 中的规则，数字、时间或地域连接符应使用（视觉上更长的）“—”或“～”。</explain>
      <paraID>44743E1C</paraID>
      <start>10</start>
      <end>17</end>
      <status>modified</status>
      <modifiedWord>85%—95%</modifiedWord>
      <trackRevisions>false</trackRevisions>
    </reviewItem>
    <reviewItem>
      <errorID>ee896c66-302e-429f-98b0-e19ff9dbf94c</errorID>
      <errorWord>(</errorWord>
      <group>L1_Format</group>
      <groupName>格式问题</groupName>
      <ability>L2_HalfPunc_CN</ability>
      <abilityName>全半角检查</abilityName>
      <candidateList>
        <item>（</item>
      </candidateList>
      <explain>文本全半角错误。</explain>
      <paraID>  2CE83E</paraID>
      <start>2</start>
      <end>3</end>
      <status>modified</status>
      <modifiedWord>（</modifiedWord>
      <trackRevisions>false</trackRevisions>
    </reviewItem>
    <reviewItem>
      <errorID>a38dbcae-ca79-43a7-b57a-ea598340bfa8</errorID>
      <errorWord>)</errorWord>
      <group>L1_Format</group>
      <groupName>格式问题</groupName>
      <ability>L2_HalfPunc_CN</ability>
      <abilityName>全半角检查</abilityName>
      <candidateList>
        <item>）</item>
      </candidateList>
      <explain>文本全半角错误。</explain>
      <paraID>  2CE83E</paraID>
      <start>6</start>
      <end>7</end>
      <status>modified</status>
      <modifiedWord>）</modifiedWord>
      <trackRevisions>false</trackRevisions>
    </reviewItem>
    <reviewItem>
      <errorID>f745d4ad-61ac-437e-a0a8-c8be78e277b5</errorID>
      <errorWord>,</errorWord>
      <group>L1_Format</group>
      <groupName>格式问题</groupName>
      <ability>L2_HalfPunc_CN</ability>
      <abilityName>全半角检查</abilityName>
      <candidateList>
        <item>，</item>
      </candidateList>
      <explain>文本全半角错误。</explain>
      <paraID>5CD9420F</paraID>
      <start>27</start>
      <end>28</end>
      <status>modified</status>
      <modifiedWord>，</modifiedWord>
      <trackRevisions>false</trackRevisions>
    </reviewItem>
    <reviewItem>
      <errorID>d46c7508-ca46-482f-bb39-9c5793862eff</errorID>
      <errorWord>99%-100%</errorWord>
      <group>L1_Knowledge</group>
      <groupName>知识性问题</groupName>
      <ability>L2_Knowledge</ability>
      <abilityName>其他知识</abilityName>
      <candidateList>
        <item>99%—100%</item>
      </candidateList>
      <explain>1. “99%-100%”中的单位“%”仅出现在后一个数字上，容易引起歧义；根据《现代汉语标点符号数字用法规范手册》，数字表示范围两边需要使用统一的格式。2.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64006623</paraID>
      <start>10</start>
      <end>18</end>
      <status>modified</status>
      <modifiedWord>99%—100%</modifiedWord>
      <trackRevisions>false</trackRevisions>
    </reviewItem>
    <reviewItem>
      <errorID>e6bcf5cd-4b6f-4ce8-b0c3-54a775b7c194</errorID>
      <errorWord>人们日益增长的</errorWord>
      <group>L1_Word</group>
      <groupName>字词问题</groupName>
      <ability>L2_Typo</ability>
      <abilityName>字词错误</abilityName>
      <candidateList>
        <item>人民日益增长的</item>
      </candidateList>
      <explain/>
      <paraID>5F7874E6</paraID>
      <start>104</start>
      <end>111</end>
      <status>modified</status>
      <modifiedWord>人民日益增长的</modifiedWord>
      <trackRevisions>false</trackRevisions>
    </reviewItem>
    <reviewItem>
      <errorID>3a8a6460-92d2-48e5-8853-c9dceb6bbf05</errorID>
      <errorWord>得到了</errorWord>
      <group>L1_Word</group>
      <groupName>字词问题</groupName>
      <ability>L2_Typo</ability>
      <abilityName>字词错误</abilityName>
      <candidateList>
        <item>得到</item>
      </candidateList>
      <explain>〈动〉事物为自己所有；获得：～鼓励｜～一张奖状｜～一次学习的机会｜得不到一点儿消息。</explain>
      <paraID>5F7874E6</paraID>
      <start>181</start>
      <end>183</end>
      <status>modified</status>
      <modifiedWord>得到</modifiedWord>
      <trackRevisions>false</trackRevisions>
    </reviewItem>
    <reviewItem>
      <errorID>bc647db7-a41f-4709-bb30-a90da2a71cda</errorID>
      <errorWord>大大</errorWord>
      <group>L1_Grammar</group>
      <groupName>语法问题</groupName>
      <ability>L2_Grammar</ability>
      <abilityName>语法错误</abilityName>
      <candidateList>
        <item>大幅</item>
      </candidateList>
      <explain>“大大～提升”搭配不当，建议修改为“大幅～提升”。</explain>
      <paraID>5F7874E6</paraID>
      <start>183</start>
      <end>185</end>
      <status>modified</status>
      <modifiedWord>大幅</modifiedWord>
      <trackRevisions>false</trackRevisions>
    </reviewItem>
    <reviewItem>
      <errorID>6d6cada6-f3d7-4543-9041-adeb30f61b83</errorID>
      <errorWord>提升了</errorWord>
      <group>L1_Word</group>
      <groupName>字词问题</groupName>
      <ability>L2_Typo</ability>
      <abilityName>字词错误</abilityName>
      <candidateList>
        <item>提升</item>
      </candidateList>
      <explain/>
      <paraID>5F7874E6</paraID>
      <start>185</start>
      <end>187</end>
      <status>modified</status>
      <modifiedWord>提升</modifiedWord>
      <trackRevisions>false</trackRevisions>
    </reviewItem>
    <reviewItem>
      <errorID>dbb24221-e859-43bd-a35b-30bc00bf67ff</errorID>
      <errorWord>净化地</errorWord>
      <group>L1_Word</group>
      <groupName>字词问题</groupName>
      <ability>L2_Typo</ability>
      <abilityName>字词错误</abilityName>
      <candidateList>
        <item>净化</item>
      </candidateList>
      <explain/>
      <paraID> 1A7B1B3</paraID>
      <start>101</start>
      <end>103</end>
      <status>modified</status>
      <modifiedWord>净化</modifiedWord>
      <trackRevisions>false</trackRevisions>
    </reviewItem>
    <reviewItem>
      <errorID>18ebc300-0108-459b-9af4-093ddd4b492b</errorID>
      <errorWord>(</errorWord>
      <group>L1_Format</group>
      <groupName>格式问题</groupName>
      <ability>L2_HalfPunc_CN</ability>
      <abilityName>全半角检查</abilityName>
      <candidateList>
        <item>（</item>
      </candidateList>
      <explain>文本全半角错误。</explain>
      <paraID>15B8E503</paraID>
      <start>0</start>
      <end>1</end>
      <status>modified</status>
      <modifiedWord>（</modifiedWord>
      <trackRevisions>false</trackRevisions>
    </reviewItem>
    <reviewItem>
      <errorID>e147e2dd-f33d-49a1-bacf-8c223d834bbc</errorID>
      <errorWord>)</errorWord>
      <group>L1_Format</group>
      <groupName>格式问题</groupName>
      <ability>L2_HalfPunc_CN</ability>
      <abilityName>全半角检查</abilityName>
      <candidateList>
        <item>）</item>
      </candidateList>
      <explain>文本全半角错误。</explain>
      <paraID>15B8E503</paraID>
      <start>11</start>
      <end>12</end>
      <status>modified</status>
      <modifiedWord>）</modifiedWord>
      <trackRevisions>false</trackRevisions>
    </reviewItem>
    <reviewItem>
      <errorID>755b3218-3f5a-43bf-a793-bf5fb5dab76a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54B5FE0E</paraID>
      <start>0</start>
      <end>3</end>
      <status>modified</status>
      <modifiedWord>（一）</modifiedWord>
      <trackRevisions>false</trackRevisions>
    </reviewItem>
    <reviewItem>
      <errorID>ebf25923-f86c-46bd-a1d8-3c612b673b1a</errorID>
      <errorWord>法制建设</errorWord>
      <group>L1_Word</group>
      <groupName>字词问题</groupName>
      <ability>L2_Typo</ability>
      <abilityName>字词错误</abilityName>
      <candidateList>
        <item>法治建设</item>
      </candidateList>
      <explain/>
      <paraID> F3AEDE0</paraID>
      <start>44</start>
      <end>48</end>
      <status>modified</status>
      <modifiedWord>法治建设</modifiedWord>
      <trackRevisions>false</trackRevisions>
    </reviewItem>
    <reviewItem>
      <errorID>cd7b3ddc-b11a-49a8-a86a-a9c3a9f030e1</errorID>
      <errorWord>拟订</errorWord>
      <group>L1_Word</group>
      <groupName>字词问题</groupName>
      <ability>L2_Typo</ability>
      <abilityName>字词错误</abilityName>
      <candidateList>
        <item>拟定</item>
      </candidateList>
      <explain/>
      <paraID>580E13A1</paraID>
      <start>2</start>
      <end>4</end>
      <status>modified</status>
      <modifiedWord>拟定</modifiedWord>
      <trackRevisions>false</trackRevisions>
    </reviewItem>
    <reviewItem>
      <errorID>603e7e5f-9f29-42ad-a4de-46a1ffe9aafd</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5399BA05</paraID>
      <start>56</start>
      <end>59</end>
      <status>ignored</status>
      <modifiedWord/>
      <trackRevisions>false</trackRevisions>
    </reviewItem>
    <reviewItem>
      <errorID>5b2d0232-fc3b-41b8-b8c9-ff33e56ca1d7</errorID>
      <errorWord>室</errorWord>
      <group>L1_Word</group>
      <groupName>字词问题</groupName>
      <ability>L2_Typo</ability>
      <abilityName>字词错误</abilityName>
      <candidateList>
        <item>室在</item>
      </candidateList>
      <explain/>
      <paraID> 8126AC6</paraID>
      <start>12</start>
      <end>13</end>
      <status>ignored</status>
      <modifiedWord/>
      <trackRevisions>false</trackRevisions>
    </reviewItem>
    <reviewItem>
      <errorID>2f83e7b0-a3bd-4029-a035-a024eaa9f54a</errorID>
      <errorWord>二十大胜利召开后</errorWord>
      <group>L1_Word</group>
      <groupName>字词问题</groupName>
      <ability>L2_Typo</ability>
      <abilityName>字词错误</abilityName>
      <candidateList>
        <item>党的二十大胜利召开后</item>
      </candidateList>
      <explain/>
      <paraID>27E2D9D3</paraID>
      <start>3</start>
      <end>13</end>
      <status>modified</status>
      <modifiedWord>党的二十大胜利召开后</modifiedWord>
      <trackRevisions>false</trackRevisions>
    </reviewItem>
    <reviewItem>
      <errorID>500e83b3-4da8-470e-80d0-a4468840eab0</errorID>
      <errorWord>二十大精神</errorWord>
      <group>L1_Word</group>
      <groupName>字词问题</groupName>
      <ability>L2_Typo</ability>
      <abilityName>字词错误</abilityName>
      <candidateList>
        <item>党的二十大精神</item>
      </candidateList>
      <explain/>
      <paraID>27E2D9D3</paraID>
      <start>18</start>
      <end>25</end>
      <status>modified</status>
      <modifiedWord>党的二十大精神</modifiedWord>
      <trackRevisions>false</trackRevisions>
    </reviewItem>
    <reviewItem>
      <errorID>eb5ba413-e36e-41be-a25d-9a7554bf1980</errorID>
      <errorWord>加强</errorWord>
      <group>L1_Grammar</group>
      <groupName>语法问题</groupName>
      <ability>L2_Grammar</ability>
      <abilityName>语法错误</abilityName>
      <candidateList>
        <item>加大</item>
      </candidateList>
      <explain>“加强～力度”搭配不当，建议修改为“加大～力度”。</explain>
      <paraID> 7DA357F</paraID>
      <start>3</start>
      <end>5</end>
      <status>modified</status>
      <modifiedWord>加大</modifiedWord>
      <trackRevisions>false</trackRevisions>
    </reviewItem>
    <reviewItem>
      <errorID>10da3bbe-c425-47a9-a319-b34234a4c0f5</errorID>
      <errorWord>扬</errorWord>
      <group>L1_Word</group>
      <groupName>字词问题</groupName>
      <ability>L2_Typo</ability>
      <abilityName>字词错误</abilityName>
      <candidateList>
        <item>扬和</item>
      </candidateList>
      <explain/>
      <paraID>16EF1897</paraID>
      <start>20</start>
      <end>22</end>
      <status>modified</status>
      <modifiedWord>扬和</modifiedWord>
      <trackRevisions>false</trackRevisions>
    </reviewItem>
    <reviewItem>
      <errorID>f402a123-10a2-4ba5-939d-1fd26623cb85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722B8249</paraID>
      <start>149</start>
      <end>150</end>
      <status>modified</status>
      <modifiedWord>地</modifiedWord>
      <trackRevisions>false</trackRevisions>
    </reviewItem>
    <reviewItem>
      <errorID>17f24a66-9ee0-4886-80c2-c16a22e05950</errorID>
      <errorWord>达到了</errorWord>
      <group>L1_Word</group>
      <groupName>字词问题</groupName>
      <ability>L2_Typo</ability>
      <abilityName>字词错误</abilityName>
      <candidateList>
        <item>达到</item>
      </candidateList>
      <explain>〈动〉到（多指抽象事物或程度）：达得到｜达不到｜目的没有～｜～国际水平。</explain>
      <paraID>524B45DC</paraID>
      <start>94</start>
      <end>96</end>
      <status>modified</status>
      <modifiedWord>达到</modifiedWord>
      <trackRevisions>false</trackRevisions>
    </reviewItem>
  </reviewItems>
  <config/>
</contractReview>
</file>

<file path=customXml/itemProps1.xml><?xml version="1.0" encoding="utf-8"?>
<ds:datastoreItem xmlns:ds="http://schemas.openxmlformats.org/officeDocument/2006/customXml" ds:itemID="{9eb30712-506d-4ea5-a125-b6f90683cf9f}">
  <ds:schemaRefs/>
</ds:datastoreItem>
</file>

<file path=docProps/app.xml><?xml version="1.0" encoding="utf-8"?>
<Properties xmlns="http://schemas.openxmlformats.org/officeDocument/2006/extended-properties" xmlns:vt="http://schemas.openxmlformats.org/officeDocument/2006/docPropsVTypes">
  <Template>Normal</Template>
  <Pages>14</Pages>
  <Words>8249</Words>
  <Characters>8653</Characters>
  <Lines>40</Lines>
  <Paragraphs>11</Paragraphs>
  <TotalTime>50</TotalTime>
  <ScaleCrop>false</ScaleCrop>
  <LinksUpToDate>false</LinksUpToDate>
  <CharactersWithSpaces>8682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月影乌瞳金丝虎</cp:lastModifiedBy>
  <cp:lastPrinted>2022-03-22T16:03:00Z</cp:lastPrinted>
  <dcterms:modified xsi:type="dcterms:W3CDTF">2026-06-02T07:16:42Z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0FE7A1397D69485F809BCAC8EAEE1632</vt:lpwstr>
  </property>
  <property fmtid="{D5CDD505-2E9C-101B-9397-08002B2CF9AE}" pid="4" name="KSOTemplateDocerSaveRecord">
    <vt:lpwstr>eyJoZGlkIjoiMmE0MDAzYmNjM2NmMzFjZTY0ZTE1NGYzNDAxODAyZjUiLCJ1c2VySWQiOiI1NjU3OTIxNjQifQ==</vt:lpwstr>
  </property>
</Properties>
</file>