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附件5：</w:t>
      </w:r>
    </w:p>
    <w:p>
      <w:pPr>
        <w:spacing w:line="580" w:lineRule="exact"/>
        <w:ind w:firstLine="720" w:firstLineChars="199"/>
        <w:rPr>
          <w:rFonts w:ascii="仿宋_GB2312" w:hAnsi="仿宋_GB2312" w:eastAsia="仿宋_GB2312" w:cs="仿宋_GB2312"/>
          <w:b/>
          <w:bCs/>
          <w:spacing w:val="-20"/>
          <w:sz w:val="40"/>
          <w:szCs w:val="48"/>
        </w:rPr>
      </w:pPr>
    </w:p>
    <w:p>
      <w:pPr>
        <w:spacing w:line="580" w:lineRule="exact"/>
        <w:ind w:firstLine="796" w:firstLineChars="199"/>
        <w:jc w:val="center"/>
        <w:rPr>
          <w:rFonts w:ascii="方正小标宋简体" w:hAnsi="方正小标宋简体" w:eastAsia="方正小标宋简体" w:cs="方正小标宋简体"/>
          <w:spacing w:val="-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</w:rPr>
        <w:t>隆尧县农业农村局</w:t>
      </w:r>
    </w:p>
    <w:p>
      <w:pPr>
        <w:spacing w:line="580" w:lineRule="exact"/>
        <w:ind w:firstLine="875" w:firstLineChars="199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2022年度农产品加工集群项目重点自评绩效报告</w:t>
      </w:r>
    </w:p>
    <w:p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</w:t>
      </w: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spacing w:line="760" w:lineRule="exact"/>
        <w:rPr>
          <w:rFonts w:hint="eastAsia" w:ascii="仿宋_GB2312" w:hAnsi="仿宋_GB2312" w:eastAsia="仿宋_GB2312" w:cs="仿宋_GB2312"/>
          <w:spacing w:val="11"/>
          <w:sz w:val="28"/>
          <w:szCs w:val="28"/>
        </w:rPr>
      </w:pPr>
    </w:p>
    <w:p>
      <w:pPr>
        <w:spacing w:line="760" w:lineRule="exact"/>
        <w:rPr>
          <w:rFonts w:hint="eastAsia" w:ascii="仿宋_GB2312" w:hAnsi="仿宋_GB2312" w:eastAsia="仿宋_GB2312" w:cs="仿宋_GB2312"/>
          <w:spacing w:val="11"/>
          <w:sz w:val="28"/>
          <w:szCs w:val="28"/>
        </w:rPr>
      </w:pPr>
    </w:p>
    <w:p>
      <w:pPr>
        <w:spacing w:line="760" w:lineRule="exact"/>
        <w:rPr>
          <w:rFonts w:ascii="仿宋_GB2312" w:hAnsi="仿宋_GB2312" w:eastAsia="仿宋_GB2312" w:cs="仿宋_GB2312"/>
          <w:spacing w:val="-2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项 目 名 称：</w:t>
      </w:r>
      <w:r>
        <w:rPr>
          <w:rFonts w:ascii="仿宋_GB2312" w:hAnsi="仿宋_GB2312" w:eastAsia="仿宋_GB2312" w:cs="仿宋_GB2312"/>
          <w:b/>
          <w:bCs/>
          <w:sz w:val="28"/>
          <w:szCs w:val="28"/>
          <w:u w:val="single"/>
        </w:rPr>
        <w:t>2022年度农产品加工集群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</w:rPr>
        <w:t xml:space="preserve">项目  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项目实施单位：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隆尧县农业农村局       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项目总金额：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>300 万元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评 价 年 度：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2022年度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评价组组长：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李现国   </w:t>
      </w:r>
    </w:p>
    <w:p>
      <w:pPr>
        <w:spacing w:line="760" w:lineRule="exac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评价组成员：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董景泉、梁晓峰、李青     </w:t>
      </w:r>
      <w:bookmarkStart w:id="108" w:name="_GoBack"/>
      <w:bookmarkEnd w:id="108"/>
    </w:p>
    <w:p>
      <w:pPr>
        <w:rPr>
          <w:rFonts w:ascii="仿宋_GB2312" w:hAnsi="仿宋_GB2312" w:eastAsia="仿宋_GB2312" w:cs="仿宋_GB2312"/>
        </w:rPr>
      </w:pPr>
      <w:bookmarkStart w:id="0" w:name="_Toc5909_WPSOffice_Level1"/>
      <w:bookmarkStart w:id="1" w:name="_Toc7470_WPSOffice_Level1"/>
    </w:p>
    <w:bookmarkEnd w:id="0"/>
    <w:bookmarkEnd w:id="1"/>
    <w:p>
      <w:pPr>
        <w:pStyle w:val="2"/>
        <w:spacing w:line="120" w:lineRule="exact"/>
        <w:ind w:firstLine="560"/>
        <w:rPr>
          <w:rFonts w:ascii="仿宋_GB2312" w:hAnsi="仿宋_GB2312" w:eastAsia="仿宋_GB2312" w:cs="仿宋_GB2312"/>
        </w:rPr>
      </w:pP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" w:name="_Toc18334"/>
      <w:bookmarkStart w:id="3" w:name="_Toc6314"/>
      <w:bookmarkStart w:id="4" w:name="_Toc16913"/>
      <w:bookmarkStart w:id="5" w:name="_Toc30335"/>
      <w:bookmarkStart w:id="6" w:name="_Toc2245"/>
      <w:bookmarkStart w:id="7" w:name="_Toc23411"/>
      <w:bookmarkStart w:id="8" w:name="_Toc13153"/>
      <w:bookmarkStart w:id="9" w:name="_Toc11301"/>
      <w:bookmarkStart w:id="10" w:name="_Toc4013"/>
      <w:bookmarkStart w:id="11" w:name="_Toc9525"/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一、项目概况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12" w:name="_Toc30895"/>
      <w:bookmarkStart w:id="13" w:name="_Toc24784"/>
      <w:bookmarkStart w:id="14" w:name="_Toc22453"/>
      <w:bookmarkStart w:id="15" w:name="_Toc15831"/>
      <w:bookmarkStart w:id="16" w:name="_Toc19963"/>
      <w:bookmarkStart w:id="17" w:name="_Toc32742"/>
      <w:bookmarkStart w:id="18" w:name="_Toc23957"/>
      <w:bookmarkStart w:id="19" w:name="_Toc937"/>
      <w:bookmarkStart w:id="20" w:name="_Toc19370"/>
      <w:bookmarkStart w:id="21" w:name="_Toc22285"/>
      <w:r>
        <w:rPr>
          <w:rFonts w:hint="eastAsia" w:ascii="仿宋_GB2312" w:hAnsi="仿宋_GB2312" w:eastAsia="仿宋_GB2312" w:cs="仿宋_GB2312"/>
          <w:sz w:val="32"/>
          <w:szCs w:val="40"/>
        </w:rPr>
        <w:t>（一）项目单位基本情况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spacing w:line="580" w:lineRule="exact"/>
        <w:ind w:firstLine="640" w:firstLineChars="200"/>
        <w:outlineLvl w:val="1"/>
        <w:rPr>
          <w:rFonts w:ascii="Times New Roman" w:hAnsi="Times New Roman" w:eastAsia="仿宋_GB2312"/>
          <w:sz w:val="32"/>
          <w:szCs w:val="32"/>
        </w:rPr>
      </w:pPr>
      <w:bookmarkStart w:id="22" w:name="_Toc8843"/>
      <w:bookmarkStart w:id="23" w:name="_Toc29308"/>
      <w:bookmarkStart w:id="24" w:name="_Toc15167"/>
      <w:r>
        <w:rPr>
          <w:rFonts w:ascii="Times New Roman" w:hAnsi="Times New Roman" w:eastAsia="仿宋_GB2312"/>
          <w:sz w:val="32"/>
          <w:szCs w:val="32"/>
        </w:rPr>
        <w:t>发展壮大以食品为主导产业的农产品加工产业集群，建设中国健康食品生产基地。围绕全县优质强筋麦加工，通过强链、延链、补链，打造食品产业优质强筋麦全产业链。支持今麦郎做优做强，瞄准京津冀市场，引领全市、全省乃至全国健康食品产业发展。按照</w:t>
      </w:r>
      <w:r>
        <w:rPr>
          <w:rFonts w:hint="eastAsia" w:ascii="Times New Roman" w:hAnsi="Times New Roman" w:eastAsia="仿宋_GB2312"/>
          <w:sz w:val="32"/>
          <w:szCs w:val="32"/>
        </w:rPr>
        <w:t>“</w:t>
      </w:r>
      <w:r>
        <w:rPr>
          <w:rFonts w:ascii="Times New Roman" w:hAnsi="Times New Roman" w:eastAsia="仿宋_GB2312"/>
          <w:sz w:val="32"/>
          <w:szCs w:val="32"/>
        </w:rPr>
        <w:t>抓二产、带一产、促三产</w:t>
      </w:r>
      <w:r>
        <w:rPr>
          <w:rFonts w:hint="eastAsia" w:ascii="Times New Roman" w:hAnsi="Times New Roman" w:eastAsia="仿宋_GB2312"/>
          <w:sz w:val="32"/>
          <w:szCs w:val="32"/>
        </w:rPr>
        <w:t>”</w:t>
      </w:r>
      <w:r>
        <w:rPr>
          <w:rFonts w:ascii="Times New Roman" w:hAnsi="Times New Roman" w:eastAsia="仿宋_GB2312"/>
          <w:sz w:val="32"/>
          <w:szCs w:val="32"/>
        </w:rPr>
        <w:t>的思路，增加优质小麦附加值、溢价力，推动特色优质麦产业全链条融合发展，培育市场发展新动力、构建上引下联新模式、建立联农带农新机制，打造食品产业优质强筋麦产业链生态，以产业横向拓展、纵向延伸为抓手，打造</w:t>
      </w:r>
      <w:r>
        <w:rPr>
          <w:rFonts w:hint="eastAsia" w:ascii="Times New Roman" w:hAnsi="Times New Roman" w:eastAsia="仿宋_GB2312"/>
          <w:sz w:val="32"/>
          <w:szCs w:val="32"/>
        </w:rPr>
        <w:t>“</w:t>
      </w:r>
      <w:r>
        <w:rPr>
          <w:rFonts w:ascii="Times New Roman" w:hAnsi="Times New Roman" w:eastAsia="仿宋_GB2312"/>
          <w:sz w:val="32"/>
          <w:szCs w:val="32"/>
        </w:rPr>
        <w:t>舌尖上的隆尧</w:t>
      </w:r>
      <w:r>
        <w:rPr>
          <w:rFonts w:hint="eastAsia" w:ascii="Times New Roman" w:hAnsi="Times New Roman" w:eastAsia="仿宋_GB2312"/>
          <w:sz w:val="32"/>
          <w:szCs w:val="32"/>
        </w:rPr>
        <w:t>”</w:t>
      </w:r>
      <w:r>
        <w:rPr>
          <w:rFonts w:ascii="Times New Roman" w:hAnsi="Times New Roman" w:eastAsia="仿宋_GB2312"/>
          <w:sz w:val="32"/>
          <w:szCs w:val="32"/>
        </w:rPr>
        <w:t>品牌。</w:t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（二）项目基本情况</w:t>
      </w:r>
      <w:bookmarkEnd w:id="22"/>
      <w:bookmarkEnd w:id="23"/>
      <w:bookmarkEnd w:id="24"/>
    </w:p>
    <w:p>
      <w:pPr>
        <w:adjustRightInd w:val="0"/>
        <w:snapToGrid w:val="0"/>
        <w:spacing w:line="600" w:lineRule="atLeast"/>
        <w:ind w:firstLine="640" w:firstLineChars="200"/>
        <w:rPr>
          <w:rFonts w:ascii="Times New Roman" w:hAnsi="Times New Roman" w:eastAsia="仿宋_GB2312"/>
          <w:bCs/>
          <w:snapToGrid w:val="0"/>
          <w:kern w:val="0"/>
          <w:sz w:val="32"/>
          <w:szCs w:val="32"/>
        </w:rPr>
      </w:pPr>
      <w:bookmarkStart w:id="25" w:name="_Toc14644"/>
      <w:bookmarkStart w:id="26" w:name="_Toc17782"/>
      <w:bookmarkStart w:id="27" w:name="_Toc6781"/>
      <w:bookmarkStart w:id="28" w:name="_Toc4859"/>
      <w:bookmarkStart w:id="29" w:name="_Toc2988"/>
      <w:bookmarkStart w:id="30" w:name="_Toc28908"/>
      <w:bookmarkStart w:id="31" w:name="_Toc18992"/>
      <w:bookmarkStart w:id="32" w:name="_Toc7839"/>
      <w:bookmarkStart w:id="33" w:name="_Toc12860"/>
      <w:bookmarkStart w:id="34" w:name="_Toc26109"/>
      <w:r>
        <w:rPr>
          <w:rFonts w:ascii="Times New Roman" w:hAnsi="Times New Roman" w:eastAsia="仿宋_GB2312"/>
          <w:bCs/>
          <w:snapToGrid w:val="0"/>
          <w:kern w:val="0"/>
          <w:sz w:val="32"/>
          <w:szCs w:val="32"/>
        </w:rPr>
        <w:t>该项目省级资金300万元。农产品加工产业集群公共服务环节建设使用资金80万元，其中使用用于农产品加工产业集群信息化建设22万元，开展科企对接活动14万元，开展产销对接活动22万元，开展银企对接活动2万元，开展企企对接20万元，项目实施中科企对接、银企对接、企企对接结余资金可</w:t>
      </w:r>
      <w:r>
        <w:rPr>
          <w:rFonts w:hint="eastAsia" w:ascii="Times New Roman" w:hAnsi="Times New Roman" w:eastAsia="仿宋_GB2312"/>
          <w:bCs/>
          <w:snapToGrid w:val="0"/>
          <w:kern w:val="0"/>
          <w:sz w:val="32"/>
          <w:szCs w:val="32"/>
        </w:rPr>
        <w:t>调剂</w:t>
      </w:r>
      <w:r>
        <w:rPr>
          <w:rFonts w:ascii="Times New Roman" w:hAnsi="Times New Roman" w:eastAsia="仿宋_GB2312"/>
          <w:bCs/>
          <w:snapToGrid w:val="0"/>
          <w:kern w:val="0"/>
          <w:sz w:val="32"/>
          <w:szCs w:val="32"/>
        </w:rPr>
        <w:t>集群信息化建设。按照先建后补的原则，使用省级资金110万元</w:t>
      </w:r>
      <w:r>
        <w:rPr>
          <w:rFonts w:hint="eastAsia" w:eastAsia="仿宋_GB2312"/>
          <w:bCs/>
          <w:snapToGrid w:val="0"/>
          <w:kern w:val="0"/>
          <w:sz w:val="32"/>
          <w:szCs w:val="32"/>
        </w:rPr>
        <w:t>，</w:t>
      </w:r>
      <w:r>
        <w:rPr>
          <w:rFonts w:ascii="Times New Roman" w:hAnsi="Times New Roman" w:eastAsia="仿宋_GB2312"/>
          <w:bCs/>
          <w:snapToGrid w:val="0"/>
          <w:kern w:val="0"/>
          <w:sz w:val="32"/>
          <w:szCs w:val="32"/>
        </w:rPr>
        <w:t>对</w:t>
      </w:r>
      <w:r>
        <w:rPr>
          <w:rFonts w:hint="eastAsia" w:eastAsia="仿宋_GB2312"/>
          <w:bCs/>
          <w:snapToGrid w:val="0"/>
          <w:kern w:val="0"/>
          <w:sz w:val="32"/>
          <w:szCs w:val="32"/>
        </w:rPr>
        <w:t>农产品加工</w:t>
      </w:r>
      <w:r>
        <w:rPr>
          <w:rFonts w:ascii="Times New Roman" w:hAnsi="Times New Roman" w:eastAsia="仿宋_GB2312"/>
          <w:bCs/>
          <w:snapToGrid w:val="0"/>
          <w:kern w:val="0"/>
          <w:sz w:val="32"/>
          <w:szCs w:val="32"/>
        </w:rPr>
        <w:t>企业</w:t>
      </w:r>
      <w:r>
        <w:rPr>
          <w:rFonts w:hint="eastAsia" w:eastAsia="仿宋_GB2312"/>
          <w:bCs/>
          <w:snapToGrid w:val="0"/>
          <w:kern w:val="0"/>
          <w:sz w:val="32"/>
          <w:szCs w:val="32"/>
        </w:rPr>
        <w:t>2022年1月-2022年10月期间</w:t>
      </w:r>
      <w:r>
        <w:rPr>
          <w:rFonts w:ascii="Times New Roman" w:hAnsi="Times New Roman" w:eastAsia="仿宋_GB2312"/>
          <w:bCs/>
          <w:snapToGrid w:val="0"/>
          <w:kern w:val="0"/>
          <w:sz w:val="32"/>
          <w:szCs w:val="32"/>
        </w:rPr>
        <w:t>正常经营银行贷款进行贴息，贴息比例不超过企业支付利息50%；按照先建后补的原则，使用省级资金110万元</w:t>
      </w:r>
      <w:r>
        <w:rPr>
          <w:rFonts w:hint="eastAsia" w:eastAsia="仿宋_GB2312"/>
          <w:bCs/>
          <w:snapToGrid w:val="0"/>
          <w:kern w:val="0"/>
          <w:sz w:val="32"/>
          <w:szCs w:val="32"/>
        </w:rPr>
        <w:t>，</w:t>
      </w:r>
      <w:r>
        <w:rPr>
          <w:rFonts w:ascii="Times New Roman" w:hAnsi="Times New Roman" w:eastAsia="仿宋_GB2312"/>
          <w:bCs/>
          <w:snapToGrid w:val="0"/>
          <w:kern w:val="0"/>
          <w:sz w:val="32"/>
          <w:szCs w:val="32"/>
        </w:rPr>
        <w:t>对</w:t>
      </w:r>
      <w:r>
        <w:rPr>
          <w:rFonts w:hint="eastAsia" w:eastAsia="仿宋_GB2312"/>
          <w:bCs/>
          <w:snapToGrid w:val="0"/>
          <w:kern w:val="0"/>
          <w:sz w:val="32"/>
          <w:szCs w:val="32"/>
        </w:rPr>
        <w:t>农产品加工</w:t>
      </w:r>
      <w:r>
        <w:rPr>
          <w:rFonts w:ascii="Times New Roman" w:hAnsi="Times New Roman" w:eastAsia="仿宋_GB2312"/>
          <w:bCs/>
          <w:snapToGrid w:val="0"/>
          <w:kern w:val="0"/>
          <w:sz w:val="32"/>
          <w:szCs w:val="32"/>
        </w:rPr>
        <w:t>企业</w:t>
      </w:r>
      <w:r>
        <w:rPr>
          <w:rFonts w:hint="eastAsia" w:eastAsia="仿宋_GB2312"/>
          <w:bCs/>
          <w:snapToGrid w:val="0"/>
          <w:kern w:val="0"/>
          <w:sz w:val="32"/>
          <w:szCs w:val="32"/>
        </w:rPr>
        <w:t>2022年1月-2022年10月期间</w:t>
      </w:r>
      <w:r>
        <w:rPr>
          <w:rFonts w:ascii="Times New Roman" w:hAnsi="Times New Roman" w:eastAsia="仿宋_GB2312"/>
          <w:bCs/>
          <w:snapToGrid w:val="0"/>
          <w:kern w:val="0"/>
          <w:sz w:val="32"/>
          <w:szCs w:val="32"/>
        </w:rPr>
        <w:t>提产扩能、延长加工链条、科技研发等项目奖补110万元</w:t>
      </w:r>
      <w:r>
        <w:rPr>
          <w:rFonts w:hint="eastAsia" w:eastAsia="仿宋_GB2312"/>
          <w:bCs/>
          <w:snapToGrid w:val="0"/>
          <w:kern w:val="0"/>
          <w:sz w:val="32"/>
          <w:szCs w:val="32"/>
        </w:rPr>
        <w:t>，奖补比例不超20%，</w:t>
      </w:r>
      <w:r>
        <w:rPr>
          <w:rFonts w:ascii="Times New Roman" w:hAnsi="Times New Roman" w:eastAsia="仿宋_GB2312"/>
          <w:bCs/>
          <w:snapToGrid w:val="0"/>
          <w:kern w:val="0"/>
          <w:sz w:val="32"/>
          <w:szCs w:val="32"/>
        </w:rPr>
        <w:t>项目奖补结余部分可调剂到贴息。</w:t>
      </w: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二、项目实施情况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numPr>
          <w:ilvl w:val="0"/>
          <w:numId w:val="1"/>
        </w:numPr>
        <w:snapToGrid w:val="0"/>
        <w:spacing w:line="600" w:lineRule="atLeast"/>
        <w:ind w:firstLine="643" w:firstLineChars="200"/>
        <w:rPr>
          <w:rFonts w:ascii="Times New Roman" w:hAnsi="Times New Roman" w:eastAsia="楷体_GB2312"/>
          <w:sz w:val="32"/>
          <w:szCs w:val="32"/>
        </w:rPr>
      </w:pPr>
      <w:bookmarkStart w:id="35" w:name="_Toc13114"/>
      <w:bookmarkStart w:id="36" w:name="_Toc11365"/>
      <w:bookmarkStart w:id="37" w:name="_Toc22812"/>
      <w:bookmarkStart w:id="38" w:name="_Toc17743"/>
      <w:bookmarkStart w:id="39" w:name="_Toc31876"/>
      <w:bookmarkStart w:id="40" w:name="_Toc10886"/>
      <w:bookmarkStart w:id="41" w:name="_Toc4138"/>
      <w:bookmarkStart w:id="42" w:name="_Toc9227"/>
      <w:bookmarkStart w:id="43" w:name="_Toc17067"/>
      <w:bookmarkStart w:id="44" w:name="_Toc20844"/>
      <w:r>
        <w:rPr>
          <w:rFonts w:ascii="Times New Roman" w:hAnsi="Times New Roman" w:eastAsia="楷体_GB2312"/>
          <w:b/>
          <w:bCs/>
          <w:sz w:val="32"/>
          <w:szCs w:val="32"/>
        </w:rPr>
        <w:t>农产品加工产业集群公共服务环节建设（</w:t>
      </w:r>
      <w:r>
        <w:rPr>
          <w:rFonts w:hint="eastAsia" w:eastAsia="楷体_GB2312"/>
          <w:b/>
          <w:bCs/>
          <w:sz w:val="32"/>
          <w:szCs w:val="32"/>
        </w:rPr>
        <w:t>8</w:t>
      </w:r>
      <w:r>
        <w:rPr>
          <w:rFonts w:ascii="Times New Roman" w:hAnsi="Times New Roman" w:eastAsia="楷体_GB2312"/>
          <w:b/>
          <w:bCs/>
          <w:sz w:val="32"/>
          <w:szCs w:val="32"/>
        </w:rPr>
        <w:t>0万元）。</w:t>
      </w:r>
    </w:p>
    <w:p>
      <w:pPr>
        <w:adjustRightInd w:val="0"/>
        <w:snapToGrid w:val="0"/>
        <w:spacing w:line="600" w:lineRule="atLeast"/>
        <w:ind w:firstLine="643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</w:rPr>
        <w:t>1、</w:t>
      </w:r>
      <w:r>
        <w:rPr>
          <w:rFonts w:hint="eastAsia" w:eastAsia="仿宋_GB2312"/>
          <w:b/>
          <w:bCs/>
          <w:sz w:val="32"/>
          <w:szCs w:val="32"/>
        </w:rPr>
        <w:t>开展</w:t>
      </w:r>
      <w:r>
        <w:rPr>
          <w:rFonts w:ascii="Times New Roman" w:hAnsi="Times New Roman" w:eastAsia="仿宋_GB2312"/>
          <w:b/>
          <w:bCs/>
          <w:sz w:val="32"/>
          <w:szCs w:val="32"/>
        </w:rPr>
        <w:t>农产品加工产业集群信息化建设</w:t>
      </w:r>
      <w:r>
        <w:rPr>
          <w:rFonts w:hint="eastAsia" w:eastAsia="仿宋_GB2312"/>
          <w:b/>
          <w:bCs/>
          <w:sz w:val="32"/>
          <w:szCs w:val="32"/>
        </w:rPr>
        <w:t>（22万元）</w:t>
      </w:r>
      <w:r>
        <w:rPr>
          <w:rFonts w:ascii="Times New Roman" w:hAnsi="Times New Roman" w:eastAsia="仿宋_GB2312"/>
          <w:b/>
          <w:bCs/>
          <w:sz w:val="32"/>
          <w:szCs w:val="32"/>
        </w:rPr>
        <w:t>。</w:t>
      </w:r>
      <w:r>
        <w:rPr>
          <w:rFonts w:ascii="Times New Roman" w:hAnsi="Times New Roman" w:eastAsia="仿宋_GB2312"/>
          <w:sz w:val="32"/>
          <w:szCs w:val="32"/>
        </w:rPr>
        <w:t>举办农产品产业集群信息化建设对接服务会，聘请专家对集群内企业进行信息化培训；数字化运营设备采购（直播设备包括，电脑、手机、灯光设备、手机支架等终端设备）支持企业建设网络销售。</w:t>
      </w:r>
    </w:p>
    <w:p>
      <w:pPr>
        <w:pStyle w:val="13"/>
        <w:snapToGrid w:val="0"/>
        <w:spacing w:line="600" w:lineRule="atLeast"/>
        <w:ind w:firstLine="643" w:firstLineChars="200"/>
        <w:rPr>
          <w:rFonts w:ascii="Times New Roman" w:eastAsia="仿宋"/>
          <w:color w:val="auto"/>
          <w:sz w:val="28"/>
          <w:szCs w:val="24"/>
        </w:rPr>
      </w:pPr>
      <w:r>
        <w:rPr>
          <w:rFonts w:ascii="Times New Roman"/>
          <w:b/>
          <w:bCs/>
          <w:color w:val="auto"/>
          <w:sz w:val="32"/>
          <w:szCs w:val="32"/>
        </w:rPr>
        <w:t>2、开展科企对接活动（14万元）。</w:t>
      </w:r>
      <w:r>
        <w:rPr>
          <w:rFonts w:ascii="Times New Roman" w:eastAsia="仿宋"/>
          <w:color w:val="auto"/>
          <w:sz w:val="32"/>
          <w:szCs w:val="32"/>
        </w:rPr>
        <w:t>为提升农产品加工产业集群高质量发展，举办全县农产品加工企业与高等院校、科研院所产学研合作对接活动，为全县引进高层次人才和培养专业人才提供平台，为企业引进先进的技术、设备、理念，争取各类优势资源向隆尧聚集，服务农产品加工产业集群快速发展。</w:t>
      </w:r>
    </w:p>
    <w:p>
      <w:pPr>
        <w:pStyle w:val="13"/>
        <w:snapToGrid w:val="0"/>
        <w:spacing w:line="600" w:lineRule="atLeast"/>
        <w:ind w:firstLine="643" w:firstLineChars="200"/>
        <w:rPr>
          <w:rFonts w:ascii="Times New Roman" w:eastAsia="仿宋"/>
          <w:color w:val="auto"/>
          <w:sz w:val="30"/>
          <w:szCs w:val="30"/>
        </w:rPr>
      </w:pPr>
      <w:r>
        <w:rPr>
          <w:rFonts w:ascii="Times New Roman" w:eastAsia="仿宋"/>
          <w:b/>
          <w:bCs/>
          <w:color w:val="auto"/>
          <w:sz w:val="32"/>
          <w:szCs w:val="32"/>
        </w:rPr>
        <w:t>3、开展产销对接活动（22万元）。</w:t>
      </w:r>
      <w:r>
        <w:rPr>
          <w:rFonts w:ascii="Times New Roman" w:eastAsia="仿宋"/>
          <w:color w:val="auto"/>
          <w:sz w:val="30"/>
          <w:szCs w:val="30"/>
        </w:rPr>
        <w:t>组织集群农产品加工产业集群相关企业，瞄准市场需求，精选国内农业产业相关展会、对接会，现场租赁展位，企业现场展销、品牌宣传、产销对接。提升隆尧县农产品加工产业集群相关企业产销对接水平。通过新闻媒体、行业媒体对展销、对接活动进行宣传，提升产业知名度与美誉度。</w:t>
      </w:r>
    </w:p>
    <w:p>
      <w:pPr>
        <w:pStyle w:val="13"/>
        <w:snapToGrid w:val="0"/>
        <w:spacing w:line="600" w:lineRule="atLeast"/>
        <w:ind w:firstLine="640"/>
        <w:rPr>
          <w:rFonts w:ascii="Times New Roman" w:eastAsia="仿宋"/>
          <w:color w:val="auto"/>
          <w:sz w:val="32"/>
          <w:szCs w:val="32"/>
        </w:rPr>
      </w:pPr>
      <w:r>
        <w:rPr>
          <w:rFonts w:ascii="Times New Roman" w:eastAsia="仿宋"/>
          <w:b/>
          <w:bCs/>
          <w:color w:val="auto"/>
          <w:sz w:val="30"/>
          <w:szCs w:val="30"/>
        </w:rPr>
        <w:t>4、开展银企对接活动（2万元）。</w:t>
      </w:r>
      <w:r>
        <w:rPr>
          <w:rFonts w:ascii="Times New Roman" w:eastAsia="仿宋"/>
          <w:color w:val="auto"/>
          <w:sz w:val="32"/>
          <w:szCs w:val="32"/>
        </w:rPr>
        <w:t>举办产业集群企业与相关银企机构对接，完善企业产前、产中、产后的资金支持，促进产业发展。一是提前对接企业，策划、制定相关发展规划、资金使用等意向方案。二是组织加工企业与银企面对面洽谈对接，现场讲解方案，促进双方合作。同时以政府作为背书与银企洽谈，降低合作成本，减轻企业发展负担。</w:t>
      </w:r>
    </w:p>
    <w:p>
      <w:pPr>
        <w:pStyle w:val="13"/>
        <w:snapToGrid w:val="0"/>
        <w:spacing w:line="600" w:lineRule="atLeast"/>
        <w:ind w:firstLine="640"/>
        <w:rPr>
          <w:rFonts w:ascii="Times New Roman" w:eastAsia="仿宋"/>
          <w:color w:val="auto"/>
          <w:sz w:val="32"/>
          <w:szCs w:val="32"/>
        </w:rPr>
      </w:pPr>
      <w:r>
        <w:rPr>
          <w:rFonts w:ascii="Times New Roman" w:eastAsia="仿宋"/>
          <w:b/>
          <w:bCs/>
          <w:color w:val="auto"/>
          <w:sz w:val="32"/>
          <w:szCs w:val="32"/>
        </w:rPr>
        <w:t>5、开展企企对接活动（20万元）。</w:t>
      </w:r>
      <w:r>
        <w:rPr>
          <w:rFonts w:ascii="Times New Roman" w:eastAsia="仿宋"/>
          <w:color w:val="auto"/>
          <w:sz w:val="32"/>
          <w:szCs w:val="32"/>
        </w:rPr>
        <w:t>为学习借鉴先进地区经验，加快农产品加工集群发展，组织企业到河南驻马店等先进地区参观学习，同时开展招商洽谈活动，为加工集群发展引进先进的技术、经营理念。</w:t>
      </w:r>
    </w:p>
    <w:p>
      <w:pPr>
        <w:pStyle w:val="13"/>
        <w:snapToGrid w:val="0"/>
        <w:spacing w:line="600" w:lineRule="atLeast"/>
        <w:ind w:firstLine="640"/>
        <w:rPr>
          <w:rFonts w:ascii="Times New Roman" w:eastAsia="仿宋"/>
          <w:color w:val="auto"/>
          <w:sz w:val="30"/>
          <w:szCs w:val="30"/>
        </w:rPr>
      </w:pPr>
      <w:r>
        <w:rPr>
          <w:rFonts w:ascii="Times New Roman" w:eastAsia="楷体_GB2312"/>
          <w:b/>
          <w:bCs/>
          <w:color w:val="auto"/>
          <w:sz w:val="30"/>
          <w:szCs w:val="30"/>
        </w:rPr>
        <w:t>（二）银行贷款贴息。</w:t>
      </w:r>
      <w:r>
        <w:rPr>
          <w:rFonts w:ascii="Times New Roman"/>
          <w:bCs/>
          <w:snapToGrid w:val="0"/>
          <w:color w:val="auto"/>
          <w:sz w:val="32"/>
          <w:szCs w:val="32"/>
        </w:rPr>
        <w:t>按照先建后补的原则，使用省级资金110万元</w:t>
      </w:r>
      <w:r>
        <w:rPr>
          <w:rFonts w:hint="eastAsia" w:ascii="Times New Roman"/>
          <w:bCs/>
          <w:snapToGrid w:val="0"/>
          <w:color w:val="auto"/>
          <w:sz w:val="32"/>
          <w:szCs w:val="32"/>
        </w:rPr>
        <w:t>，</w:t>
      </w:r>
      <w:r>
        <w:rPr>
          <w:rFonts w:ascii="Times New Roman"/>
          <w:bCs/>
          <w:snapToGrid w:val="0"/>
          <w:color w:val="auto"/>
          <w:sz w:val="32"/>
          <w:szCs w:val="32"/>
        </w:rPr>
        <w:t>对</w:t>
      </w:r>
      <w:r>
        <w:rPr>
          <w:rFonts w:hint="eastAsia"/>
          <w:bCs/>
          <w:snapToGrid w:val="0"/>
          <w:color w:val="auto"/>
          <w:sz w:val="32"/>
          <w:szCs w:val="32"/>
        </w:rPr>
        <w:t>农产品加工</w:t>
      </w:r>
      <w:r>
        <w:rPr>
          <w:rFonts w:ascii="Times New Roman"/>
          <w:bCs/>
          <w:snapToGrid w:val="0"/>
          <w:color w:val="auto"/>
          <w:sz w:val="32"/>
          <w:szCs w:val="32"/>
        </w:rPr>
        <w:t>企业</w:t>
      </w:r>
      <w:r>
        <w:rPr>
          <w:rFonts w:hint="eastAsia"/>
          <w:bCs/>
          <w:snapToGrid w:val="0"/>
          <w:color w:val="auto"/>
          <w:sz w:val="32"/>
          <w:szCs w:val="32"/>
        </w:rPr>
        <w:t>2022年1月-2022年10月期间</w:t>
      </w:r>
      <w:r>
        <w:rPr>
          <w:rFonts w:ascii="Times New Roman"/>
          <w:bCs/>
          <w:snapToGrid w:val="0"/>
          <w:color w:val="auto"/>
          <w:sz w:val="32"/>
          <w:szCs w:val="32"/>
        </w:rPr>
        <w:t>正常经营银行贷款进行贴息，贴息比例不超过企业支付利息50%</w:t>
      </w:r>
      <w:r>
        <w:rPr>
          <w:rFonts w:ascii="Times New Roman" w:eastAsia="仿宋"/>
          <w:color w:val="auto"/>
          <w:sz w:val="30"/>
          <w:szCs w:val="30"/>
        </w:rPr>
        <w:t>。</w:t>
      </w:r>
    </w:p>
    <w:p>
      <w:pPr>
        <w:pStyle w:val="13"/>
        <w:snapToGrid w:val="0"/>
        <w:spacing w:line="600" w:lineRule="atLeast"/>
        <w:ind w:firstLine="640"/>
        <w:rPr>
          <w:rFonts w:hAnsi="仿宋_GB2312" w:cs="仿宋_GB2312"/>
          <w:sz w:val="32"/>
          <w:szCs w:val="40"/>
        </w:rPr>
      </w:pPr>
      <w:r>
        <w:rPr>
          <w:rFonts w:ascii="Times New Roman" w:eastAsia="楷体_GB2312"/>
          <w:b/>
          <w:bCs/>
          <w:color w:val="auto"/>
          <w:sz w:val="30"/>
          <w:szCs w:val="30"/>
        </w:rPr>
        <w:t>（三）项目奖补。</w:t>
      </w:r>
      <w:r>
        <w:rPr>
          <w:rFonts w:ascii="Times New Roman"/>
          <w:bCs/>
          <w:snapToGrid w:val="0"/>
          <w:color w:val="auto"/>
          <w:sz w:val="32"/>
          <w:szCs w:val="32"/>
        </w:rPr>
        <w:t>按照先建后补的原则，使用省级资金110万元</w:t>
      </w:r>
      <w:r>
        <w:rPr>
          <w:rFonts w:hint="eastAsia"/>
          <w:bCs/>
          <w:snapToGrid w:val="0"/>
          <w:color w:val="auto"/>
          <w:sz w:val="32"/>
          <w:szCs w:val="32"/>
        </w:rPr>
        <w:t>，</w:t>
      </w:r>
      <w:r>
        <w:rPr>
          <w:rFonts w:ascii="Times New Roman"/>
          <w:bCs/>
          <w:snapToGrid w:val="0"/>
          <w:color w:val="auto"/>
          <w:sz w:val="32"/>
          <w:szCs w:val="32"/>
        </w:rPr>
        <w:t>对</w:t>
      </w:r>
      <w:r>
        <w:rPr>
          <w:rFonts w:hint="eastAsia"/>
          <w:bCs/>
          <w:snapToGrid w:val="0"/>
          <w:color w:val="auto"/>
          <w:sz w:val="32"/>
          <w:szCs w:val="32"/>
        </w:rPr>
        <w:t>农产品加工</w:t>
      </w:r>
      <w:r>
        <w:rPr>
          <w:rFonts w:ascii="Times New Roman"/>
          <w:bCs/>
          <w:snapToGrid w:val="0"/>
          <w:color w:val="auto"/>
          <w:sz w:val="32"/>
          <w:szCs w:val="32"/>
        </w:rPr>
        <w:t>企业</w:t>
      </w:r>
      <w:r>
        <w:rPr>
          <w:rFonts w:hint="eastAsia"/>
          <w:bCs/>
          <w:snapToGrid w:val="0"/>
          <w:color w:val="auto"/>
          <w:sz w:val="32"/>
          <w:szCs w:val="32"/>
        </w:rPr>
        <w:t>2022年1月-2022年10月期间</w:t>
      </w:r>
      <w:r>
        <w:rPr>
          <w:rFonts w:ascii="Times New Roman"/>
          <w:bCs/>
          <w:snapToGrid w:val="0"/>
          <w:color w:val="auto"/>
          <w:sz w:val="32"/>
          <w:szCs w:val="32"/>
        </w:rPr>
        <w:t>提产扩能、延长加工链条、科技研发等项目奖补110万元</w:t>
      </w:r>
      <w:r>
        <w:rPr>
          <w:rFonts w:hint="eastAsia"/>
          <w:bCs/>
          <w:snapToGrid w:val="0"/>
          <w:color w:val="auto"/>
          <w:sz w:val="32"/>
          <w:szCs w:val="32"/>
        </w:rPr>
        <w:t>，奖补比例不超20%。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45" w:name="_Toc10651"/>
      <w:bookmarkStart w:id="46" w:name="_Toc6451"/>
      <w:bookmarkStart w:id="47" w:name="_Toc21501"/>
      <w:bookmarkStart w:id="48" w:name="_Toc5215"/>
      <w:bookmarkStart w:id="49" w:name="_Toc29800"/>
      <w:bookmarkStart w:id="50" w:name="_Toc20904"/>
      <w:bookmarkStart w:id="51" w:name="_Toc18915"/>
      <w:bookmarkStart w:id="52" w:name="_Toc12150"/>
      <w:bookmarkStart w:id="53" w:name="_Toc5317"/>
      <w:bookmarkStart w:id="54" w:name="_Toc26855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三、绩效评价工作情况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55" w:name="_Toc5105"/>
      <w:bookmarkStart w:id="56" w:name="_Toc15730"/>
      <w:bookmarkStart w:id="57" w:name="_Toc14742"/>
      <w:bookmarkStart w:id="58" w:name="_Toc22771"/>
      <w:bookmarkStart w:id="59" w:name="_Toc7570"/>
      <w:bookmarkStart w:id="60" w:name="_Toc25600"/>
      <w:bookmarkStart w:id="61" w:name="_Toc8077"/>
      <w:bookmarkStart w:id="62" w:name="_Toc23608"/>
      <w:bookmarkStart w:id="63" w:name="_Toc4056"/>
      <w:bookmarkStart w:id="64" w:name="_Toc17355"/>
      <w:r>
        <w:rPr>
          <w:rFonts w:hint="eastAsia" w:ascii="仿宋_GB2312" w:hAnsi="仿宋_GB2312" w:eastAsia="仿宋_GB2312" w:cs="仿宋_GB2312"/>
          <w:sz w:val="32"/>
          <w:szCs w:val="40"/>
        </w:rPr>
        <w:t>（一）评价目的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2"/>
        <w:ind w:firstLine="640"/>
      </w:pPr>
      <w:r>
        <w:rPr>
          <w:rFonts w:ascii="Times New Roman" w:hAnsi="Times New Roman" w:eastAsia="仿宋"/>
          <w:color w:val="auto"/>
          <w:kern w:val="0"/>
          <w:sz w:val="32"/>
          <w:szCs w:val="32"/>
        </w:rPr>
        <w:t>通过项目的实施，实</w:t>
      </w:r>
      <w:r>
        <w:rPr>
          <w:rFonts w:ascii="Times New Roman" w:hAnsi="Times New Roman" w:eastAsia="仿宋"/>
          <w:color w:val="auto"/>
          <w:sz w:val="32"/>
          <w:szCs w:val="32"/>
        </w:rPr>
        <w:t>现农产品加工产业集群年产值每年递增8%以上，到2022年食品产业集群产值达到120亿元，龙头企业吸引社会投资达到2000万元以上、信贷资金2亿元以上。到2025年基本上建成特色鲜明、功能完善、地位突出、布局合理的现代化综合性食品加工产业集群，实现由面食生产基地向现代食品制造基地的转变；形成方便食品制造业为支撑，特色饮料制造业、新型食品制造业和配套产品制造业协调发展的工业体系；基本形成产业功能区、综合服务功能区和生态功能区协调配套、关联互动的空间发展布局；建成设施完备、服务高效、监管到位、保障有力的基础和公共服务体系。形成食品加工产业发展与全县农业科技园区、东方食品城园区、隆尧县乡村振兴示范区、莲子镇镇中国</w:t>
      </w:r>
      <w:r>
        <w:rPr>
          <w:rFonts w:hint="eastAsia" w:eastAsia="仿宋"/>
          <w:color w:val="auto"/>
          <w:sz w:val="32"/>
          <w:szCs w:val="32"/>
        </w:rPr>
        <w:t>“</w:t>
      </w:r>
      <w:r>
        <w:rPr>
          <w:rFonts w:ascii="Times New Roman" w:hAnsi="Times New Roman" w:eastAsia="仿宋"/>
          <w:color w:val="auto"/>
          <w:sz w:val="32"/>
          <w:szCs w:val="32"/>
        </w:rPr>
        <w:t>特色小镇</w:t>
      </w:r>
      <w:r>
        <w:rPr>
          <w:rFonts w:hint="eastAsia" w:eastAsia="仿宋"/>
          <w:color w:val="auto"/>
          <w:sz w:val="32"/>
          <w:szCs w:val="32"/>
        </w:rPr>
        <w:t>”</w:t>
      </w:r>
      <w:r>
        <w:rPr>
          <w:rFonts w:ascii="Times New Roman" w:hAnsi="Times New Roman" w:eastAsia="仿宋"/>
          <w:color w:val="auto"/>
          <w:sz w:val="32"/>
          <w:szCs w:val="32"/>
        </w:rPr>
        <w:t>的发展建设相得益彰形成合力，将东方食品城建设城世界食品界“达沃斯”，为实施乡村振兴战略贡献产业力量。</w:t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65" w:name="_Toc27346"/>
      <w:bookmarkStart w:id="66" w:name="_Toc16971"/>
      <w:bookmarkStart w:id="67" w:name="_Toc18502"/>
      <w:bookmarkStart w:id="68" w:name="_Toc8288"/>
      <w:bookmarkStart w:id="69" w:name="_Toc30351"/>
      <w:bookmarkStart w:id="70" w:name="_Toc16121"/>
      <w:bookmarkStart w:id="71" w:name="_Toc27199"/>
      <w:bookmarkStart w:id="72" w:name="_Toc3910"/>
      <w:bookmarkStart w:id="73" w:name="_Toc22727"/>
      <w:bookmarkStart w:id="74" w:name="_Toc25746"/>
      <w:r>
        <w:rPr>
          <w:rFonts w:hint="eastAsia" w:ascii="仿宋_GB2312" w:hAnsi="仿宋_GB2312" w:eastAsia="仿宋_GB2312" w:cs="仿宋_GB2312"/>
          <w:sz w:val="32"/>
          <w:szCs w:val="40"/>
        </w:rPr>
        <w:t>（二）评价指标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>
      <w:pPr>
        <w:spacing w:line="580" w:lineRule="exact"/>
        <w:ind w:firstLine="640" w:firstLineChars="200"/>
        <w:outlineLvl w:val="1"/>
      </w:pPr>
      <w:r>
        <w:rPr>
          <w:rFonts w:hint="eastAsia" w:ascii="仿宋" w:hAnsi="仿宋" w:eastAsia="仿宋" w:cs="仿宋"/>
          <w:sz w:val="32"/>
          <w:szCs w:val="32"/>
        </w:rPr>
        <w:t>评价指标。绩效评价指标共 100 分。具体为:“工作活动”设置 20分，工作活动”管理 20分，“工作活动”产出50分，“工作活动”效果10分。</w:t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75" w:name="_Toc11684"/>
      <w:bookmarkStart w:id="76" w:name="_Toc32306"/>
      <w:bookmarkStart w:id="77" w:name="_Toc5304"/>
      <w:bookmarkStart w:id="78" w:name="_Toc12572"/>
      <w:bookmarkStart w:id="79" w:name="_Toc19154"/>
      <w:bookmarkStart w:id="80" w:name="_Toc5587"/>
      <w:bookmarkStart w:id="81" w:name="_Toc19068"/>
      <w:bookmarkStart w:id="82" w:name="_Toc25343"/>
      <w:bookmarkStart w:id="83" w:name="_Toc23270"/>
      <w:bookmarkStart w:id="84" w:name="_Toc32241"/>
      <w:r>
        <w:rPr>
          <w:rFonts w:hint="eastAsia" w:ascii="仿宋_GB2312" w:hAnsi="仿宋_GB2312" w:eastAsia="仿宋_GB2312" w:cs="仿宋_GB2312"/>
          <w:sz w:val="32"/>
          <w:szCs w:val="40"/>
        </w:rPr>
        <w:t>（三）评价依据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>
      <w:pPr>
        <w:pStyle w:val="2"/>
        <w:ind w:firstLine="640"/>
      </w:pPr>
      <w:r>
        <w:rPr>
          <w:rFonts w:ascii="Times New Roman" w:hAnsi="Times New Roman" w:eastAsia="仿宋"/>
          <w:color w:val="auto"/>
          <w:sz w:val="32"/>
          <w:szCs w:val="32"/>
        </w:rPr>
        <w:t>根据邢台市农业农村局（邢农财发〔2022〕7号）通知和《河北省2022年省级财政提前下达农业转移支付项目（农产品加工集群项目建设）实施方案》（冀农财发〔2022〕5号）精神，结合工作实际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情况。</w:t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85" w:name="_Toc9401"/>
      <w:bookmarkStart w:id="86" w:name="_Toc22038"/>
      <w:bookmarkStart w:id="87" w:name="_Toc11243"/>
      <w:bookmarkStart w:id="88" w:name="_Toc13179"/>
      <w:bookmarkStart w:id="89" w:name="_Toc24302"/>
      <w:bookmarkStart w:id="90" w:name="_Toc7393"/>
      <w:bookmarkStart w:id="91" w:name="_Toc1868"/>
      <w:bookmarkStart w:id="92" w:name="_Toc12940"/>
      <w:bookmarkStart w:id="93" w:name="_Toc6747"/>
      <w:bookmarkStart w:id="94" w:name="_Toc26780"/>
      <w:r>
        <w:rPr>
          <w:rFonts w:hint="eastAsia" w:ascii="仿宋_GB2312" w:hAnsi="仿宋_GB2312" w:eastAsia="仿宋_GB2312" w:cs="仿宋_GB2312"/>
          <w:sz w:val="32"/>
          <w:szCs w:val="40"/>
        </w:rPr>
        <w:t>（四）评价的主要方法及等级设定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</w:rPr>
      </w:pPr>
      <w:bookmarkStart w:id="95" w:name="_Toc10113"/>
      <w:bookmarkStart w:id="96" w:name="_Toc28621"/>
      <w:bookmarkStart w:id="97" w:name="_Toc20748"/>
      <w:bookmarkStart w:id="98" w:name="_Toc6105"/>
      <w:bookmarkStart w:id="99" w:name="_Toc18842"/>
      <w:bookmarkStart w:id="100" w:name="_Toc22222"/>
      <w:bookmarkStart w:id="101" w:name="_Toc17025"/>
      <w:bookmarkStart w:id="102" w:name="_Toc5623"/>
      <w:bookmarkStart w:id="103" w:name="_Toc30508"/>
      <w:bookmarkStart w:id="104" w:name="_Toc21014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四、绩效评价指标体系及得分情况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>
      <w:pPr>
        <w:ind w:firstLine="2080" w:firstLineChars="740"/>
      </w:pPr>
      <w:r>
        <w:rPr>
          <w:rFonts w:ascii="仿宋_GB2312" w:hAnsi="仿宋_GB2312" w:eastAsia="仿宋_GB2312" w:cs="仿宋_GB2312"/>
          <w:b/>
          <w:color w:val="000000"/>
          <w:kern w:val="0"/>
          <w:sz w:val="28"/>
          <w:szCs w:val="28"/>
        </w:rPr>
        <w:t>集群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  <w:t>内龙头企业项目重点绩效评价指标表</w:t>
      </w:r>
    </w:p>
    <w:tbl>
      <w:tblPr>
        <w:tblStyle w:val="8"/>
        <w:tblW w:w="9098" w:type="dxa"/>
        <w:tblInd w:w="-1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491"/>
        <w:gridCol w:w="2498"/>
        <w:gridCol w:w="426"/>
        <w:gridCol w:w="3696"/>
        <w:gridCol w:w="7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一级指标  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 三级指标</w:t>
            </w:r>
          </w:p>
        </w:tc>
        <w:tc>
          <w:tcPr>
            <w:tcW w:w="426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2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3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“工作活动”设置（20分）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有政府相关政策、规划、任务等文件得2分；无不得分。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工作活动与部门职责、工作规划和重点工作相关，工作活动项下确定的预算项目合理，与工作活动密切相关，工作活动和项目预算安排合理，得4分；否则不得分。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①是否将项目绩效目标细化分解为具体的绩效指标；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②是否通过清晰、可衡量的指标值予以体现；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③是否与项目年度任务数或计划数相对应；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④是否与预算确定的项目投资额或资金量相匹配。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缺少一项扣*分,扣完为止。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是否有绩效评价报告，报告是否依据充分、内容真实完整；数据准确、分析透彻。每存在一项问题扣2分，扣完为止。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“工作活动”管理（20分）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预算调整率=（预算调整数/预算数）×100%。预算调整率每大于1%扣1分，扣完为止。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资金使用合规性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项目资金使用是否符合国家财经法规及相关的财务管理制度规定，资金支出程序是否规范,报账手续是否齐全。每存在一项不合规问题扣2分，扣完为止。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会计核算是否符合《会计法》、《政府会计制度》、《会计基础工作规范》等法律法规和相关制度规定。每存在一项不合规问题扣1分，扣完为止。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是否建立责任机制，项目管理和责任落实到有关人。每存在一项问题扣1分，扣完为止。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制定管理制度和措施（包括财务制度）是否明确、清晰、具有可操作性，能否保障工作活动顺利实施。每缺少一项制度扣1分，扣完为止。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“工作活动”产出（50分）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农产品加工产值增额</w:t>
            </w:r>
          </w:p>
        </w:tc>
        <w:tc>
          <w:tcPr>
            <w:tcW w:w="4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集群农产品加工销售额增长</w:t>
            </w:r>
          </w:p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abs>
                <w:tab w:val="left" w:pos="212"/>
              </w:tabs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增加税收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2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</w:p>
        </w:tc>
        <w:tc>
          <w:tcPr>
            <w:tcW w:w="49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新增就业人数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时效指标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预算执行率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9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3.7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“工作活动”效果（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满意度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群众满意度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受益群众满意率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ind w:firstLine="220" w:firstLineChars="100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93.7</w:t>
            </w:r>
          </w:p>
        </w:tc>
      </w:tr>
    </w:tbl>
    <w:p>
      <w:pPr>
        <w:pStyle w:val="2"/>
        <w:spacing w:line="560" w:lineRule="exact"/>
        <w:ind w:left="420" w:leftChars="200" w:firstLine="320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105" w:name="_Toc2634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五、评价分析</w:t>
      </w:r>
      <w:bookmarkEnd w:id="105"/>
    </w:p>
    <w:p>
      <w:pPr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color w:val="000000"/>
          <w:sz w:val="32"/>
          <w:szCs w:val="40"/>
        </w:rPr>
      </w:pPr>
      <w:bookmarkStart w:id="106" w:name="_Toc18513_WPSOffice_Level2"/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（一）主要扣分事项及原因分析</w:t>
      </w:r>
      <w:bookmarkEnd w:id="106"/>
    </w:p>
    <w:p>
      <w:pPr>
        <w:spacing w:line="560" w:lineRule="exact"/>
        <w:ind w:firstLine="640" w:firstLineChars="200"/>
        <w:outlineLvl w:val="1"/>
      </w:pPr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 xml:space="preserve"> 因疫情原因，没有按期完成，下一步加大工作力度，力争早日完成。</w:t>
      </w:r>
    </w:p>
    <w:p>
      <w:pPr>
        <w:pStyle w:val="2"/>
        <w:spacing w:line="560" w:lineRule="exact"/>
        <w:ind w:left="420" w:leftChars="200" w:firstLine="320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107" w:name="_Toc11279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六、意见及建议</w:t>
      </w:r>
      <w:bookmarkEnd w:id="107"/>
    </w:p>
    <w:p>
      <w:pPr>
        <w:pStyle w:val="2"/>
        <w:spacing w:line="560" w:lineRule="exact"/>
        <w:ind w:firstLine="64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无</w:t>
      </w: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firstLine="4800" w:firstLineChars="15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2023年3月16日</w:t>
      </w:r>
    </w:p>
    <w:p>
      <w:pPr>
        <w:rPr>
          <w:rFonts w:ascii="仿宋_GB2312" w:hAnsi="仿宋_GB2312" w:eastAsia="仿宋_GB2312" w:cs="仿宋_GB2312"/>
        </w:rPr>
      </w:pPr>
    </w:p>
    <w:sectPr>
      <w:headerReference r:id="rId3" w:type="default"/>
      <w:footerReference r:id="rId4" w:type="default"/>
      <w:pgSz w:w="11906" w:h="16838"/>
      <w:pgMar w:top="2154" w:right="1474" w:bottom="1984" w:left="158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zql5uc8AAAAFAQAA&#10;DwAAAAAAAAABACAAAAAiAAAAZHJzL2Rvd25yZXYueG1sUEsBAhQAFAAAAAgAh07iQEYQVhSwAQAA&#10;WQMAAA4AAAAAAAAAAQAgAAAAHgEAAGRycy9lMm9Eb2MueG1sUEsFBgAAAAAGAAYAWQEAAEAFAAAA&#10;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8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983967"/>
    <w:multiLevelType w:val="singleLevel"/>
    <w:tmpl w:val="D698396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wNGIzMTM3NzcyODk5Y2IxNWVlMTgzMjllODBkNGUifQ=="/>
  </w:docVars>
  <w:rsids>
    <w:rsidRoot w:val="07CC499B"/>
    <w:rsid w:val="00092B14"/>
    <w:rsid w:val="000D47D0"/>
    <w:rsid w:val="001373BE"/>
    <w:rsid w:val="001F3212"/>
    <w:rsid w:val="00207D8A"/>
    <w:rsid w:val="002707C6"/>
    <w:rsid w:val="00280F82"/>
    <w:rsid w:val="002D0BF7"/>
    <w:rsid w:val="003170CE"/>
    <w:rsid w:val="003C4354"/>
    <w:rsid w:val="00645DBC"/>
    <w:rsid w:val="007812E3"/>
    <w:rsid w:val="00814E39"/>
    <w:rsid w:val="008C7CF4"/>
    <w:rsid w:val="00A02C66"/>
    <w:rsid w:val="00AB413B"/>
    <w:rsid w:val="00B60E03"/>
    <w:rsid w:val="00C25072"/>
    <w:rsid w:val="00D25A69"/>
    <w:rsid w:val="00D25BB2"/>
    <w:rsid w:val="00D25CC3"/>
    <w:rsid w:val="00D3165F"/>
    <w:rsid w:val="00D471F4"/>
    <w:rsid w:val="00D5394A"/>
    <w:rsid w:val="00DB6DF3"/>
    <w:rsid w:val="00E30CAE"/>
    <w:rsid w:val="00E310A2"/>
    <w:rsid w:val="00EF2BA5"/>
    <w:rsid w:val="00EF6DA3"/>
    <w:rsid w:val="00FA340E"/>
    <w:rsid w:val="01B67D1F"/>
    <w:rsid w:val="01CA2AF2"/>
    <w:rsid w:val="03274687"/>
    <w:rsid w:val="04064A0C"/>
    <w:rsid w:val="04321BCD"/>
    <w:rsid w:val="04B067CC"/>
    <w:rsid w:val="04FF4482"/>
    <w:rsid w:val="057A0A50"/>
    <w:rsid w:val="064C4C17"/>
    <w:rsid w:val="076C3175"/>
    <w:rsid w:val="07CC499B"/>
    <w:rsid w:val="0815567D"/>
    <w:rsid w:val="0909607F"/>
    <w:rsid w:val="09A64785"/>
    <w:rsid w:val="0A3B4E4B"/>
    <w:rsid w:val="0B402B33"/>
    <w:rsid w:val="0B601B06"/>
    <w:rsid w:val="0BEB58BF"/>
    <w:rsid w:val="0C15027B"/>
    <w:rsid w:val="0C3B2A49"/>
    <w:rsid w:val="0DAA4EE9"/>
    <w:rsid w:val="0E3117D9"/>
    <w:rsid w:val="102B0836"/>
    <w:rsid w:val="1064155D"/>
    <w:rsid w:val="1156122B"/>
    <w:rsid w:val="11F11891"/>
    <w:rsid w:val="12C35BB4"/>
    <w:rsid w:val="140849FA"/>
    <w:rsid w:val="14583EA3"/>
    <w:rsid w:val="151D09B5"/>
    <w:rsid w:val="1689469A"/>
    <w:rsid w:val="16DB1E7D"/>
    <w:rsid w:val="178C6C5A"/>
    <w:rsid w:val="17CD646A"/>
    <w:rsid w:val="184F3049"/>
    <w:rsid w:val="1B3F225B"/>
    <w:rsid w:val="1B4269FF"/>
    <w:rsid w:val="1D4B3C83"/>
    <w:rsid w:val="1DBD7AB3"/>
    <w:rsid w:val="1E0B387E"/>
    <w:rsid w:val="21460607"/>
    <w:rsid w:val="21FF1E9B"/>
    <w:rsid w:val="23C1122C"/>
    <w:rsid w:val="243D751D"/>
    <w:rsid w:val="24522B03"/>
    <w:rsid w:val="25ED2FD4"/>
    <w:rsid w:val="264A346A"/>
    <w:rsid w:val="270A41B9"/>
    <w:rsid w:val="274B3C4E"/>
    <w:rsid w:val="285356FD"/>
    <w:rsid w:val="288E37E0"/>
    <w:rsid w:val="290243B4"/>
    <w:rsid w:val="2A482F48"/>
    <w:rsid w:val="2A5C748F"/>
    <w:rsid w:val="2B10000E"/>
    <w:rsid w:val="2B2D56DA"/>
    <w:rsid w:val="2D391E20"/>
    <w:rsid w:val="30785FD3"/>
    <w:rsid w:val="31702E0D"/>
    <w:rsid w:val="33C32B3C"/>
    <w:rsid w:val="349B54D6"/>
    <w:rsid w:val="34E52524"/>
    <w:rsid w:val="35452A4A"/>
    <w:rsid w:val="35CA4ECD"/>
    <w:rsid w:val="35CE5164"/>
    <w:rsid w:val="35F07825"/>
    <w:rsid w:val="360C2FBA"/>
    <w:rsid w:val="363913FE"/>
    <w:rsid w:val="36C27824"/>
    <w:rsid w:val="36D6548C"/>
    <w:rsid w:val="376918C7"/>
    <w:rsid w:val="37832AC7"/>
    <w:rsid w:val="38195BED"/>
    <w:rsid w:val="39B23A02"/>
    <w:rsid w:val="3A4766ED"/>
    <w:rsid w:val="3A713A3B"/>
    <w:rsid w:val="3AAB2217"/>
    <w:rsid w:val="3CAE49E3"/>
    <w:rsid w:val="3DAE40CB"/>
    <w:rsid w:val="3E7103A9"/>
    <w:rsid w:val="3E7E746E"/>
    <w:rsid w:val="3EBE2184"/>
    <w:rsid w:val="3F5912F8"/>
    <w:rsid w:val="3F9B4FC0"/>
    <w:rsid w:val="41B74B09"/>
    <w:rsid w:val="43DC781A"/>
    <w:rsid w:val="441C7555"/>
    <w:rsid w:val="442C0383"/>
    <w:rsid w:val="450A0AA4"/>
    <w:rsid w:val="45236574"/>
    <w:rsid w:val="46434BE2"/>
    <w:rsid w:val="46AA6AA7"/>
    <w:rsid w:val="478E0E32"/>
    <w:rsid w:val="48A2447B"/>
    <w:rsid w:val="49430BD9"/>
    <w:rsid w:val="494625CA"/>
    <w:rsid w:val="49934A23"/>
    <w:rsid w:val="4BD23ED8"/>
    <w:rsid w:val="4C2846CD"/>
    <w:rsid w:val="4C7A4C55"/>
    <w:rsid w:val="4F6A54EE"/>
    <w:rsid w:val="4FDF6ED1"/>
    <w:rsid w:val="514C0EC5"/>
    <w:rsid w:val="51F50157"/>
    <w:rsid w:val="52866F20"/>
    <w:rsid w:val="52EE7A8B"/>
    <w:rsid w:val="535B290E"/>
    <w:rsid w:val="53F1208F"/>
    <w:rsid w:val="54DE5250"/>
    <w:rsid w:val="55495194"/>
    <w:rsid w:val="56115CEE"/>
    <w:rsid w:val="56D42516"/>
    <w:rsid w:val="56FE5044"/>
    <w:rsid w:val="57C860FC"/>
    <w:rsid w:val="57E03285"/>
    <w:rsid w:val="5AE71036"/>
    <w:rsid w:val="5B5F30DA"/>
    <w:rsid w:val="5BAF6F84"/>
    <w:rsid w:val="5BE03A0F"/>
    <w:rsid w:val="5D5C7CBD"/>
    <w:rsid w:val="5DF86B3F"/>
    <w:rsid w:val="5F1C1ADB"/>
    <w:rsid w:val="60134031"/>
    <w:rsid w:val="60C120AA"/>
    <w:rsid w:val="6304094B"/>
    <w:rsid w:val="64165E4C"/>
    <w:rsid w:val="6536013A"/>
    <w:rsid w:val="68DA698B"/>
    <w:rsid w:val="6A3E1F45"/>
    <w:rsid w:val="6CCC6D4C"/>
    <w:rsid w:val="6D5F4EC3"/>
    <w:rsid w:val="6E3F5A2C"/>
    <w:rsid w:val="7008088F"/>
    <w:rsid w:val="712634CC"/>
    <w:rsid w:val="71A3781D"/>
    <w:rsid w:val="724E698E"/>
    <w:rsid w:val="756501CF"/>
    <w:rsid w:val="778F438E"/>
    <w:rsid w:val="7A055146"/>
    <w:rsid w:val="7A757A3F"/>
    <w:rsid w:val="7C647BFE"/>
    <w:rsid w:val="7D9B64C3"/>
    <w:rsid w:val="7FA857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next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0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1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2">
    <w:name w:val="页眉 Char"/>
    <w:basedOn w:val="9"/>
    <w:link w:val="6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2925</Words>
  <Characters>3057</Characters>
  <Lines>23</Lines>
  <Paragraphs>6</Paragraphs>
  <TotalTime>39</TotalTime>
  <ScaleCrop>false</ScaleCrop>
  <LinksUpToDate>false</LinksUpToDate>
  <CharactersWithSpaces>3130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2021-07-20T09:00:00Z</dcterms:created>
  <dc:creator>user</dc:creator>
  <cp:lastModifiedBy>Administrator</cp:lastModifiedBy>
  <dcterms:modified xsi:type="dcterms:W3CDTF">2023-04-03T03:35:15Z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7664F6B55C5A4AFBB2F326A93B6D6777</vt:lpwstr>
  </property>
</Properties>
</file>