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D1949">
      <w:pPr>
        <w:snapToGrid w:val="0"/>
        <w:spacing w:line="580" w:lineRule="exact"/>
        <w:rPr>
          <w:rFonts w:ascii="方正仿宋_GBK" w:hAnsi="Tahoma" w:eastAsia="方正仿宋_GBK" w:cs="Tahoma"/>
          <w:kern w:val="0"/>
          <w:sz w:val="32"/>
          <w:szCs w:val="32"/>
        </w:rPr>
      </w:pPr>
      <w:r>
        <w:rPr>
          <w:rFonts w:hint="eastAsia" w:ascii="方正仿宋_GBK" w:hAnsi="黑体" w:eastAsia="方正仿宋_GBK"/>
          <w:sz w:val="32"/>
          <w:szCs w:val="32"/>
        </w:rPr>
        <w:t>附件6</w:t>
      </w:r>
    </w:p>
    <w:p w14:paraId="012C7E1D">
      <w:pPr>
        <w:snapToGrid w:val="0"/>
        <w:spacing w:line="580" w:lineRule="exact"/>
        <w:jc w:val="center"/>
        <w:rPr>
          <w:rFonts w:cs="Tahoma" w:asciiTheme="majorEastAsia" w:hAnsiTheme="majorEastAsia" w:eastAsiaTheme="majorEastAsia"/>
          <w:kern w:val="0"/>
          <w:sz w:val="44"/>
          <w:szCs w:val="44"/>
        </w:rPr>
      </w:pPr>
      <w:r>
        <w:rPr>
          <w:rFonts w:hint="eastAsia" w:cs="Tahoma" w:asciiTheme="majorEastAsia" w:hAnsiTheme="majorEastAsia" w:eastAsiaTheme="majorEastAsia"/>
          <w:kern w:val="0"/>
          <w:sz w:val="44"/>
          <w:szCs w:val="44"/>
        </w:rPr>
        <w:t>2022年度隆尧县农业农村局</w:t>
      </w:r>
    </w:p>
    <w:p w14:paraId="59A46FAD">
      <w:pPr>
        <w:snapToGrid w:val="0"/>
        <w:spacing w:line="580" w:lineRule="exact"/>
        <w:jc w:val="center"/>
        <w:rPr>
          <w:rFonts w:asciiTheme="majorEastAsia" w:hAnsiTheme="majorEastAsia" w:eastAsiaTheme="majorEastAsia"/>
          <w:sz w:val="44"/>
          <w:szCs w:val="44"/>
        </w:rPr>
      </w:pPr>
      <w:r>
        <w:rPr>
          <w:rFonts w:hint="eastAsia" w:cs="Tahoma" w:asciiTheme="majorEastAsia" w:hAnsiTheme="majorEastAsia" w:eastAsiaTheme="majorEastAsia"/>
          <w:kern w:val="0"/>
          <w:sz w:val="44"/>
          <w:szCs w:val="44"/>
        </w:rPr>
        <w:t>部门整体</w:t>
      </w:r>
      <w:r>
        <w:rPr>
          <w:rFonts w:hint="eastAsia" w:asciiTheme="majorEastAsia" w:hAnsiTheme="majorEastAsia" w:eastAsiaTheme="majorEastAsia"/>
          <w:sz w:val="44"/>
          <w:szCs w:val="44"/>
        </w:rPr>
        <w:t>绩效自评工作报告</w:t>
      </w:r>
    </w:p>
    <w:p w14:paraId="6F84E67F">
      <w:pPr>
        <w:pStyle w:val="10"/>
        <w:spacing w:line="580" w:lineRule="exact"/>
        <w:jc w:val="center"/>
        <w:rPr>
          <w:rFonts w:ascii="仿宋" w:hAnsi="仿宋" w:eastAsia="仿宋" w:cs="仿宋_GB2312"/>
          <w:color w:val="000000"/>
          <w:sz w:val="32"/>
          <w:szCs w:val="32"/>
        </w:rPr>
      </w:pPr>
      <w:r>
        <w:rPr>
          <w:rFonts w:hint="eastAsia" w:ascii="仿宋" w:hAnsi="仿宋" w:eastAsia="仿宋" w:cs="仿宋_GB2312"/>
          <w:color w:val="000000"/>
          <w:sz w:val="32"/>
          <w:szCs w:val="32"/>
        </w:rPr>
        <w:t xml:space="preserve">   </w:t>
      </w:r>
    </w:p>
    <w:p w14:paraId="64D4C030">
      <w:pPr>
        <w:autoSpaceDE w:val="0"/>
        <w:autoSpaceDN w:val="0"/>
        <w:adjustRightInd w:val="0"/>
        <w:spacing w:line="58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按照隆财〔2023〕15号隆尧县财政局关于开展2022年度县级预算部门绩效自评和重点自评工作的通知要求，根据《中华人民共和国预算法》和《中共隆尧县委 隆尧县人民政府关于全面落实预算绩效管理的实施意见》（隆发〔</w:t>
      </w:r>
      <w:r>
        <w:rPr>
          <w:rFonts w:ascii="仿宋" w:hAnsi="仿宋" w:eastAsia="仿宋" w:cs="仿宋_GB2312"/>
          <w:color w:val="000000"/>
          <w:sz w:val="32"/>
          <w:szCs w:val="32"/>
        </w:rPr>
        <w:t>2019</w:t>
      </w:r>
      <w:r>
        <w:rPr>
          <w:rFonts w:hint="eastAsia" w:ascii="仿宋" w:hAnsi="仿宋" w:eastAsia="仿宋" w:cs="仿宋_GB2312"/>
          <w:color w:val="000000"/>
          <w:sz w:val="32"/>
          <w:szCs w:val="32"/>
        </w:rPr>
        <w:t>〕15号）</w:t>
      </w:r>
      <w:r>
        <w:rPr>
          <w:rFonts w:hint="eastAsia" w:ascii="仿宋" w:hAnsi="仿宋" w:eastAsia="仿宋" w:cs="仿宋_GB2312"/>
          <w:color w:val="000000"/>
          <w:sz w:val="32"/>
          <w:szCs w:val="32"/>
          <w:lang w:val="zh-CN"/>
        </w:rPr>
        <w:t>《隆尧县部门预算绩效管理办法》（隆财〔</w:t>
      </w:r>
      <w:r>
        <w:rPr>
          <w:rFonts w:ascii="仿宋" w:hAnsi="仿宋" w:eastAsia="仿宋" w:cs="仿宋_GB2312"/>
          <w:color w:val="000000"/>
          <w:sz w:val="32"/>
          <w:szCs w:val="32"/>
          <w:lang w:val="zh-CN"/>
        </w:rPr>
        <w:t>2019</w:t>
      </w:r>
      <w:r>
        <w:rPr>
          <w:rFonts w:hint="eastAsia" w:ascii="仿宋" w:hAnsi="仿宋" w:eastAsia="仿宋" w:cs="仿宋_GB2312"/>
          <w:color w:val="000000"/>
          <w:sz w:val="32"/>
          <w:szCs w:val="32"/>
          <w:lang w:val="zh-CN"/>
        </w:rPr>
        <w:t>〕117号）、《隆尧县县级部门绩效自评办法》（隆财〔2020〕28号）</w:t>
      </w:r>
      <w:r>
        <w:rPr>
          <w:rFonts w:hint="eastAsia" w:ascii="仿宋" w:hAnsi="仿宋" w:eastAsia="仿宋" w:cs="仿宋_GB2312"/>
          <w:color w:val="000000"/>
          <w:sz w:val="32"/>
          <w:szCs w:val="32"/>
        </w:rPr>
        <w:t>相关规定。现将</w:t>
      </w:r>
      <w:r>
        <w:rPr>
          <w:rFonts w:ascii="仿宋" w:hAnsi="仿宋" w:eastAsia="仿宋" w:cs="仿宋_GB2312"/>
          <w:color w:val="000000"/>
          <w:sz w:val="32"/>
          <w:szCs w:val="32"/>
        </w:rPr>
        <w:t>202</w:t>
      </w:r>
      <w:r>
        <w:rPr>
          <w:rFonts w:hint="eastAsia" w:ascii="仿宋" w:hAnsi="仿宋" w:eastAsia="仿宋" w:cs="仿宋_GB2312"/>
          <w:color w:val="000000"/>
          <w:sz w:val="32"/>
          <w:szCs w:val="32"/>
        </w:rPr>
        <w:t>2年度隆尧县农业农村局预算部门整体绩效自评工作报告如下：</w:t>
      </w:r>
    </w:p>
    <w:p w14:paraId="3508C4FF">
      <w:pPr>
        <w:pStyle w:val="11"/>
        <w:numPr>
          <w:ilvl w:val="0"/>
          <w:numId w:val="1"/>
        </w:numPr>
        <w:autoSpaceDE w:val="0"/>
        <w:autoSpaceDN w:val="0"/>
        <w:adjustRightInd w:val="0"/>
        <w:spacing w:line="580" w:lineRule="exact"/>
        <w:ind w:firstLineChars="0"/>
        <w:rPr>
          <w:rFonts w:ascii="仿宋" w:hAnsi="仿宋" w:eastAsia="仿宋" w:cs="仿宋_GB2312"/>
          <w:color w:val="000000"/>
          <w:sz w:val="32"/>
          <w:szCs w:val="32"/>
        </w:rPr>
      </w:pPr>
      <w:r>
        <w:rPr>
          <w:rFonts w:hint="eastAsia" w:ascii="仿宋" w:hAnsi="仿宋" w:eastAsia="仿宋" w:cs="仿宋_GB2312"/>
          <w:color w:val="000000"/>
          <w:sz w:val="32"/>
          <w:szCs w:val="32"/>
        </w:rPr>
        <w:t>绩效自评工作组织开展情况</w:t>
      </w:r>
    </w:p>
    <w:p w14:paraId="48C612EB">
      <w:pPr>
        <w:snapToGrid w:val="0"/>
        <w:spacing w:line="580" w:lineRule="exact"/>
        <w:ind w:left="720"/>
        <w:rPr>
          <w:rFonts w:ascii="仿宋" w:hAnsi="仿宋" w:eastAsia="仿宋" w:cs="仿宋"/>
          <w:sz w:val="32"/>
          <w:szCs w:val="32"/>
        </w:rPr>
      </w:pPr>
      <w:r>
        <w:rPr>
          <w:rFonts w:hint="eastAsia" w:ascii="仿宋" w:hAnsi="仿宋" w:eastAsia="仿宋" w:cs="仿宋"/>
          <w:sz w:val="32"/>
          <w:szCs w:val="32"/>
        </w:rPr>
        <w:t>（一）绩效自评组织实施情况。</w:t>
      </w:r>
    </w:p>
    <w:p w14:paraId="58E066A4">
      <w:pPr>
        <w:autoSpaceDE w:val="0"/>
        <w:autoSpaceDN w:val="0"/>
        <w:adjustRightInd w:val="0"/>
        <w:spacing w:line="580" w:lineRule="exact"/>
        <w:ind w:firstLine="640" w:firstLineChars="200"/>
        <w:rPr>
          <w:rFonts w:ascii="仿宋" w:hAnsi="仿宋" w:eastAsia="仿宋"/>
          <w:sz w:val="32"/>
          <w:szCs w:val="32"/>
        </w:rPr>
      </w:pPr>
      <w:r>
        <w:rPr>
          <w:rFonts w:hint="eastAsia" w:ascii="仿宋" w:hAnsi="仿宋" w:eastAsia="仿宋" w:cs="仿宋_GB2312"/>
          <w:color w:val="000000"/>
          <w:sz w:val="32"/>
          <w:szCs w:val="32"/>
        </w:rPr>
        <w:t>为加强财政专项资金支出管理，提高财政资金使用绩效。</w:t>
      </w:r>
      <w:r>
        <w:rPr>
          <w:rFonts w:hint="eastAsia" w:ascii="仿宋" w:hAnsi="仿宋" w:eastAsia="仿宋"/>
          <w:color w:val="000000"/>
          <w:sz w:val="32"/>
          <w:szCs w:val="32"/>
        </w:rPr>
        <w:t>农业农村局成立了绩效评价领导小组，制定绩效自评和部门整体支出绩效自评工作实施方案。</w:t>
      </w:r>
      <w:r>
        <w:rPr>
          <w:rFonts w:hint="eastAsia" w:ascii="仿宋" w:hAnsi="仿宋" w:eastAsia="仿宋" w:cs="楷体_GB2312"/>
          <w:bCs/>
          <w:sz w:val="32"/>
          <w:szCs w:val="32"/>
        </w:rPr>
        <w:t>按照“谁使用、谁评价”的原则实施，认真组织和实施项目支出绩效自评，</w:t>
      </w:r>
      <w:r>
        <w:rPr>
          <w:rFonts w:hint="eastAsia" w:ascii="仿宋" w:hAnsi="仿宋" w:eastAsia="仿宋"/>
          <w:sz w:val="32"/>
          <w:szCs w:val="32"/>
        </w:rPr>
        <w:t>通过绩效自评提高绩效目标与指标相关性，增强评价指标反映项目绩效水平和绩效目标实现程度全面性。</w:t>
      </w:r>
    </w:p>
    <w:p w14:paraId="18BA256E">
      <w:pPr>
        <w:snapToGrid w:val="0"/>
        <w:spacing w:line="580" w:lineRule="exact"/>
        <w:ind w:firstLine="320" w:firstLineChars="100"/>
        <w:rPr>
          <w:rFonts w:ascii="仿宋" w:hAnsi="仿宋" w:eastAsia="仿宋" w:cs="仿宋"/>
          <w:sz w:val="32"/>
          <w:szCs w:val="32"/>
        </w:rPr>
      </w:pPr>
      <w:r>
        <w:rPr>
          <w:rFonts w:hint="eastAsia" w:ascii="仿宋" w:hAnsi="仿宋" w:eastAsia="仿宋" w:cs="仿宋"/>
          <w:sz w:val="32"/>
          <w:szCs w:val="32"/>
        </w:rPr>
        <w:t>（二）绩效自评情况。</w:t>
      </w:r>
    </w:p>
    <w:p w14:paraId="418A6ED1">
      <w:pPr>
        <w:snapToGrid w:val="0"/>
        <w:spacing w:line="580" w:lineRule="exact"/>
        <w:ind w:firstLine="640" w:firstLineChars="200"/>
        <w:rPr>
          <w:rFonts w:ascii="仿宋" w:hAnsi="仿宋" w:eastAsia="仿宋" w:cs="仿宋"/>
          <w:sz w:val="32"/>
          <w:szCs w:val="32"/>
        </w:rPr>
      </w:pPr>
      <w:r>
        <w:rPr>
          <w:rFonts w:hint="eastAsia" w:ascii="仿宋" w:hAnsi="仿宋" w:eastAsia="仿宋"/>
          <w:color w:val="000000"/>
          <w:sz w:val="32"/>
          <w:szCs w:val="32"/>
        </w:rPr>
        <w:t>2022年一般公共预算资金安排，省对下共同财政事权转移支付及专项项目20项，涉及资金4784.38万元；市对下共同财政事权转移支付项目3项，涉及资金306万元；县级预算项目涉17项目涉及资金7551.47万元。项目</w:t>
      </w:r>
      <w:r>
        <w:rPr>
          <w:rFonts w:hint="eastAsia" w:ascii="仿宋" w:hAnsi="仿宋" w:eastAsia="仿宋" w:cs="仿宋"/>
          <w:sz w:val="32"/>
          <w:szCs w:val="32"/>
        </w:rPr>
        <w:t>执行率为85.34%。</w:t>
      </w:r>
    </w:p>
    <w:p w14:paraId="60399CF6">
      <w:pPr>
        <w:snapToGrid w:val="0"/>
        <w:spacing w:line="580" w:lineRule="exact"/>
        <w:rPr>
          <w:rFonts w:ascii="仿宋" w:hAnsi="仿宋" w:eastAsia="仿宋" w:cs="仿宋"/>
          <w:sz w:val="32"/>
          <w:szCs w:val="32"/>
        </w:rPr>
      </w:pPr>
      <w:r>
        <w:rPr>
          <w:rFonts w:hint="eastAsia" w:ascii="仿宋" w:hAnsi="仿宋" w:eastAsia="仿宋" w:cs="仿宋"/>
          <w:sz w:val="32"/>
          <w:szCs w:val="32"/>
        </w:rPr>
        <w:t>（三）绩效自评开展情况</w:t>
      </w:r>
    </w:p>
    <w:p w14:paraId="1EE6E285">
      <w:pPr>
        <w:spacing w:line="600" w:lineRule="atLeast"/>
        <w:ind w:left="284" w:firstLine="640" w:firstLineChars="200"/>
        <w:outlineLvl w:val="0"/>
        <w:rPr>
          <w:rFonts w:ascii="仿宋" w:hAnsi="仿宋" w:eastAsia="仿宋" w:cs="楷体_GB2312"/>
          <w:bCs/>
          <w:sz w:val="32"/>
          <w:szCs w:val="32"/>
        </w:rPr>
      </w:pPr>
      <w:r>
        <w:rPr>
          <w:rFonts w:hint="eastAsia" w:ascii="仿宋" w:hAnsi="仿宋" w:eastAsia="仿宋"/>
          <w:color w:val="000000"/>
          <w:sz w:val="32"/>
          <w:szCs w:val="32"/>
        </w:rPr>
        <w:t>合理编制单位预算，严格预算执行，完整、准确编制单位决算，真实反映单位财务状况，建立健全财务制度，加强经济核算，实施绩效评价，提高资金使用效益;加强资产管理，合理配置和有效利用资产，防止资产流失;加强对单位经济活动的财务控制和监督，防范财务风险。</w:t>
      </w:r>
      <w:r>
        <w:rPr>
          <w:rFonts w:hint="eastAsia" w:ascii="仿宋" w:hAnsi="仿宋" w:eastAsia="仿宋" w:cs="楷体_GB2312"/>
          <w:bCs/>
          <w:sz w:val="32"/>
          <w:szCs w:val="32"/>
        </w:rPr>
        <w:t>根据项目下达任务清单及绩效指标（效果指标、</w:t>
      </w:r>
      <w:r>
        <w:rPr>
          <w:rFonts w:hint="eastAsia" w:ascii="仿宋" w:hAnsi="仿宋" w:eastAsia="仿宋" w:cs="黑体"/>
          <w:sz w:val="32"/>
          <w:szCs w:val="32"/>
        </w:rPr>
        <w:t>经济效益、社会效益、满意度指标）</w:t>
      </w:r>
      <w:r>
        <w:rPr>
          <w:rFonts w:hint="eastAsia" w:ascii="仿宋" w:hAnsi="仿宋" w:eastAsia="仿宋" w:cs="楷体_GB2312"/>
          <w:bCs/>
          <w:sz w:val="32"/>
          <w:szCs w:val="32"/>
        </w:rPr>
        <w:t>进行评价。</w:t>
      </w:r>
      <w:r>
        <w:rPr>
          <w:rFonts w:hint="eastAsia" w:ascii="仿宋" w:hAnsi="仿宋" w:eastAsia="仿宋"/>
          <w:sz w:val="32"/>
          <w:szCs w:val="32"/>
        </w:rPr>
        <w:t>各股室加强沟通协调和信息共享，形成监督合力，既对绩效评价实行专项检查，又结合日常工作开展检查，充分利用各股室出具的绩效评价报告，提高财务管理和审计的效率和效果，接受监督，并将监督检查结果、绩效评价情况作为实施预算绩效评价与财务规划的重要依据。</w:t>
      </w:r>
    </w:p>
    <w:p w14:paraId="0D7ADEE0">
      <w:pPr>
        <w:autoSpaceDE w:val="0"/>
        <w:autoSpaceDN w:val="0"/>
        <w:adjustRightInd w:val="0"/>
        <w:spacing w:line="580" w:lineRule="exact"/>
        <w:ind w:firstLine="800" w:firstLineChars="250"/>
        <w:rPr>
          <w:rFonts w:ascii="仿宋" w:hAnsi="仿宋" w:eastAsia="仿宋"/>
          <w:color w:val="000000"/>
          <w:sz w:val="32"/>
          <w:szCs w:val="32"/>
        </w:rPr>
      </w:pPr>
      <w:r>
        <w:rPr>
          <w:rFonts w:hint="eastAsia" w:ascii="仿宋" w:hAnsi="仿宋" w:eastAsia="仿宋"/>
          <w:color w:val="000000"/>
          <w:sz w:val="32"/>
          <w:szCs w:val="32"/>
        </w:rPr>
        <w:t>二、绩效目标实现情况</w:t>
      </w:r>
    </w:p>
    <w:p w14:paraId="475E05F3">
      <w:pPr>
        <w:snapToGrid w:val="0"/>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（一）部门整体绩效目标实现情况。</w:t>
      </w:r>
    </w:p>
    <w:p w14:paraId="63E19F14">
      <w:pPr>
        <w:autoSpaceDE w:val="0"/>
        <w:autoSpaceDN w:val="0"/>
        <w:adjustRightInd w:val="0"/>
        <w:spacing w:line="58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2022年，农业农村局深入学习贯彻习近平总书记关于“三农”工作</w:t>
      </w:r>
      <w:r>
        <w:rPr>
          <w:rFonts w:hint="eastAsia" w:ascii="仿宋" w:hAnsi="仿宋" w:eastAsia="仿宋" w:cs="仿宋_GB2312"/>
          <w:color w:val="000000"/>
          <w:sz w:val="32"/>
          <w:szCs w:val="32"/>
          <w:lang w:val="en-US" w:eastAsia="zh-CN"/>
        </w:rPr>
        <w:t>的</w:t>
      </w:r>
      <w:bookmarkStart w:id="0" w:name="_GoBack"/>
      <w:bookmarkEnd w:id="0"/>
      <w:r>
        <w:rPr>
          <w:rFonts w:hint="eastAsia" w:ascii="仿宋" w:hAnsi="仿宋" w:eastAsia="仿宋" w:cs="仿宋_GB2312"/>
          <w:color w:val="000000"/>
          <w:sz w:val="32"/>
          <w:szCs w:val="32"/>
        </w:rPr>
        <w:t>重要论述，坚持稳字当头、稳中求进，统筹疫情防控和经济发展，扛稳粮食安全政治责任，紧抓乡村产业发展和乡村建设，扎实推进乡村振兴重点工作落实，推动农业农村各项工作迈上新台阶，实现农业稳产增产、农民稳固增收、农村稳定安宁。</w:t>
      </w:r>
    </w:p>
    <w:p w14:paraId="14CF827C">
      <w:pPr>
        <w:autoSpaceDE w:val="0"/>
        <w:autoSpaceDN w:val="0"/>
        <w:adjustRightInd w:val="0"/>
        <w:spacing w:line="58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（二）绩效目标完成情况。</w:t>
      </w:r>
    </w:p>
    <w:p w14:paraId="6685EB25">
      <w:pPr>
        <w:autoSpaceDE w:val="0"/>
        <w:autoSpaceDN w:val="0"/>
        <w:adjustRightInd w:val="0"/>
        <w:spacing w:line="58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1、国家级三项，分别为：隆尧县被确定为2022年国家级农业现代化示范区；今麦郎食品股份有限公司被农业农村部认定为全国农业国际贸易高质量发展基地；今麦郎入选全国农业品牌发展创新典型案例，全国共50个案例（河北省唯一）。2、省级三项，分别为：东方现代农业示范园区（小麦）被评为全省现代农业示范园区和2022年省抓30个重点示范园区；全省返乡入乡创业园观摩现场会在我县召开，我县做了典型发言；河北宝信物流有限公司荣获河北省创业创新大赛一等奖。3、市级两项，分别为：隆尧县被评为邢台市农村集体产权制度改革先进单位；隆尧县农村创新创业典型案例被市改革办评为“邢台市改革领跑者”典型案例。4、全省试点县项目4个，分别为：河北省“互联网”+农产品出村进城示范试点县；河北省“农村金融服务专员”制度试点县；农机购置与应用补贴项目试点县；农作物秸秆综合利用试点县。5、现代农业再显新成效。现代农业产业体系、生产体系、经营体系加快构建，技术装备支撑能力明显增强，质量、效益和竞争力不断提高。一是农业产业化经营水平不断提升。新增市级农业龙头企业6家，培育市级示范性农业产业化联合体2个；二是现代农业体系逐渐完善。大力培育新型经营主体，新增省级农民合作社3家、市级农民合作社7家、市级家庭农场7家。三是特色现代农业获得新发展。集中力量打造平原优质小麦产业集群和小孟甜瓜、梅庄苹果、隆尧香梨、东尚鸡腿葱等特色优势产业集群，全面推进“一乡一业、一村一品”，形成一业带多村、多村连成片的特色产业格局。四是农业科技装备水平得到新提高。主要农作物良种实现全覆盖，主要农作物耕种收综合机械化率达98%以上，基本实现主要农作物生产全程机械化，秸秆综合利用率达到92%以上。五是质量品牌农业迈出新步伐。新增绿色食品认证2家4个；创建河北省农产品区域公用品牌1个；新建省级创新驿站1家；全县大宗农产品综合检测合格率持续保持在98％以上，县农产品质量安全检测中心通过“双认证”，12月3日已通过CMA认证专家评审，将极大提高我县农产品检测中心的检测能力。6、 乡村发展再谱新篇章。一是超额完成市下达粮食种植面积和产量任务，分别达到125.43万亩、65.05万吨，其中小麦61.4万亩，总产30.35万吨；玉米59.58万亩，总产32.89万吨。完成大豆玉米带状复合种植面积14000亩，实现了玉米基本不减产，多收一季豆的总体目标，保障了粮食生产安全。二是深入开展美丽乡村建设行动，设立垃圾分类试点9个，建设公厕196座，新建美丽庭院2500个，完成省级美丽乡村建设20个，圆满完成了年初制定的各项任务目标。三是农村人居环境长效管护机制逐步完善，对农村人居环境进行大清理、大扫除、大整治，共动用人力20000余人，车辆9000余辆，共清理农村生活垃圾29414处、58827方，建筑垃圾10273处、20546方，拆除私搭乱建227处，拆除残垣断壁387处，拆除废旧房屋885处，新建小公园35个，小广场48个，小菜园284个，进一步提高了我县农村人居环境整治水平。四是农村集体经济逐步壮大，全县276个村级集体经营收入5万元以上10万元以下的44个村，10万元以上的村232个。</w:t>
      </w:r>
    </w:p>
    <w:p w14:paraId="23F634B1">
      <w:pPr>
        <w:snapToGrid w:val="0"/>
        <w:spacing w:line="580" w:lineRule="exact"/>
        <w:rPr>
          <w:rFonts w:ascii="仿宋" w:hAnsi="仿宋" w:eastAsia="仿宋" w:cs="仿宋"/>
          <w:sz w:val="32"/>
          <w:szCs w:val="32"/>
        </w:rPr>
      </w:pPr>
      <w:r>
        <w:rPr>
          <w:rFonts w:hint="eastAsia" w:ascii="仿宋" w:hAnsi="仿宋" w:eastAsia="仿宋" w:cs="仿宋"/>
          <w:sz w:val="32"/>
          <w:szCs w:val="32"/>
        </w:rPr>
        <w:t>（三）存在问题及评价结论。</w:t>
      </w:r>
    </w:p>
    <w:p w14:paraId="4984E91B">
      <w:pPr>
        <w:pStyle w:val="2"/>
        <w:ind w:firstLine="640" w:firstLineChars="200"/>
        <w:rPr>
          <w:rFonts w:ascii="仿宋" w:hAnsi="仿宋" w:eastAsia="仿宋" w:cs="仿宋"/>
          <w:sz w:val="32"/>
          <w:szCs w:val="32"/>
        </w:rPr>
      </w:pPr>
      <w:r>
        <w:rPr>
          <w:rFonts w:hint="eastAsia" w:ascii="仿宋" w:hAnsi="仿宋" w:eastAsia="仿宋" w:cs="仿宋"/>
          <w:sz w:val="32"/>
          <w:szCs w:val="32"/>
        </w:rPr>
        <w:t>1、项目预算绩效目标不够精准，项目多为提前下达项目，预算编制时，部分项目没有实施方案，绩效目标不够细化、量化。</w:t>
      </w:r>
    </w:p>
    <w:p w14:paraId="55E6477A">
      <w:pPr>
        <w:pStyle w:val="2"/>
        <w:ind w:firstLine="640" w:firstLineChars="200"/>
        <w:rPr>
          <w:rFonts w:ascii="仿宋" w:hAnsi="仿宋" w:eastAsia="仿宋" w:cs="仿宋"/>
          <w:sz w:val="32"/>
          <w:szCs w:val="32"/>
        </w:rPr>
      </w:pPr>
      <w:r>
        <w:rPr>
          <w:rFonts w:hint="eastAsia" w:ascii="仿宋" w:hAnsi="仿宋" w:eastAsia="仿宋" w:cs="仿宋"/>
          <w:sz w:val="32"/>
          <w:szCs w:val="32"/>
        </w:rPr>
        <w:t>2、各项目责任科室对预算编制及绩效自评工作重要性认识有待进一步提高。</w:t>
      </w:r>
    </w:p>
    <w:p w14:paraId="1FF68082">
      <w:pPr>
        <w:pStyle w:val="2"/>
        <w:ind w:firstLine="320"/>
        <w:rPr>
          <w:rFonts w:ascii="仿宋" w:hAnsi="仿宋" w:eastAsia="仿宋" w:cs="仿宋"/>
          <w:sz w:val="32"/>
          <w:szCs w:val="32"/>
        </w:rPr>
      </w:pPr>
      <w:r>
        <w:rPr>
          <w:rFonts w:hint="eastAsia" w:ascii="仿宋" w:hAnsi="仿宋" w:eastAsia="仿宋" w:cs="仿宋"/>
          <w:sz w:val="32"/>
          <w:szCs w:val="32"/>
        </w:rPr>
        <w:t xml:space="preserve">  3、部分项目未按年初计划开展，资金支出进度缓慢，预算执行率低，未完成绩效目标或偏离绩效目标较大，拉低了绩效评价得分。</w:t>
      </w:r>
    </w:p>
    <w:p w14:paraId="15154FAB">
      <w:pPr>
        <w:snapToGrid w:val="0"/>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2022年，隆尧县农业农村局积极履职，强化管理，整体较好完成了年度工作目标。通过加强预算收支管理，不断建立健全内部管理制度，梳理内部管理流程，部门整体支出管理水平得到提升。2022年度部门整体项目支出绩效自评得分为82.93分。</w:t>
      </w:r>
    </w:p>
    <w:p w14:paraId="3D782F49">
      <w:pPr>
        <w:tabs>
          <w:tab w:val="left" w:pos="871"/>
        </w:tabs>
        <w:ind w:firstLine="640" w:firstLineChars="200"/>
        <w:rPr>
          <w:rFonts w:ascii="仿宋" w:hAnsi="仿宋" w:eastAsia="仿宋"/>
          <w:sz w:val="32"/>
          <w:szCs w:val="32"/>
        </w:rPr>
      </w:pPr>
      <w:r>
        <w:rPr>
          <w:rFonts w:hint="eastAsia" w:ascii="仿宋" w:hAnsi="仿宋" w:eastAsia="仿宋"/>
          <w:sz w:val="32"/>
          <w:szCs w:val="32"/>
        </w:rPr>
        <w:t>三、绩效目标设定质量情况</w:t>
      </w:r>
    </w:p>
    <w:p w14:paraId="765B1235">
      <w:pPr>
        <w:ind w:firstLine="640" w:firstLineChars="200"/>
        <w:rPr>
          <w:rFonts w:ascii="仿宋" w:hAnsi="仿宋" w:eastAsia="仿宋" w:cs="仿宋"/>
          <w:sz w:val="32"/>
          <w:szCs w:val="32"/>
        </w:rPr>
      </w:pPr>
      <w:r>
        <w:rPr>
          <w:rFonts w:hint="eastAsia" w:ascii="仿宋" w:hAnsi="仿宋" w:eastAsia="仿宋" w:cs="仿宋"/>
          <w:sz w:val="32"/>
          <w:szCs w:val="32"/>
        </w:rPr>
        <w:t>通过对绩效自评结果与年初绩效目标进行对比，反映出以下三个方面：</w:t>
      </w:r>
    </w:p>
    <w:p w14:paraId="137B31A0">
      <w:pPr>
        <w:snapToGrid w:val="0"/>
        <w:spacing w:line="580" w:lineRule="exact"/>
        <w:ind w:firstLine="800" w:firstLineChars="250"/>
        <w:rPr>
          <w:rFonts w:ascii="仿宋" w:hAnsi="仿宋" w:eastAsia="仿宋" w:cs="仿宋"/>
          <w:sz w:val="32"/>
          <w:szCs w:val="32"/>
        </w:rPr>
      </w:pPr>
      <w:r>
        <w:rPr>
          <w:rFonts w:hint="eastAsia" w:ascii="仿宋" w:hAnsi="仿宋" w:eastAsia="仿宋" w:cs="仿宋"/>
          <w:sz w:val="32"/>
          <w:szCs w:val="32"/>
        </w:rPr>
        <w:t>一是绩效目标设定依据清晰准确、具体、可量化、可衡量，符合部门职责范围之内及项目要求，通过绩效自评预算支出项目的实施，促进了行业生产能力增长，从而带动行业经济效益增长；有效提高劳动效率，节约成本费用；降低了损耗，从而提高了生产效益。</w:t>
      </w:r>
    </w:p>
    <w:p w14:paraId="4608199A">
      <w:pPr>
        <w:snapToGrid w:val="0"/>
        <w:spacing w:line="580" w:lineRule="exact"/>
        <w:ind w:firstLine="800" w:firstLineChars="250"/>
        <w:rPr>
          <w:rFonts w:ascii="仿宋" w:hAnsi="仿宋" w:eastAsia="仿宋" w:cs="仿宋"/>
          <w:sz w:val="32"/>
          <w:szCs w:val="32"/>
        </w:rPr>
      </w:pPr>
      <w:r>
        <w:rPr>
          <w:rFonts w:hint="eastAsia" w:ascii="仿宋" w:hAnsi="仿宋" w:eastAsia="仿宋" w:cs="仿宋"/>
          <w:sz w:val="32"/>
          <w:szCs w:val="32"/>
        </w:rPr>
        <w:t>二是绩效指标科学合理、易于评价，能够围绕绩效目标设定，全面真实反映被评价项目的实际情况。</w:t>
      </w:r>
    </w:p>
    <w:p w14:paraId="669FAE01">
      <w:pPr>
        <w:autoSpaceDE w:val="0"/>
        <w:autoSpaceDN w:val="0"/>
        <w:adjustRightInd w:val="0"/>
        <w:spacing w:line="580" w:lineRule="exact"/>
        <w:ind w:firstLine="640" w:firstLineChars="200"/>
        <w:rPr>
          <w:rFonts w:ascii="仿宋" w:hAnsi="仿宋" w:eastAsia="仿宋" w:cs="仿宋_GB2312"/>
          <w:color w:val="FF0000"/>
          <w:sz w:val="32"/>
          <w:szCs w:val="32"/>
          <w:lang w:val="zh-CN"/>
        </w:rPr>
      </w:pPr>
      <w:r>
        <w:rPr>
          <w:rFonts w:hint="eastAsia" w:ascii="仿宋" w:hAnsi="仿宋" w:eastAsia="仿宋" w:cs="仿宋"/>
          <w:sz w:val="32"/>
          <w:szCs w:val="32"/>
        </w:rPr>
        <w:t>三是绩效标准切实可行，客观合理，能够实际执行或实现，项目预算资金额与实际支出资金量相匹配。</w:t>
      </w:r>
    </w:p>
    <w:p w14:paraId="4B9E229E">
      <w:pPr>
        <w:ind w:firstLine="640" w:firstLineChars="200"/>
        <w:rPr>
          <w:rFonts w:ascii="仿宋" w:hAnsi="仿宋" w:eastAsia="仿宋"/>
          <w:sz w:val="32"/>
          <w:szCs w:val="32"/>
        </w:rPr>
      </w:pPr>
      <w:r>
        <w:rPr>
          <w:rFonts w:hint="eastAsia" w:ascii="仿宋" w:hAnsi="仿宋" w:eastAsia="仿宋"/>
          <w:sz w:val="32"/>
          <w:szCs w:val="32"/>
        </w:rPr>
        <w:t>四、整改措施及结果应用</w:t>
      </w:r>
    </w:p>
    <w:p w14:paraId="12168292">
      <w:pPr>
        <w:ind w:firstLine="640" w:firstLineChars="200"/>
        <w:rPr>
          <w:rFonts w:ascii="仿宋" w:hAnsi="仿宋" w:eastAsia="仿宋" w:cs="仿宋"/>
          <w:sz w:val="32"/>
          <w:szCs w:val="32"/>
        </w:rPr>
      </w:pPr>
      <w:r>
        <w:rPr>
          <w:rFonts w:hint="eastAsia" w:ascii="仿宋" w:hAnsi="仿宋" w:eastAsia="仿宋" w:cs="仿宋"/>
          <w:sz w:val="32"/>
          <w:szCs w:val="32"/>
        </w:rPr>
        <w:t>一是项目绩效目标细化量化不够，无法有效监控绩效目标的实现程度，还有待进一步提升预算单位整体绩效管理理念。</w:t>
      </w:r>
    </w:p>
    <w:p w14:paraId="48C1FDFC">
      <w:pPr>
        <w:ind w:firstLine="640" w:firstLineChars="200"/>
        <w:rPr>
          <w:rFonts w:ascii="仿宋" w:hAnsi="仿宋" w:eastAsia="仿宋" w:cs="仿宋"/>
          <w:sz w:val="32"/>
          <w:szCs w:val="32"/>
        </w:rPr>
      </w:pPr>
      <w:r>
        <w:rPr>
          <w:rFonts w:hint="eastAsia" w:ascii="仿宋" w:hAnsi="仿宋" w:eastAsia="仿宋" w:cs="仿宋"/>
          <w:sz w:val="32"/>
          <w:szCs w:val="32"/>
        </w:rPr>
        <w:t>二是少数股室工作主动性、创造性不够，干部积极性调动不充分，协同工作效率不高。</w:t>
      </w:r>
    </w:p>
    <w:p w14:paraId="4C53F12C">
      <w:pPr>
        <w:ind w:firstLine="640" w:firstLineChars="200"/>
        <w:rPr>
          <w:rFonts w:ascii="仿宋" w:hAnsi="仿宋" w:eastAsia="仿宋" w:cs="仿宋"/>
          <w:sz w:val="32"/>
          <w:szCs w:val="32"/>
        </w:rPr>
      </w:pPr>
      <w:r>
        <w:rPr>
          <w:rFonts w:hint="eastAsia" w:ascii="仿宋" w:hAnsi="仿宋" w:eastAsia="仿宋" w:cs="仿宋"/>
          <w:sz w:val="32"/>
          <w:szCs w:val="32"/>
        </w:rPr>
        <w:t>三是财务管理还需进一步提升。在培植财源、提升收入质量、优化支出结构、防范化解隐性债务风险、专项资金管理、绩效评价结果运用等方面，要做的工作还很多。</w:t>
      </w:r>
    </w:p>
    <w:p w14:paraId="5ECE06E9">
      <w:pPr>
        <w:ind w:firstLine="640" w:firstLineChars="200"/>
        <w:rPr>
          <w:rFonts w:ascii="仿宋" w:hAnsi="仿宋" w:eastAsia="仿宋" w:cs="仿宋"/>
          <w:sz w:val="32"/>
          <w:szCs w:val="32"/>
        </w:rPr>
      </w:pPr>
      <w:r>
        <w:rPr>
          <w:rFonts w:hint="eastAsia" w:ascii="仿宋" w:hAnsi="仿宋" w:eastAsia="仿宋" w:cs="仿宋"/>
          <w:sz w:val="32"/>
          <w:szCs w:val="32"/>
        </w:rPr>
        <w:t>四是对偏离预算绩效目标的支出，及时采取有效措施予以纠正，进一步规范专项资金使用绩效。</w:t>
      </w:r>
    </w:p>
    <w:p w14:paraId="398FBFC6">
      <w:pPr>
        <w:ind w:firstLine="640" w:firstLineChars="200"/>
        <w:rPr>
          <w:rFonts w:ascii="仿宋" w:hAnsi="仿宋" w:eastAsia="仿宋" w:cs="仿宋"/>
          <w:sz w:val="32"/>
          <w:szCs w:val="32"/>
        </w:rPr>
      </w:pPr>
      <w:r>
        <w:rPr>
          <w:rFonts w:hint="eastAsia" w:ascii="仿宋" w:hAnsi="仿宋" w:eastAsia="仿宋" w:cs="仿宋"/>
          <w:sz w:val="32"/>
          <w:szCs w:val="32"/>
        </w:rPr>
        <w:t>五是加强财政资金使用效益结果应用，及时反馈资金绩效运行状况，对不能按进度支出的预算资金及时调整、缴回，加快资金支出进度，在编制预算时根据上年绩效评价结果积极调整预算安排计划。</w:t>
      </w:r>
    </w:p>
    <w:p w14:paraId="0910B69E">
      <w:pPr>
        <w:ind w:firstLine="640" w:firstLineChars="200"/>
        <w:rPr>
          <w:rFonts w:ascii="仿宋" w:hAnsi="仿宋" w:eastAsia="仿宋" w:cs="仿宋"/>
          <w:sz w:val="32"/>
          <w:szCs w:val="32"/>
        </w:rPr>
      </w:pPr>
    </w:p>
    <w:p w14:paraId="520FB07A">
      <w:pPr>
        <w:tabs>
          <w:tab w:val="left" w:pos="5090"/>
        </w:tabs>
        <w:ind w:firstLine="4800" w:firstLineChars="1500"/>
        <w:rPr>
          <w:rFonts w:ascii="仿宋" w:hAnsi="仿宋" w:eastAsia="仿宋" w:cs="仿宋"/>
          <w:sz w:val="32"/>
          <w:szCs w:val="32"/>
        </w:rPr>
      </w:pPr>
      <w:r>
        <w:rPr>
          <w:rFonts w:hint="eastAsia" w:ascii="仿宋" w:hAnsi="仿宋" w:eastAsia="仿宋" w:cs="仿宋"/>
          <w:sz w:val="32"/>
          <w:szCs w:val="32"/>
        </w:rPr>
        <w:t>2023年3月20日</w:t>
      </w:r>
    </w:p>
    <w:p w14:paraId="27BD959E">
      <w:pPr>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hakuyoxingshu7000">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D8A28030">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A242F6"/>
    <w:multiLevelType w:val="multilevel"/>
    <w:tmpl w:val="18A242F6"/>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iYWM2OTk3YWRlNGY2ZmI0OWZjZDA1NDdkYzNlMGEifQ=="/>
  </w:docVars>
  <w:rsids>
    <w:rsidRoot w:val="00202894"/>
    <w:rsid w:val="000055B6"/>
    <w:rsid w:val="001108BC"/>
    <w:rsid w:val="001402C6"/>
    <w:rsid w:val="00144EF8"/>
    <w:rsid w:val="00202894"/>
    <w:rsid w:val="00281061"/>
    <w:rsid w:val="002A33CF"/>
    <w:rsid w:val="00314B1D"/>
    <w:rsid w:val="0040297B"/>
    <w:rsid w:val="004E4090"/>
    <w:rsid w:val="00523D73"/>
    <w:rsid w:val="005311C6"/>
    <w:rsid w:val="00571626"/>
    <w:rsid w:val="005B1D6A"/>
    <w:rsid w:val="005C4E39"/>
    <w:rsid w:val="006242A6"/>
    <w:rsid w:val="00632835"/>
    <w:rsid w:val="007045FC"/>
    <w:rsid w:val="00715CFA"/>
    <w:rsid w:val="007546E0"/>
    <w:rsid w:val="00787204"/>
    <w:rsid w:val="00797C5B"/>
    <w:rsid w:val="007E2DCD"/>
    <w:rsid w:val="00820526"/>
    <w:rsid w:val="00873B52"/>
    <w:rsid w:val="008777DB"/>
    <w:rsid w:val="00960C07"/>
    <w:rsid w:val="009C6BAE"/>
    <w:rsid w:val="009F1B97"/>
    <w:rsid w:val="00A63764"/>
    <w:rsid w:val="00AF1040"/>
    <w:rsid w:val="00AF458A"/>
    <w:rsid w:val="00B27F2C"/>
    <w:rsid w:val="00BF62DD"/>
    <w:rsid w:val="00C24424"/>
    <w:rsid w:val="00C37CE3"/>
    <w:rsid w:val="00C67E8F"/>
    <w:rsid w:val="00CF4AB0"/>
    <w:rsid w:val="00CF643E"/>
    <w:rsid w:val="00D01286"/>
    <w:rsid w:val="00D22FBF"/>
    <w:rsid w:val="00D27895"/>
    <w:rsid w:val="00D417D3"/>
    <w:rsid w:val="00D9638B"/>
    <w:rsid w:val="00DD21AF"/>
    <w:rsid w:val="00F945C6"/>
    <w:rsid w:val="09464D3E"/>
    <w:rsid w:val="0B892750"/>
    <w:rsid w:val="0F266F6F"/>
    <w:rsid w:val="148A36E6"/>
    <w:rsid w:val="335334BF"/>
    <w:rsid w:val="33B50F79"/>
    <w:rsid w:val="33EF261C"/>
    <w:rsid w:val="3DF97FB1"/>
    <w:rsid w:val="3E5416F2"/>
    <w:rsid w:val="3F6B4A7F"/>
    <w:rsid w:val="408F40C5"/>
    <w:rsid w:val="44AC570A"/>
    <w:rsid w:val="4FF05DE4"/>
    <w:rsid w:val="575C2093"/>
    <w:rsid w:val="64BC23C3"/>
    <w:rsid w:val="66263F98"/>
    <w:rsid w:val="6AEC1C54"/>
    <w:rsid w:val="6CF8286F"/>
    <w:rsid w:val="6D072479"/>
    <w:rsid w:val="7BF23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1"/>
    <w:basedOn w:val="3"/>
    <w:qFormat/>
    <w:uiPriority w:val="99"/>
    <w:pPr>
      <w:ind w:firstLine="420" w:firstLineChars="100"/>
    </w:pPr>
  </w:style>
  <w:style w:type="paragraph" w:styleId="3">
    <w:name w:val="Body Text"/>
    <w:basedOn w:val="1"/>
    <w:next w:val="4"/>
    <w:qFormat/>
    <w:uiPriority w:val="0"/>
  </w:style>
  <w:style w:type="paragraph" w:styleId="4">
    <w:name w:val="header"/>
    <w:basedOn w:val="1"/>
    <w:next w:val="5"/>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_Style 4"/>
    <w:basedOn w:val="1"/>
    <w:next w:val="1"/>
    <w:qFormat/>
    <w:uiPriority w:val="99"/>
    <w:pPr>
      <w:widowControl/>
      <w:wordWrap w:val="0"/>
      <w:spacing w:before="200" w:after="160"/>
      <w:ind w:left="864" w:right="864"/>
      <w:jc w:val="center"/>
    </w:pPr>
    <w:rPr>
      <w:rFonts w:ascii="宋体"/>
      <w:i/>
      <w:color w:val="404040"/>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Hyperlink"/>
    <w:basedOn w:val="8"/>
    <w:semiHidden/>
    <w:unhideWhenUsed/>
    <w:qFormat/>
    <w:uiPriority w:val="99"/>
    <w:rPr>
      <w:color w:val="0000FF"/>
      <w:u w:val="single"/>
    </w:rPr>
  </w:style>
  <w:style w:type="paragraph" w:customStyle="1" w:styleId="10">
    <w:name w:val="p0"/>
    <w:basedOn w:val="1"/>
    <w:qFormat/>
    <w:uiPriority w:val="99"/>
    <w:pPr>
      <w:widowControl/>
    </w:pPr>
    <w:rPr>
      <w:rFonts w:ascii="Times New Roman" w:hAnsi="Times New Roman" w:cs="Times New Roman"/>
      <w:kern w:val="0"/>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3003</Words>
  <Characters>3160</Characters>
  <Lines>22</Lines>
  <Paragraphs>6</Paragraphs>
  <TotalTime>10</TotalTime>
  <ScaleCrop>false</ScaleCrop>
  <LinksUpToDate>false</LinksUpToDate>
  <CharactersWithSpaces>3167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2023-03-08T02:30:00Z</dcterms:created>
  <dc:creator>Administrator</dc:creator>
  <cp:lastModifiedBy>烛黎</cp:lastModifiedBy>
  <dcterms:modified xsi:type="dcterms:W3CDTF">2026-05-27T09:21:04Z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DCF607621F9342F89F754986313DF282_13</vt:lpwstr>
  </property>
  <property fmtid="{D5CDD505-2E9C-101B-9397-08002B2CF9AE}" pid="4" name="KSOTemplateDocerSaveRecord">
    <vt:lpwstr>eyJoZGlkIjoiZWVjNjJiYmZhZmI3NTRmNWUyM2YyNzk5ZmZjZTA5MWUiLCJ1c2VySWQiOiI5NTM4NTc1MTAifQ==</vt:lpwstr>
  </property>
</Properties>
</file>