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rPr>
          <w:rFonts w:ascii="仿宋_GB2312" w:hAnsi="仿宋_GB2312" w:eastAsia="仿宋_GB2312" w:cs="仿宋_GB2312"/>
          <w:color w:val="000000"/>
          <w:sz w:val="24"/>
        </w:rPr>
      </w:pPr>
      <w:r>
        <w:rPr>
          <w:rFonts w:hint="eastAsia" w:ascii="仿宋_GB2312" w:hAnsi="仿宋_GB2312" w:eastAsia="仿宋_GB2312" w:cs="仿宋_GB2312"/>
          <w:color w:val="000000"/>
          <w:sz w:val="24"/>
        </w:rPr>
        <w:t>附件5：</w:t>
      </w:r>
    </w:p>
    <w:p>
      <w:pPr>
        <w:spacing w:line="580" w:lineRule="exact"/>
        <w:ind w:firstLine="720" w:firstLineChars="199"/>
        <w:rPr>
          <w:rFonts w:ascii="仿宋_GB2312" w:hAnsi="仿宋_GB2312" w:eastAsia="仿宋_GB2312" w:cs="仿宋_GB2312"/>
          <w:b/>
          <w:bCs/>
          <w:spacing w:val="-20"/>
          <w:sz w:val="40"/>
          <w:szCs w:val="48"/>
        </w:rPr>
      </w:pPr>
    </w:p>
    <w:p>
      <w:pPr>
        <w:spacing w:line="580" w:lineRule="exact"/>
        <w:ind w:firstLine="720" w:firstLineChars="199"/>
        <w:jc w:val="center"/>
        <w:rPr>
          <w:rFonts w:ascii="仿宋_GB2312" w:hAnsi="仿宋_GB2312" w:eastAsia="仿宋_GB2312" w:cs="仿宋_GB2312"/>
          <w:b/>
          <w:bCs/>
          <w:spacing w:val="-20"/>
          <w:sz w:val="40"/>
          <w:szCs w:val="48"/>
        </w:rPr>
      </w:pPr>
      <w:r>
        <w:rPr>
          <w:rFonts w:hint="eastAsia" w:ascii="仿宋_GB2312" w:hAnsi="仿宋_GB2312" w:eastAsia="仿宋_GB2312" w:cs="仿宋_GB2312"/>
          <w:b/>
          <w:bCs/>
          <w:spacing w:val="-20"/>
          <w:sz w:val="40"/>
          <w:szCs w:val="48"/>
        </w:rPr>
        <w:t>隆尧县农业农村局单位</w:t>
      </w:r>
    </w:p>
    <w:p>
      <w:pPr>
        <w:spacing w:line="580" w:lineRule="exact"/>
        <w:ind w:firstLine="720" w:firstLineChars="199"/>
        <w:jc w:val="center"/>
        <w:rPr>
          <w:rFonts w:ascii="仿宋_GB2312" w:hAnsi="仿宋_GB2312" w:eastAsia="仿宋_GB2312" w:cs="仿宋_GB2312"/>
          <w:b/>
          <w:bCs/>
          <w:sz w:val="40"/>
          <w:szCs w:val="48"/>
        </w:rPr>
      </w:pPr>
      <w:r>
        <w:rPr>
          <w:rFonts w:hint="eastAsia" w:ascii="仿宋_GB2312" w:hAnsi="仿宋_GB2312" w:eastAsia="仿宋_GB2312" w:cs="仿宋_GB2312"/>
          <w:b/>
          <w:bCs/>
          <w:spacing w:val="-20"/>
          <w:sz w:val="40"/>
          <w:szCs w:val="48"/>
        </w:rPr>
        <w:t>2022年市级财政衔接推进乡村振兴</w:t>
      </w:r>
      <w:r>
        <w:rPr>
          <w:rFonts w:hint="eastAsia" w:ascii="仿宋_GB2312" w:hAnsi="仿宋_GB2312" w:eastAsia="仿宋_GB2312" w:cs="仿宋_GB2312"/>
          <w:b/>
          <w:bCs/>
          <w:sz w:val="40"/>
          <w:szCs w:val="48"/>
        </w:rPr>
        <w:t>项目</w:t>
      </w:r>
    </w:p>
    <w:p>
      <w:pPr>
        <w:spacing w:line="580" w:lineRule="exact"/>
        <w:ind w:firstLine="799" w:firstLineChars="199"/>
        <w:jc w:val="center"/>
        <w:rPr>
          <w:rFonts w:ascii="仿宋_GB2312" w:hAnsi="仿宋_GB2312" w:eastAsia="仿宋_GB2312" w:cs="仿宋_GB2312"/>
          <w:b/>
          <w:bCs/>
          <w:sz w:val="40"/>
          <w:szCs w:val="48"/>
        </w:rPr>
      </w:pPr>
      <w:r>
        <w:rPr>
          <w:rFonts w:hint="eastAsia" w:ascii="仿宋_GB2312" w:hAnsi="仿宋_GB2312" w:eastAsia="仿宋_GB2312" w:cs="仿宋_GB2312"/>
          <w:b/>
          <w:bCs/>
          <w:sz w:val="40"/>
          <w:szCs w:val="48"/>
        </w:rPr>
        <w:t>重点自评绩效报告</w:t>
      </w:r>
    </w:p>
    <w:p>
      <w:pPr>
        <w:rPr>
          <w:rFonts w:ascii="仿宋_GB2312" w:hAnsi="仿宋_GB2312" w:eastAsia="仿宋_GB2312" w:cs="仿宋_GB2312"/>
        </w:rPr>
      </w:pPr>
      <w:r>
        <w:rPr>
          <w:rFonts w:hint="eastAsia" w:ascii="仿宋_GB2312" w:hAnsi="仿宋_GB2312" w:eastAsia="仿宋_GB2312" w:cs="仿宋_GB2312"/>
          <w:sz w:val="28"/>
          <w:szCs w:val="28"/>
        </w:rPr>
        <w:t xml:space="preserve">                         </w:t>
      </w:r>
    </w:p>
    <w:p>
      <w:pPr>
        <w:rPr>
          <w:rFonts w:ascii="仿宋_GB2312" w:hAnsi="仿宋_GB2312" w:eastAsia="仿宋_GB2312" w:cs="仿宋_GB2312"/>
        </w:rPr>
      </w:pPr>
    </w:p>
    <w:p>
      <w:pPr>
        <w:rPr>
          <w:rFonts w:ascii="仿宋_GB2312" w:hAnsi="仿宋_GB2312" w:eastAsia="仿宋_GB2312" w:cs="仿宋_GB2312"/>
        </w:rPr>
      </w:pPr>
    </w:p>
    <w:p>
      <w:pPr>
        <w:rPr>
          <w:rFonts w:ascii="仿宋_GB2312" w:hAnsi="仿宋_GB2312" w:eastAsia="仿宋_GB2312" w:cs="仿宋_GB2312"/>
        </w:rPr>
      </w:pPr>
    </w:p>
    <w:p>
      <w:pPr>
        <w:rPr>
          <w:rFonts w:ascii="仿宋_GB2312" w:hAnsi="仿宋_GB2312" w:eastAsia="仿宋_GB2312" w:cs="仿宋_GB2312"/>
        </w:rPr>
      </w:pPr>
    </w:p>
    <w:p>
      <w:pPr>
        <w:rPr>
          <w:rFonts w:ascii="仿宋_GB2312" w:hAnsi="仿宋_GB2312" w:eastAsia="仿宋_GB2312" w:cs="仿宋_GB2312"/>
        </w:rPr>
      </w:pPr>
    </w:p>
    <w:p>
      <w:pPr>
        <w:rPr>
          <w:rFonts w:ascii="仿宋_GB2312" w:hAnsi="仿宋_GB2312" w:eastAsia="仿宋_GB2312" w:cs="仿宋_GB2312"/>
        </w:rPr>
      </w:pPr>
    </w:p>
    <w:p>
      <w:pPr>
        <w:rPr>
          <w:rFonts w:ascii="仿宋_GB2312" w:hAnsi="仿宋_GB2312" w:eastAsia="仿宋_GB2312" w:cs="仿宋_GB2312"/>
        </w:rPr>
      </w:pPr>
    </w:p>
    <w:p>
      <w:pPr>
        <w:spacing w:line="760" w:lineRule="exact"/>
        <w:rPr>
          <w:rFonts w:hint="eastAsia" w:ascii="仿宋_GB2312" w:hAnsi="仿宋_GB2312" w:eastAsia="仿宋_GB2312" w:cs="仿宋_GB2312"/>
          <w:spacing w:val="11"/>
          <w:sz w:val="28"/>
          <w:szCs w:val="28"/>
        </w:rPr>
      </w:pPr>
    </w:p>
    <w:p>
      <w:pPr>
        <w:spacing w:line="760" w:lineRule="exact"/>
        <w:rPr>
          <w:rFonts w:hint="eastAsia" w:ascii="仿宋_GB2312" w:hAnsi="仿宋_GB2312" w:eastAsia="仿宋_GB2312" w:cs="仿宋_GB2312"/>
          <w:spacing w:val="11"/>
          <w:sz w:val="28"/>
          <w:szCs w:val="28"/>
        </w:rPr>
      </w:pPr>
    </w:p>
    <w:p>
      <w:pPr>
        <w:spacing w:line="760" w:lineRule="exact"/>
        <w:rPr>
          <w:rFonts w:ascii="仿宋_GB2312" w:hAnsi="仿宋_GB2312" w:eastAsia="仿宋_GB2312" w:cs="仿宋_GB2312"/>
          <w:spacing w:val="-20"/>
          <w:sz w:val="28"/>
          <w:szCs w:val="28"/>
          <w:u w:val="single"/>
        </w:rPr>
      </w:pPr>
      <w:bookmarkStart w:id="102" w:name="_GoBack"/>
      <w:bookmarkEnd w:id="102"/>
      <w:r>
        <w:rPr>
          <w:rFonts w:hint="eastAsia" w:ascii="仿宋_GB2312" w:hAnsi="仿宋_GB2312" w:eastAsia="仿宋_GB2312" w:cs="仿宋_GB2312"/>
          <w:spacing w:val="11"/>
          <w:sz w:val="28"/>
          <w:szCs w:val="28"/>
        </w:rPr>
        <w:t>项 目 名 称：</w:t>
      </w:r>
      <w:r>
        <w:rPr>
          <w:rFonts w:hint="eastAsia" w:ascii="仿宋_GB2312" w:hAnsi="仿宋_GB2312" w:eastAsia="仿宋_GB2312" w:cs="仿宋_GB2312"/>
          <w:kern w:val="0"/>
          <w:sz w:val="28"/>
          <w:szCs w:val="28"/>
          <w:u w:val="single"/>
        </w:rPr>
        <w:t>2022年财政衔接推进乡村振兴</w:t>
      </w:r>
      <w:r>
        <w:rPr>
          <w:rFonts w:hint="eastAsia" w:ascii="仿宋_GB2312" w:hAnsi="仿宋_GB2312" w:eastAsia="仿宋_GB2312" w:cs="仿宋_GB2312"/>
          <w:b/>
          <w:bCs/>
          <w:sz w:val="28"/>
          <w:szCs w:val="28"/>
          <w:u w:val="single"/>
        </w:rPr>
        <w:t xml:space="preserve">项目  </w:t>
      </w:r>
    </w:p>
    <w:p>
      <w:pPr>
        <w:spacing w:line="760" w:lineRule="exact"/>
        <w:rPr>
          <w:rFonts w:ascii="仿宋_GB2312" w:hAnsi="仿宋_GB2312" w:eastAsia="仿宋_GB2312" w:cs="仿宋_GB2312"/>
          <w:sz w:val="28"/>
          <w:szCs w:val="28"/>
          <w:u w:val="single"/>
        </w:rPr>
      </w:pPr>
      <w:r>
        <w:rPr>
          <w:rFonts w:hint="eastAsia" w:ascii="仿宋_GB2312" w:hAnsi="仿宋_GB2312" w:eastAsia="仿宋_GB2312" w:cs="仿宋_GB2312"/>
          <w:sz w:val="28"/>
          <w:szCs w:val="28"/>
        </w:rPr>
        <w:t>项目实施单位：</w:t>
      </w:r>
      <w:r>
        <w:rPr>
          <w:rFonts w:hint="eastAsia" w:ascii="仿宋_GB2312" w:hAnsi="仿宋_GB2312" w:eastAsia="仿宋_GB2312" w:cs="仿宋_GB2312"/>
          <w:kern w:val="0"/>
          <w:sz w:val="28"/>
          <w:szCs w:val="28"/>
          <w:u w:val="single"/>
        </w:rPr>
        <w:t>农业农村局</w:t>
      </w:r>
    </w:p>
    <w:p>
      <w:pPr>
        <w:spacing w:line="760" w:lineRule="exact"/>
        <w:rPr>
          <w:rFonts w:ascii="仿宋_GB2312" w:hAnsi="仿宋_GB2312" w:eastAsia="仿宋_GB2312" w:cs="仿宋_GB2312"/>
          <w:sz w:val="28"/>
          <w:szCs w:val="28"/>
          <w:u w:val="single"/>
        </w:rPr>
      </w:pPr>
      <w:r>
        <w:rPr>
          <w:rFonts w:hint="eastAsia" w:ascii="仿宋_GB2312" w:hAnsi="仿宋_GB2312" w:eastAsia="仿宋_GB2312" w:cs="仿宋_GB2312"/>
          <w:spacing w:val="28"/>
          <w:sz w:val="28"/>
          <w:szCs w:val="28"/>
        </w:rPr>
        <w:t>项目总金额：</w:t>
      </w:r>
      <w:r>
        <w:rPr>
          <w:rFonts w:hint="eastAsia" w:ascii="仿宋_GB2312" w:hAnsi="仿宋_GB2312" w:eastAsia="仿宋_GB2312" w:cs="仿宋_GB2312"/>
          <w:kern w:val="0"/>
          <w:sz w:val="28"/>
          <w:szCs w:val="28"/>
          <w:u w:val="single"/>
        </w:rPr>
        <w:t>239 万元</w:t>
      </w:r>
    </w:p>
    <w:p>
      <w:pPr>
        <w:spacing w:line="760" w:lineRule="exact"/>
        <w:rPr>
          <w:rFonts w:ascii="仿宋_GB2312" w:hAnsi="仿宋_GB2312" w:eastAsia="仿宋_GB2312" w:cs="仿宋_GB2312"/>
          <w:sz w:val="28"/>
          <w:szCs w:val="28"/>
          <w:u w:val="single"/>
        </w:rPr>
      </w:pPr>
      <w:r>
        <w:rPr>
          <w:rFonts w:hint="eastAsia" w:ascii="仿宋_GB2312" w:hAnsi="仿宋_GB2312" w:eastAsia="仿宋_GB2312" w:cs="仿宋_GB2312"/>
          <w:spacing w:val="11"/>
          <w:sz w:val="28"/>
          <w:szCs w:val="28"/>
        </w:rPr>
        <w:t>评 价 年 度：</w:t>
      </w:r>
      <w:r>
        <w:rPr>
          <w:rFonts w:hint="eastAsia" w:ascii="仿宋_GB2312" w:hAnsi="仿宋_GB2312" w:eastAsia="仿宋_GB2312" w:cs="仿宋_GB2312"/>
          <w:sz w:val="28"/>
          <w:szCs w:val="28"/>
          <w:u w:val="single"/>
        </w:rPr>
        <w:t>2022年度</w:t>
      </w:r>
    </w:p>
    <w:p>
      <w:pPr>
        <w:spacing w:line="760" w:lineRule="exact"/>
        <w:rPr>
          <w:rFonts w:ascii="仿宋_GB2312" w:hAnsi="仿宋_GB2312" w:eastAsia="仿宋_GB2312" w:cs="仿宋_GB2312"/>
          <w:sz w:val="28"/>
          <w:szCs w:val="28"/>
          <w:u w:val="single"/>
        </w:rPr>
      </w:pPr>
      <w:r>
        <w:rPr>
          <w:rFonts w:hint="eastAsia" w:ascii="仿宋_GB2312" w:hAnsi="仿宋_GB2312" w:eastAsia="仿宋_GB2312" w:cs="仿宋_GB2312"/>
          <w:spacing w:val="28"/>
          <w:sz w:val="28"/>
          <w:szCs w:val="28"/>
        </w:rPr>
        <w:t>评价组组长：</w:t>
      </w:r>
      <w:r>
        <w:rPr>
          <w:rFonts w:hint="eastAsia" w:ascii="仿宋_GB2312" w:hAnsi="仿宋_GB2312" w:eastAsia="仿宋_GB2312" w:cs="仿宋_GB2312"/>
          <w:sz w:val="28"/>
          <w:szCs w:val="28"/>
          <w:u w:val="single"/>
        </w:rPr>
        <w:t xml:space="preserve">     李现国    </w:t>
      </w:r>
    </w:p>
    <w:p>
      <w:pPr>
        <w:spacing w:line="760" w:lineRule="exact"/>
        <w:rPr>
          <w:rFonts w:ascii="仿宋_GB2312" w:hAnsi="仿宋_GB2312" w:eastAsia="仿宋_GB2312" w:cs="仿宋_GB2312"/>
        </w:rPr>
      </w:pPr>
      <w:r>
        <w:rPr>
          <w:rFonts w:hint="eastAsia" w:ascii="仿宋_GB2312" w:hAnsi="仿宋_GB2312" w:eastAsia="仿宋_GB2312" w:cs="仿宋_GB2312"/>
          <w:spacing w:val="28"/>
          <w:sz w:val="28"/>
          <w:szCs w:val="28"/>
        </w:rPr>
        <w:t>评价组成员：</w:t>
      </w:r>
      <w:r>
        <w:rPr>
          <w:rFonts w:hint="eastAsia" w:ascii="仿宋_GB2312" w:hAnsi="仿宋_GB2312" w:eastAsia="仿宋_GB2312" w:cs="仿宋_GB2312"/>
          <w:sz w:val="28"/>
          <w:szCs w:val="28"/>
          <w:u w:val="single"/>
        </w:rPr>
        <w:t xml:space="preserve">     曹利芳、李青       </w:t>
      </w:r>
    </w:p>
    <w:p>
      <w:pPr>
        <w:rPr>
          <w:rFonts w:ascii="仿宋_GB2312" w:hAnsi="仿宋_GB2312" w:eastAsia="仿宋_GB2312" w:cs="仿宋_GB2312"/>
        </w:rPr>
      </w:pPr>
      <w:bookmarkStart w:id="0" w:name="_Toc7470_WPSOffice_Level1"/>
      <w:bookmarkStart w:id="1" w:name="_Toc5909_WPSOffice_Level1"/>
    </w:p>
    <w:bookmarkEnd w:id="0"/>
    <w:bookmarkEnd w:id="1"/>
    <w:p>
      <w:pPr>
        <w:pStyle w:val="2"/>
        <w:spacing w:line="120" w:lineRule="exact"/>
        <w:ind w:firstLine="560"/>
        <w:rPr>
          <w:rFonts w:ascii="仿宋_GB2312" w:hAnsi="仿宋_GB2312" w:eastAsia="仿宋_GB2312" w:cs="仿宋_GB2312"/>
        </w:rPr>
      </w:pPr>
    </w:p>
    <w:p>
      <w:pPr>
        <w:spacing w:line="580" w:lineRule="exact"/>
        <w:ind w:firstLine="643" w:firstLineChars="200"/>
        <w:outlineLvl w:val="0"/>
        <w:rPr>
          <w:rFonts w:ascii="仿宋_GB2312" w:hAnsi="仿宋_GB2312" w:eastAsia="仿宋_GB2312" w:cs="仿宋_GB2312"/>
          <w:b/>
          <w:bCs/>
          <w:sz w:val="32"/>
          <w:szCs w:val="40"/>
        </w:rPr>
      </w:pPr>
      <w:bookmarkStart w:id="2" w:name="_Toc23411"/>
      <w:bookmarkStart w:id="3" w:name="_Toc6314"/>
      <w:bookmarkStart w:id="4" w:name="_Toc13153"/>
      <w:bookmarkStart w:id="5" w:name="_Toc9525"/>
      <w:bookmarkStart w:id="6" w:name="_Toc18334"/>
      <w:bookmarkStart w:id="7" w:name="_Toc4013"/>
      <w:bookmarkStart w:id="8" w:name="_Toc30335"/>
      <w:bookmarkStart w:id="9" w:name="_Toc2245"/>
      <w:bookmarkStart w:id="10" w:name="_Toc16913"/>
      <w:bookmarkStart w:id="11" w:name="_Toc11301"/>
    </w:p>
    <w:p>
      <w:pPr>
        <w:spacing w:line="580" w:lineRule="exact"/>
        <w:ind w:firstLine="643" w:firstLineChars="200"/>
        <w:outlineLvl w:val="0"/>
        <w:rPr>
          <w:rFonts w:ascii="仿宋_GB2312" w:hAnsi="仿宋_GB2312" w:eastAsia="仿宋_GB2312" w:cs="仿宋_GB2312"/>
          <w:b/>
          <w:bCs/>
          <w:sz w:val="32"/>
          <w:szCs w:val="40"/>
        </w:rPr>
      </w:pPr>
      <w:r>
        <w:rPr>
          <w:rFonts w:hint="eastAsia" w:ascii="仿宋_GB2312" w:hAnsi="仿宋_GB2312" w:eastAsia="仿宋_GB2312" w:cs="仿宋_GB2312"/>
          <w:b/>
          <w:bCs/>
          <w:sz w:val="32"/>
          <w:szCs w:val="40"/>
        </w:rPr>
        <w:t>一、项目概况</w:t>
      </w:r>
      <w:bookmarkEnd w:id="2"/>
      <w:bookmarkEnd w:id="3"/>
      <w:bookmarkEnd w:id="4"/>
      <w:bookmarkEnd w:id="5"/>
      <w:bookmarkEnd w:id="6"/>
      <w:bookmarkEnd w:id="7"/>
      <w:bookmarkEnd w:id="8"/>
      <w:bookmarkEnd w:id="9"/>
      <w:bookmarkEnd w:id="10"/>
      <w:bookmarkEnd w:id="11"/>
    </w:p>
    <w:p>
      <w:pPr>
        <w:spacing w:line="580" w:lineRule="exact"/>
        <w:ind w:firstLine="640" w:firstLineChars="200"/>
        <w:outlineLvl w:val="1"/>
        <w:rPr>
          <w:rFonts w:ascii="仿宋_GB2312" w:hAnsi="仿宋_GB2312" w:eastAsia="仿宋_GB2312" w:cs="仿宋_GB2312"/>
          <w:sz w:val="32"/>
          <w:szCs w:val="32"/>
        </w:rPr>
      </w:pPr>
      <w:bookmarkStart w:id="12" w:name="_Toc19370"/>
      <w:bookmarkStart w:id="13" w:name="_Toc22453"/>
      <w:bookmarkStart w:id="14" w:name="_Toc32742"/>
      <w:bookmarkStart w:id="15" w:name="_Toc24784"/>
      <w:bookmarkStart w:id="16" w:name="_Toc19963"/>
      <w:bookmarkStart w:id="17" w:name="_Toc22285"/>
      <w:bookmarkStart w:id="18" w:name="_Toc15831"/>
      <w:bookmarkStart w:id="19" w:name="_Toc23957"/>
      <w:bookmarkStart w:id="20" w:name="_Toc30895"/>
      <w:bookmarkStart w:id="21" w:name="_Toc937"/>
      <w:r>
        <w:rPr>
          <w:rFonts w:hint="eastAsia" w:ascii="仿宋_GB2312" w:hAnsi="仿宋_GB2312" w:eastAsia="仿宋_GB2312" w:cs="仿宋_GB2312"/>
          <w:sz w:val="32"/>
          <w:szCs w:val="32"/>
        </w:rPr>
        <w:t>（一）项目单位基本情况</w:t>
      </w:r>
      <w:bookmarkEnd w:id="12"/>
      <w:bookmarkEnd w:id="13"/>
      <w:bookmarkEnd w:id="14"/>
      <w:bookmarkEnd w:id="15"/>
      <w:bookmarkEnd w:id="16"/>
      <w:bookmarkEnd w:id="17"/>
      <w:bookmarkEnd w:id="18"/>
      <w:bookmarkEnd w:id="19"/>
      <w:bookmarkEnd w:id="20"/>
      <w:bookmarkEnd w:id="21"/>
    </w:p>
    <w:p>
      <w:pPr>
        <w:spacing w:line="580" w:lineRule="exact"/>
        <w:ind w:firstLine="640" w:firstLineChars="200"/>
        <w:outlineLvl w:val="1"/>
        <w:rPr>
          <w:rFonts w:ascii="仿宋_GB2312" w:hAnsi="仿宋_GB2312" w:eastAsia="仿宋_GB2312" w:cs="仿宋_GB2312"/>
          <w:sz w:val="32"/>
          <w:szCs w:val="32"/>
        </w:rPr>
      </w:pPr>
      <w:bookmarkStart w:id="22" w:name="_Toc15167"/>
      <w:bookmarkStart w:id="23" w:name="_Toc8843"/>
      <w:bookmarkStart w:id="24" w:name="_Toc29308"/>
      <w:r>
        <w:rPr>
          <w:rFonts w:hint="eastAsia" w:ascii="仿宋_GB2312" w:hAnsi="仿宋_GB2312" w:eastAsia="仿宋_GB2312" w:cs="仿宋_GB2312"/>
          <w:sz w:val="32"/>
          <w:szCs w:val="32"/>
        </w:rPr>
        <w:t>项目单位为隆尧县农业农村局，地址隆尧县德仁路4号。行政事业单位。承担</w:t>
      </w:r>
      <w:r>
        <w:rPr>
          <w:rFonts w:hint="eastAsia" w:ascii="仿宋_GB2312" w:hAnsi="仿宋_GB2312" w:eastAsia="仿宋_GB2312" w:cs="仿宋_GB2312"/>
          <w:kern w:val="0"/>
          <w:sz w:val="32"/>
          <w:szCs w:val="32"/>
        </w:rPr>
        <w:t>2022年财政衔接推进乡村振兴项目</w:t>
      </w:r>
      <w:r>
        <w:rPr>
          <w:rFonts w:hint="eastAsia" w:ascii="仿宋_GB2312" w:hAnsi="仿宋_GB2312" w:eastAsia="仿宋_GB2312" w:cs="仿宋_GB2312"/>
          <w:sz w:val="32"/>
          <w:szCs w:val="32"/>
        </w:rPr>
        <w:t>。</w:t>
      </w:r>
    </w:p>
    <w:p>
      <w:pPr>
        <w:spacing w:line="580" w:lineRule="exact"/>
        <w:ind w:firstLine="640" w:firstLineChars="200"/>
        <w:outlineLvl w:val="1"/>
        <w:rPr>
          <w:rFonts w:ascii="仿宋_GB2312" w:hAnsi="仿宋_GB2312" w:eastAsia="仿宋_GB2312" w:cs="仿宋_GB2312"/>
          <w:sz w:val="32"/>
          <w:szCs w:val="32"/>
        </w:rPr>
      </w:pPr>
      <w:r>
        <w:rPr>
          <w:rFonts w:hint="eastAsia" w:ascii="仿宋_GB2312" w:hAnsi="仿宋_GB2312" w:eastAsia="仿宋_GB2312" w:cs="仿宋_GB2312"/>
          <w:sz w:val="32"/>
          <w:szCs w:val="32"/>
        </w:rPr>
        <w:t>（二）项目基本情况</w:t>
      </w:r>
    </w:p>
    <w:p>
      <w:pPr>
        <w:widowControl/>
        <w:spacing w:line="580" w:lineRule="exact"/>
        <w:ind w:firstLine="640" w:firstLineChars="200"/>
        <w:jc w:val="left"/>
        <w:rPr>
          <w:rFonts w:ascii="仿宋_GB2312" w:hAnsi="仿宋_GB2312" w:eastAsia="仿宋_GB2312" w:cs="仿宋_GB2312"/>
          <w:sz w:val="32"/>
          <w:szCs w:val="40"/>
        </w:rPr>
      </w:pPr>
      <w:r>
        <w:rPr>
          <w:rFonts w:hint="eastAsia" w:ascii="仿宋_GB2312" w:hAnsi="仿宋_GB2312" w:eastAsia="仿宋_GB2312" w:cs="仿宋_GB2312"/>
          <w:sz w:val="32"/>
          <w:szCs w:val="32"/>
        </w:rPr>
        <w:t>本项目资金共239万元，具体项目5个，其中</w:t>
      </w:r>
      <w:r>
        <w:rPr>
          <w:rFonts w:hint="eastAsia" w:ascii="楷体" w:hAnsi="楷体" w:eastAsia="楷体" w:cs="楷体"/>
          <w:sz w:val="32"/>
          <w:szCs w:val="32"/>
        </w:rPr>
        <w:t>第一个项目是雨露计划补贴</w:t>
      </w:r>
      <w:r>
        <w:rPr>
          <w:rFonts w:hint="eastAsia" w:ascii="仿宋_GB2312" w:hAnsi="仿宋_GB2312" w:eastAsia="仿宋_GB2312" w:cs="仿宋_GB2312"/>
          <w:sz w:val="32"/>
          <w:szCs w:val="32"/>
        </w:rPr>
        <w:t>，为农村贫困家庭新成长劳动力接受中、高等职业教育且取得正式全日制学籍的在校生，每学期进行补贴，2021年秋季167人、2022年春季193人，共补贴24万元；</w:t>
      </w:r>
      <w:r>
        <w:rPr>
          <w:rFonts w:hint="eastAsia" w:ascii="楷体" w:hAnsi="楷体" w:eastAsia="楷体" w:cs="楷体"/>
          <w:sz w:val="32"/>
          <w:szCs w:val="32"/>
        </w:rPr>
        <w:t>第二个项目是支持农业产业项目发展和合作企业风险评估</w:t>
      </w:r>
      <w:r>
        <w:rPr>
          <w:rFonts w:hint="eastAsia" w:ascii="仿宋_GB2312" w:hAnsi="仿宋_GB2312" w:eastAsia="仿宋_GB2312" w:cs="仿宋_GB2312"/>
          <w:sz w:val="32"/>
          <w:szCs w:val="32"/>
        </w:rPr>
        <w:t>，</w:t>
      </w:r>
      <w:r>
        <w:rPr>
          <w:rFonts w:hint="eastAsia" w:ascii="仿宋_GB2312" w:hAnsi="仿宋_GB2312" w:eastAsia="仿宋_GB2312" w:cs="仿宋_GB2312"/>
          <w:color w:val="000000"/>
          <w:kern w:val="0"/>
          <w:sz w:val="32"/>
          <w:szCs w:val="32"/>
        </w:rPr>
        <w:t>河北冀康冷链物流有限公司</w:t>
      </w:r>
      <w:r>
        <w:rPr>
          <w:rFonts w:hint="eastAsia" w:ascii="仿宋_GB2312" w:hAnsi="仿宋_GB2312" w:eastAsia="仿宋_GB2312" w:cs="仿宋_GB2312"/>
          <w:sz w:val="32"/>
          <w:szCs w:val="32"/>
        </w:rPr>
        <w:t>以资产收益模式实施</w:t>
      </w:r>
      <w:r>
        <w:rPr>
          <w:rFonts w:hint="eastAsia" w:ascii="仿宋_GB2312" w:hAnsi="仿宋_GB2312" w:eastAsia="仿宋_GB2312" w:cs="仿宋_GB2312"/>
          <w:color w:val="000000"/>
          <w:kern w:val="0"/>
          <w:sz w:val="32"/>
          <w:szCs w:val="32"/>
        </w:rPr>
        <w:t>的冀康阳光大棚升级改造及冷链仓储物流中心项目、</w:t>
      </w:r>
      <w:r>
        <w:rPr>
          <w:rFonts w:ascii="Times New Roman" w:hAnsi="Times New Roman" w:eastAsia="仿宋_GB2312"/>
          <w:bCs/>
          <w:sz w:val="32"/>
          <w:szCs w:val="32"/>
        </w:rPr>
        <w:t>隆尧县旭日食品有限公司</w:t>
      </w:r>
      <w:r>
        <w:rPr>
          <w:rFonts w:hint="eastAsia" w:ascii="仿宋_GB2312" w:hAnsi="仿宋_GB2312" w:eastAsia="仿宋_GB2312" w:cs="仿宋_GB2312"/>
          <w:sz w:val="32"/>
          <w:szCs w:val="32"/>
        </w:rPr>
        <w:t>以资产收益模式实施</w:t>
      </w:r>
      <w:r>
        <w:rPr>
          <w:rFonts w:hint="eastAsia" w:ascii="仿宋_GB2312" w:hAnsi="仿宋_GB2312" w:eastAsia="仿宋_GB2312" w:cs="仿宋_GB2312"/>
          <w:color w:val="000000"/>
          <w:kern w:val="0"/>
          <w:sz w:val="32"/>
          <w:szCs w:val="32"/>
        </w:rPr>
        <w:t>的</w:t>
      </w:r>
      <w:r>
        <w:rPr>
          <w:rFonts w:ascii="Times New Roman" w:hAnsi="Times New Roman" w:eastAsia="仿宋_GB2312"/>
          <w:bCs/>
          <w:sz w:val="32"/>
          <w:szCs w:val="32"/>
        </w:rPr>
        <w:t>辣椒基地</w:t>
      </w:r>
      <w:r>
        <w:rPr>
          <w:rFonts w:hint="eastAsia" w:ascii="Times New Roman" w:hAnsi="Times New Roman" w:eastAsia="仿宋_GB2312"/>
          <w:bCs/>
          <w:sz w:val="32"/>
          <w:szCs w:val="32"/>
        </w:rPr>
        <w:t>建设</w:t>
      </w:r>
      <w:r>
        <w:rPr>
          <w:rFonts w:ascii="Times New Roman" w:hAnsi="Times New Roman" w:eastAsia="仿宋_GB2312"/>
          <w:bCs/>
          <w:sz w:val="32"/>
          <w:szCs w:val="32"/>
        </w:rPr>
        <w:t>及深加工升级改造项目</w:t>
      </w:r>
      <w:r>
        <w:rPr>
          <w:rFonts w:hint="eastAsia" w:ascii="Times New Roman" w:hAnsi="Times New Roman" w:eastAsia="仿宋_GB2312"/>
          <w:bCs/>
          <w:sz w:val="32"/>
          <w:szCs w:val="32"/>
        </w:rPr>
        <w:t>、</w:t>
      </w:r>
      <w:r>
        <w:rPr>
          <w:rFonts w:ascii="Times New Roman" w:hAnsi="Times New Roman" w:eastAsia="仿宋_GB2312"/>
          <w:bCs/>
          <w:sz w:val="32"/>
          <w:szCs w:val="32"/>
        </w:rPr>
        <w:t>隆尧县嘉业农业有限公司</w:t>
      </w:r>
      <w:r>
        <w:rPr>
          <w:rFonts w:hint="eastAsia" w:ascii="仿宋_GB2312" w:hAnsi="仿宋_GB2312" w:eastAsia="仿宋_GB2312" w:cs="仿宋_GB2312"/>
          <w:sz w:val="32"/>
          <w:szCs w:val="32"/>
        </w:rPr>
        <w:t>以资产收益模式实施</w:t>
      </w:r>
      <w:r>
        <w:rPr>
          <w:rFonts w:hint="eastAsia" w:ascii="仿宋_GB2312" w:hAnsi="仿宋_GB2312" w:eastAsia="仿宋_GB2312" w:cs="仿宋_GB2312"/>
          <w:color w:val="000000"/>
          <w:kern w:val="0"/>
          <w:sz w:val="32"/>
          <w:szCs w:val="32"/>
        </w:rPr>
        <w:t>的</w:t>
      </w:r>
      <w:r>
        <w:rPr>
          <w:rFonts w:hint="eastAsia" w:ascii="Times New Roman" w:hAnsi="Times New Roman" w:eastAsia="仿宋_GB2312"/>
          <w:bCs/>
          <w:sz w:val="32"/>
          <w:szCs w:val="32"/>
        </w:rPr>
        <w:t>双碑乡特色果蔬大棚示范区项目、</w:t>
      </w:r>
      <w:r>
        <w:rPr>
          <w:rFonts w:hint="eastAsia" w:ascii="仿宋" w:hAnsi="仿宋" w:eastAsia="仿宋"/>
          <w:sz w:val="32"/>
          <w:szCs w:val="32"/>
        </w:rPr>
        <w:t>隆尧县瑞融商贸有限公司</w:t>
      </w:r>
      <w:r>
        <w:rPr>
          <w:rFonts w:hint="eastAsia" w:ascii="仿宋_GB2312" w:hAnsi="仿宋_GB2312" w:eastAsia="仿宋_GB2312" w:cs="仿宋_GB2312"/>
          <w:sz w:val="32"/>
          <w:szCs w:val="32"/>
        </w:rPr>
        <w:t>以资产收益模式实施</w:t>
      </w:r>
      <w:r>
        <w:rPr>
          <w:rFonts w:hint="eastAsia" w:ascii="仿宋_GB2312" w:hAnsi="仿宋_GB2312" w:eastAsia="仿宋_GB2312" w:cs="仿宋_GB2312"/>
          <w:color w:val="000000"/>
          <w:kern w:val="0"/>
          <w:sz w:val="32"/>
          <w:szCs w:val="32"/>
        </w:rPr>
        <w:t>的</w:t>
      </w:r>
      <w:r>
        <w:rPr>
          <w:rFonts w:hint="eastAsia" w:ascii="仿宋" w:hAnsi="仿宋" w:eastAsia="仿宋"/>
          <w:sz w:val="32"/>
          <w:szCs w:val="32"/>
        </w:rPr>
        <w:t>隆尧县农业创新创业孵化中心（一期）项目，产业项目投入资金66万元、评估费6.4万元；</w:t>
      </w:r>
      <w:r>
        <w:rPr>
          <w:rFonts w:hint="eastAsia" w:ascii="楷体" w:hAnsi="楷体" w:eastAsia="楷体" w:cs="楷体"/>
          <w:sz w:val="32"/>
          <w:szCs w:val="32"/>
        </w:rPr>
        <w:t>第三个项目是疫情专岗补贴，</w:t>
      </w:r>
      <w:r>
        <w:rPr>
          <w:rFonts w:hint="eastAsia" w:ascii="仿宋_GB2312" w:hAnsi="仿宋_GB2312" w:eastAsia="仿宋_GB2312" w:cs="仿宋_GB2312"/>
          <w:sz w:val="32"/>
          <w:szCs w:val="32"/>
        </w:rPr>
        <w:t>脱贫户和监测户在疫情期间值班值守的1002人岗位补贴，43.441万元；</w:t>
      </w:r>
      <w:r>
        <w:rPr>
          <w:rFonts w:hint="eastAsia" w:ascii="楷体" w:hAnsi="楷体" w:eastAsia="楷体" w:cs="楷体"/>
          <w:sz w:val="32"/>
          <w:szCs w:val="32"/>
        </w:rPr>
        <w:t>第四个项目是金融风险金</w:t>
      </w:r>
      <w:r>
        <w:rPr>
          <w:rFonts w:hint="eastAsia" w:ascii="仿宋_GB2312" w:hAnsi="仿宋_GB2312" w:eastAsia="仿宋_GB2312" w:cs="仿宋_GB2312"/>
          <w:sz w:val="32"/>
          <w:szCs w:val="32"/>
        </w:rPr>
        <w:t>，安排风险补偿金投放到合作银行，合作银行原则上按照不低于风险补偿金的5倍放贷，投放资金15万元；</w:t>
      </w:r>
      <w:r>
        <w:rPr>
          <w:rFonts w:hint="eastAsia" w:ascii="楷体" w:hAnsi="楷体" w:eastAsia="楷体" w:cs="楷体"/>
          <w:sz w:val="32"/>
          <w:szCs w:val="32"/>
        </w:rPr>
        <w:t>第五个项目是补齐必要的农村人居环境整治和小型公益性基础设施建设短板，</w:t>
      </w:r>
      <w:r>
        <w:rPr>
          <w:rFonts w:hint="eastAsia" w:ascii="仿宋_GB2312" w:hAnsi="仿宋_GB2312" w:eastAsia="仿宋_GB2312" w:cs="仿宋_GB2312"/>
          <w:sz w:val="32"/>
          <w:szCs w:val="32"/>
        </w:rPr>
        <w:t>涉及山口镇、固城镇、莲子镇镇、大张家庄乡、北楼乡、双碑乡、东良镇、牛家桥乡8个乡镇，建设内容</w:t>
      </w:r>
      <w:r>
        <w:rPr>
          <w:rFonts w:hint="eastAsia" w:ascii="Times New Roman" w:hAnsi="Times New Roman" w:eastAsia="仿宋_GB2312"/>
          <w:sz w:val="32"/>
          <w:szCs w:val="32"/>
        </w:rPr>
        <w:t>主要是道路面貌提升，投入资金84.159万元。以上239万元资金已全部支付到位。</w:t>
      </w:r>
      <w:bookmarkEnd w:id="22"/>
      <w:bookmarkEnd w:id="23"/>
      <w:bookmarkEnd w:id="24"/>
      <w:bookmarkStart w:id="25" w:name="_Toc26594"/>
      <w:bookmarkStart w:id="26" w:name="_Toc32656"/>
      <w:bookmarkStart w:id="27" w:name="_Toc27552"/>
      <w:bookmarkStart w:id="28" w:name="_Toc24191"/>
    </w:p>
    <w:bookmarkEnd w:id="25"/>
    <w:bookmarkEnd w:id="26"/>
    <w:bookmarkEnd w:id="27"/>
    <w:bookmarkEnd w:id="28"/>
    <w:p>
      <w:pPr>
        <w:spacing w:line="580" w:lineRule="exact"/>
        <w:ind w:firstLine="643" w:firstLineChars="200"/>
        <w:outlineLvl w:val="0"/>
        <w:rPr>
          <w:rFonts w:ascii="仿宋_GB2312" w:hAnsi="仿宋_GB2312" w:eastAsia="仿宋_GB2312" w:cs="仿宋_GB2312"/>
          <w:b/>
          <w:bCs/>
          <w:sz w:val="32"/>
          <w:szCs w:val="40"/>
        </w:rPr>
      </w:pPr>
      <w:bookmarkStart w:id="29" w:name="_Toc18992"/>
      <w:bookmarkStart w:id="30" w:name="_Toc26109"/>
      <w:bookmarkStart w:id="31" w:name="_Toc14644"/>
      <w:bookmarkStart w:id="32" w:name="_Toc4859"/>
      <w:bookmarkStart w:id="33" w:name="_Toc12860"/>
      <w:bookmarkStart w:id="34" w:name="_Toc28908"/>
      <w:bookmarkStart w:id="35" w:name="_Toc6781"/>
      <w:bookmarkStart w:id="36" w:name="_Toc2988"/>
      <w:bookmarkStart w:id="37" w:name="_Toc17782"/>
      <w:bookmarkStart w:id="38" w:name="_Toc7839"/>
      <w:r>
        <w:rPr>
          <w:rFonts w:hint="eastAsia" w:ascii="仿宋_GB2312" w:hAnsi="仿宋_GB2312" w:eastAsia="仿宋_GB2312" w:cs="仿宋_GB2312"/>
          <w:b/>
          <w:bCs/>
          <w:sz w:val="32"/>
          <w:szCs w:val="40"/>
        </w:rPr>
        <w:t>二、项目实施情况</w:t>
      </w:r>
      <w:bookmarkEnd w:id="29"/>
      <w:bookmarkEnd w:id="30"/>
      <w:bookmarkEnd w:id="31"/>
      <w:bookmarkEnd w:id="32"/>
      <w:bookmarkEnd w:id="33"/>
      <w:bookmarkEnd w:id="34"/>
      <w:bookmarkEnd w:id="35"/>
      <w:bookmarkEnd w:id="36"/>
      <w:bookmarkEnd w:id="37"/>
      <w:bookmarkEnd w:id="38"/>
    </w:p>
    <w:p>
      <w:pPr>
        <w:widowControl/>
        <w:spacing w:line="580" w:lineRule="exact"/>
        <w:ind w:firstLine="640" w:firstLineChars="200"/>
        <w:jc w:val="left"/>
        <w:rPr>
          <w:rFonts w:ascii="仿宋_GB2312" w:hAnsi="仿宋_GB2312" w:eastAsia="仿宋_GB2312" w:cs="仿宋_GB2312"/>
          <w:sz w:val="32"/>
          <w:szCs w:val="40"/>
        </w:rPr>
      </w:pPr>
      <w:r>
        <w:rPr>
          <w:rFonts w:hint="eastAsia" w:ascii="仿宋_GB2312" w:hAnsi="仿宋_GB2312" w:eastAsia="仿宋_GB2312" w:cs="仿宋_GB2312"/>
          <w:sz w:val="32"/>
          <w:szCs w:val="32"/>
        </w:rPr>
        <w:t>本项目共为5个具体项目，</w:t>
      </w:r>
      <w:r>
        <w:rPr>
          <w:rFonts w:hint="eastAsia" w:ascii="楷体" w:hAnsi="楷体" w:eastAsia="楷体" w:cs="楷体"/>
          <w:sz w:val="32"/>
          <w:szCs w:val="32"/>
        </w:rPr>
        <w:t>第一个项目是雨露计划补贴</w:t>
      </w:r>
      <w:r>
        <w:rPr>
          <w:rFonts w:hint="eastAsia" w:ascii="仿宋_GB2312" w:hAnsi="仿宋_GB2312" w:eastAsia="仿宋_GB2312" w:cs="仿宋_GB2312"/>
          <w:sz w:val="32"/>
          <w:szCs w:val="32"/>
        </w:rPr>
        <w:t>，为农村贫困家庭新成长劳动力接受中、高等职业教育且取得正式全日制学籍的在校生，每学期进行补贴，2021年秋季167人、2022年春季193人，共补贴30万元；</w:t>
      </w:r>
      <w:r>
        <w:rPr>
          <w:rFonts w:hint="eastAsia" w:ascii="楷体" w:hAnsi="楷体" w:eastAsia="楷体" w:cs="楷体"/>
          <w:sz w:val="32"/>
          <w:szCs w:val="32"/>
        </w:rPr>
        <w:t>第二个项目是支持农业产业项目发展和合作企业风险评估</w:t>
      </w:r>
      <w:r>
        <w:rPr>
          <w:rFonts w:hint="eastAsia" w:ascii="仿宋_GB2312" w:hAnsi="仿宋_GB2312" w:eastAsia="仿宋_GB2312" w:cs="仿宋_GB2312"/>
          <w:sz w:val="32"/>
          <w:szCs w:val="32"/>
        </w:rPr>
        <w:t>，项目以资产收益模式实施，由隆尧县成发建设集团有限公司具体与实施主体合作完成，实施主体4个，</w:t>
      </w:r>
      <w:r>
        <w:rPr>
          <w:rFonts w:hint="eastAsia" w:ascii="仿宋_GB2312" w:hAnsi="仿宋_GB2312" w:eastAsia="仿宋_GB2312" w:cs="仿宋_GB2312"/>
          <w:color w:val="000000"/>
          <w:kern w:val="0"/>
          <w:sz w:val="32"/>
          <w:szCs w:val="32"/>
        </w:rPr>
        <w:t>河北冀康冷链物流有限公司</w:t>
      </w:r>
      <w:r>
        <w:rPr>
          <w:rFonts w:hint="eastAsia" w:ascii="仿宋_GB2312" w:hAnsi="仿宋_GB2312" w:eastAsia="仿宋_GB2312" w:cs="仿宋_GB2312"/>
          <w:sz w:val="32"/>
          <w:szCs w:val="32"/>
        </w:rPr>
        <w:t>实施</w:t>
      </w:r>
      <w:r>
        <w:rPr>
          <w:rFonts w:hint="eastAsia" w:ascii="仿宋_GB2312" w:hAnsi="仿宋_GB2312" w:eastAsia="仿宋_GB2312" w:cs="仿宋_GB2312"/>
          <w:color w:val="000000"/>
          <w:kern w:val="0"/>
          <w:sz w:val="32"/>
          <w:szCs w:val="32"/>
        </w:rPr>
        <w:t>的冀康阳光大棚升级改造及冷链仓储物流中心项目、</w:t>
      </w:r>
      <w:r>
        <w:rPr>
          <w:rFonts w:ascii="Times New Roman" w:hAnsi="Times New Roman" w:eastAsia="仿宋_GB2312"/>
          <w:bCs/>
          <w:sz w:val="32"/>
          <w:szCs w:val="32"/>
        </w:rPr>
        <w:t>隆尧县旭日食品有限公司</w:t>
      </w:r>
      <w:r>
        <w:rPr>
          <w:rFonts w:hint="eastAsia" w:ascii="Times New Roman" w:hAnsi="Times New Roman" w:eastAsia="仿宋_GB2312"/>
          <w:bCs/>
          <w:sz w:val="32"/>
          <w:szCs w:val="32"/>
        </w:rPr>
        <w:t>的</w:t>
      </w:r>
      <w:r>
        <w:rPr>
          <w:rFonts w:ascii="Times New Roman" w:hAnsi="Times New Roman" w:eastAsia="仿宋_GB2312"/>
          <w:bCs/>
          <w:sz w:val="32"/>
          <w:szCs w:val="32"/>
        </w:rPr>
        <w:t>辣椒基地</w:t>
      </w:r>
      <w:r>
        <w:rPr>
          <w:rFonts w:hint="eastAsia" w:ascii="Times New Roman" w:hAnsi="Times New Roman" w:eastAsia="仿宋_GB2312"/>
          <w:bCs/>
          <w:sz w:val="32"/>
          <w:szCs w:val="32"/>
        </w:rPr>
        <w:t>建设</w:t>
      </w:r>
      <w:r>
        <w:rPr>
          <w:rFonts w:ascii="Times New Roman" w:hAnsi="Times New Roman" w:eastAsia="仿宋_GB2312"/>
          <w:bCs/>
          <w:sz w:val="32"/>
          <w:szCs w:val="32"/>
        </w:rPr>
        <w:t>及深加工升级改造项目</w:t>
      </w:r>
      <w:r>
        <w:rPr>
          <w:rFonts w:hint="eastAsia" w:ascii="Times New Roman" w:hAnsi="Times New Roman" w:eastAsia="仿宋_GB2312"/>
          <w:bCs/>
          <w:sz w:val="32"/>
          <w:szCs w:val="32"/>
        </w:rPr>
        <w:t>、</w:t>
      </w:r>
      <w:r>
        <w:rPr>
          <w:rFonts w:ascii="Times New Roman" w:hAnsi="Times New Roman" w:eastAsia="仿宋_GB2312"/>
          <w:bCs/>
          <w:sz w:val="32"/>
          <w:szCs w:val="32"/>
        </w:rPr>
        <w:t>隆尧县嘉业农业有限公司</w:t>
      </w:r>
      <w:r>
        <w:rPr>
          <w:rFonts w:hint="eastAsia" w:ascii="Times New Roman" w:hAnsi="Times New Roman" w:eastAsia="仿宋_GB2312"/>
          <w:bCs/>
          <w:sz w:val="32"/>
          <w:szCs w:val="32"/>
        </w:rPr>
        <w:t>的双碑乡特色果蔬大棚示范区项目、</w:t>
      </w:r>
      <w:r>
        <w:rPr>
          <w:rFonts w:hint="eastAsia" w:ascii="仿宋" w:hAnsi="仿宋" w:eastAsia="仿宋"/>
          <w:sz w:val="32"/>
          <w:szCs w:val="32"/>
        </w:rPr>
        <w:t>隆尧县瑞融商贸有限公司</w:t>
      </w:r>
      <w:r>
        <w:rPr>
          <w:rFonts w:hint="eastAsia" w:ascii="仿宋_GB2312" w:hAnsi="仿宋_GB2312" w:eastAsia="仿宋_GB2312" w:cs="仿宋_GB2312"/>
          <w:color w:val="000000"/>
          <w:kern w:val="0"/>
          <w:sz w:val="32"/>
          <w:szCs w:val="32"/>
        </w:rPr>
        <w:t>的</w:t>
      </w:r>
      <w:r>
        <w:rPr>
          <w:rFonts w:hint="eastAsia" w:ascii="仿宋" w:hAnsi="仿宋" w:eastAsia="仿宋"/>
          <w:sz w:val="32"/>
          <w:szCs w:val="32"/>
        </w:rPr>
        <w:t>隆尧县农业创新创业孵化中心（一期）项目，产业项目投入资金66万元、评估费6.4万元；</w:t>
      </w:r>
      <w:r>
        <w:rPr>
          <w:rFonts w:hint="eastAsia" w:ascii="楷体" w:hAnsi="楷体" w:eastAsia="楷体" w:cs="楷体"/>
          <w:sz w:val="32"/>
          <w:szCs w:val="32"/>
        </w:rPr>
        <w:t>第三个项目是疫情专岗补贴，</w:t>
      </w:r>
      <w:r>
        <w:rPr>
          <w:rFonts w:hint="eastAsia" w:ascii="仿宋_GB2312" w:hAnsi="仿宋_GB2312" w:eastAsia="仿宋_GB2312" w:cs="仿宋_GB2312"/>
          <w:sz w:val="32"/>
          <w:szCs w:val="32"/>
        </w:rPr>
        <w:t>脱贫户和监测户在疫情期间值班、值守、消杀等岗位，每人每天10元补贴标准，1002个岗位补贴共10万元；</w:t>
      </w:r>
      <w:r>
        <w:rPr>
          <w:rFonts w:hint="eastAsia" w:ascii="楷体" w:hAnsi="楷体" w:eastAsia="楷体" w:cs="楷体"/>
          <w:sz w:val="32"/>
          <w:szCs w:val="32"/>
        </w:rPr>
        <w:t>第四个项目是金融风险金</w:t>
      </w:r>
      <w:r>
        <w:rPr>
          <w:rFonts w:hint="eastAsia" w:ascii="仿宋_GB2312" w:hAnsi="仿宋_GB2312" w:eastAsia="仿宋_GB2312" w:cs="仿宋_GB2312"/>
          <w:sz w:val="32"/>
          <w:szCs w:val="32"/>
        </w:rPr>
        <w:t>，安排风险补偿金投放到合作银行，合作银行原则上按照不低于风险补偿金的5倍放贷，投放资金15万元；</w:t>
      </w:r>
      <w:r>
        <w:rPr>
          <w:rFonts w:hint="eastAsia" w:ascii="楷体" w:hAnsi="楷体" w:eastAsia="楷体" w:cs="楷体"/>
          <w:sz w:val="32"/>
          <w:szCs w:val="32"/>
        </w:rPr>
        <w:t>第五个项目是补齐必要的农村人居环境整治和小型公益性基础设施建设短板，</w:t>
      </w:r>
      <w:r>
        <w:rPr>
          <w:rFonts w:hint="eastAsia" w:ascii="仿宋_GB2312" w:hAnsi="仿宋_GB2312" w:eastAsia="仿宋_GB2312" w:cs="仿宋_GB2312"/>
          <w:sz w:val="32"/>
          <w:szCs w:val="32"/>
        </w:rPr>
        <w:t>项目内容</w:t>
      </w:r>
      <w:r>
        <w:rPr>
          <w:rFonts w:hint="eastAsia" w:ascii="Times New Roman" w:hAnsi="Times New Roman" w:eastAsia="仿宋_GB2312"/>
          <w:sz w:val="32"/>
          <w:szCs w:val="32"/>
        </w:rPr>
        <w:t>主要是道路面貌提升，</w:t>
      </w:r>
      <w:r>
        <w:rPr>
          <w:rFonts w:hint="eastAsia" w:ascii="仿宋_GB2312" w:hAnsi="仿宋_GB2312" w:eastAsia="仿宋_GB2312" w:cs="仿宋_GB2312"/>
          <w:sz w:val="32"/>
          <w:szCs w:val="32"/>
        </w:rPr>
        <w:t>涉及山口镇、固城镇、莲子镇镇、大张家庄乡、北楼乡、双碑乡、东良镇、牛家桥乡8个乡镇，</w:t>
      </w:r>
      <w:r>
        <w:rPr>
          <w:rFonts w:hint="eastAsia" w:ascii="Times New Roman" w:hAnsi="Times New Roman" w:eastAsia="仿宋_GB2312"/>
          <w:sz w:val="32"/>
          <w:szCs w:val="32"/>
        </w:rPr>
        <w:t>投入资金84.159万元。</w:t>
      </w:r>
    </w:p>
    <w:p>
      <w:pPr>
        <w:spacing w:line="580" w:lineRule="exact"/>
        <w:ind w:firstLine="643" w:firstLineChars="200"/>
        <w:outlineLvl w:val="0"/>
        <w:rPr>
          <w:rFonts w:ascii="仿宋_GB2312" w:hAnsi="仿宋_GB2312" w:eastAsia="仿宋_GB2312" w:cs="仿宋_GB2312"/>
          <w:b/>
          <w:bCs/>
          <w:sz w:val="32"/>
          <w:szCs w:val="40"/>
        </w:rPr>
      </w:pPr>
      <w:bookmarkStart w:id="39" w:name="_Toc21501"/>
      <w:bookmarkStart w:id="40" w:name="_Toc29800"/>
      <w:bookmarkStart w:id="41" w:name="_Toc26855"/>
      <w:bookmarkStart w:id="42" w:name="_Toc18915"/>
      <w:bookmarkStart w:id="43" w:name="_Toc5317"/>
      <w:bookmarkStart w:id="44" w:name="_Toc10651"/>
      <w:bookmarkStart w:id="45" w:name="_Toc20904"/>
      <w:bookmarkStart w:id="46" w:name="_Toc12150"/>
      <w:bookmarkStart w:id="47" w:name="_Toc6451"/>
      <w:bookmarkStart w:id="48" w:name="_Toc5215"/>
      <w:r>
        <w:rPr>
          <w:rFonts w:hint="eastAsia" w:ascii="仿宋_GB2312" w:hAnsi="仿宋_GB2312" w:eastAsia="仿宋_GB2312" w:cs="仿宋_GB2312"/>
          <w:b/>
          <w:bCs/>
          <w:sz w:val="32"/>
          <w:szCs w:val="40"/>
        </w:rPr>
        <w:t>三、绩效评价工作情况</w:t>
      </w:r>
      <w:bookmarkEnd w:id="39"/>
      <w:bookmarkEnd w:id="40"/>
      <w:bookmarkEnd w:id="41"/>
      <w:bookmarkEnd w:id="42"/>
      <w:bookmarkEnd w:id="43"/>
      <w:bookmarkEnd w:id="44"/>
      <w:bookmarkEnd w:id="45"/>
      <w:bookmarkEnd w:id="46"/>
      <w:bookmarkEnd w:id="47"/>
      <w:bookmarkEnd w:id="48"/>
    </w:p>
    <w:p>
      <w:pPr>
        <w:spacing w:line="580" w:lineRule="exact"/>
        <w:ind w:firstLine="640" w:firstLineChars="200"/>
        <w:outlineLvl w:val="1"/>
        <w:rPr>
          <w:rFonts w:ascii="仿宋_GB2312" w:hAnsi="仿宋_GB2312" w:eastAsia="仿宋_GB2312" w:cs="仿宋_GB2312"/>
          <w:sz w:val="32"/>
          <w:szCs w:val="40"/>
        </w:rPr>
      </w:pPr>
      <w:bookmarkStart w:id="49" w:name="_Toc8077"/>
      <w:bookmarkStart w:id="50" w:name="_Toc17355"/>
      <w:bookmarkStart w:id="51" w:name="_Toc7570"/>
      <w:bookmarkStart w:id="52" w:name="_Toc23608"/>
      <w:bookmarkStart w:id="53" w:name="_Toc25600"/>
      <w:bookmarkStart w:id="54" w:name="_Toc5105"/>
      <w:bookmarkStart w:id="55" w:name="_Toc22771"/>
      <w:bookmarkStart w:id="56" w:name="_Toc15730"/>
      <w:bookmarkStart w:id="57" w:name="_Toc4056"/>
      <w:bookmarkStart w:id="58" w:name="_Toc14742"/>
      <w:r>
        <w:rPr>
          <w:rFonts w:hint="eastAsia" w:ascii="仿宋_GB2312" w:hAnsi="仿宋_GB2312" w:eastAsia="仿宋_GB2312" w:cs="仿宋_GB2312"/>
          <w:sz w:val="32"/>
          <w:szCs w:val="40"/>
        </w:rPr>
        <w:t>（一）评价目的</w:t>
      </w:r>
      <w:bookmarkEnd w:id="49"/>
      <w:bookmarkEnd w:id="50"/>
      <w:bookmarkEnd w:id="51"/>
      <w:bookmarkEnd w:id="52"/>
      <w:bookmarkEnd w:id="53"/>
      <w:bookmarkEnd w:id="54"/>
      <w:bookmarkEnd w:id="55"/>
      <w:bookmarkEnd w:id="56"/>
      <w:bookmarkEnd w:id="57"/>
      <w:bookmarkEnd w:id="58"/>
    </w:p>
    <w:p>
      <w:pPr>
        <w:spacing w:line="580" w:lineRule="exact"/>
        <w:ind w:firstLine="640" w:firstLineChars="200"/>
        <w:outlineLvl w:val="1"/>
        <w:rPr>
          <w:rFonts w:ascii="仿宋_GB2312" w:hAnsi="仿宋_GB2312" w:eastAsia="仿宋_GB2312" w:cs="仿宋_GB2312"/>
          <w:sz w:val="32"/>
          <w:szCs w:val="40"/>
        </w:rPr>
      </w:pPr>
      <w:r>
        <w:rPr>
          <w:rFonts w:hint="eastAsia" w:ascii="仿宋_GB2312" w:hAnsi="仿宋_GB2312" w:eastAsia="仿宋_GB2312" w:cs="仿宋_GB2312"/>
          <w:sz w:val="32"/>
          <w:szCs w:val="40"/>
        </w:rPr>
        <w:t>通过绩效自评结果对比倒查的年初绩效目标设定质量情况，全面总结绩效目标设定是否清晰准确，绩效指标是否全面完整、科学合理，绩效标准是否恰当适宜、易于评价，深入分析原因，逐项查找差距。</w:t>
      </w:r>
    </w:p>
    <w:p>
      <w:pPr>
        <w:numPr>
          <w:ilvl w:val="0"/>
          <w:numId w:val="1"/>
        </w:numPr>
        <w:spacing w:line="580" w:lineRule="exact"/>
        <w:ind w:firstLine="640" w:firstLineChars="200"/>
        <w:outlineLvl w:val="1"/>
        <w:rPr>
          <w:rFonts w:ascii="仿宋_GB2312" w:hAnsi="仿宋_GB2312" w:eastAsia="仿宋_GB2312" w:cs="仿宋_GB2312"/>
          <w:sz w:val="32"/>
          <w:szCs w:val="40"/>
        </w:rPr>
      </w:pPr>
      <w:bookmarkStart w:id="59" w:name="_Toc22727"/>
      <w:bookmarkStart w:id="60" w:name="_Toc3910"/>
      <w:bookmarkStart w:id="61" w:name="_Toc16971"/>
      <w:bookmarkStart w:id="62" w:name="_Toc27346"/>
      <w:bookmarkStart w:id="63" w:name="_Toc27199"/>
      <w:bookmarkStart w:id="64" w:name="_Toc25746"/>
      <w:bookmarkStart w:id="65" w:name="_Toc16121"/>
      <w:bookmarkStart w:id="66" w:name="_Toc18502"/>
      <w:bookmarkStart w:id="67" w:name="_Toc30351"/>
      <w:bookmarkStart w:id="68" w:name="_Toc8288"/>
      <w:r>
        <w:rPr>
          <w:rFonts w:hint="eastAsia" w:ascii="仿宋_GB2312" w:hAnsi="仿宋_GB2312" w:eastAsia="仿宋_GB2312" w:cs="仿宋_GB2312"/>
          <w:sz w:val="32"/>
          <w:szCs w:val="40"/>
        </w:rPr>
        <w:t>评价指标</w:t>
      </w:r>
      <w:bookmarkEnd w:id="59"/>
      <w:bookmarkEnd w:id="60"/>
      <w:bookmarkEnd w:id="61"/>
      <w:bookmarkEnd w:id="62"/>
      <w:bookmarkEnd w:id="63"/>
      <w:bookmarkEnd w:id="64"/>
      <w:bookmarkEnd w:id="65"/>
      <w:bookmarkEnd w:id="66"/>
      <w:bookmarkEnd w:id="67"/>
      <w:bookmarkEnd w:id="68"/>
    </w:p>
    <w:p>
      <w:pPr>
        <w:spacing w:line="580" w:lineRule="exact"/>
        <w:ind w:firstLine="640" w:firstLineChars="200"/>
        <w:outlineLvl w:val="1"/>
        <w:rPr>
          <w:rFonts w:ascii="仿宋_GB2312" w:hAnsi="仿宋_GB2312" w:eastAsia="仿宋_GB2312" w:cs="仿宋_GB2312"/>
          <w:sz w:val="32"/>
          <w:szCs w:val="40"/>
        </w:rPr>
      </w:pPr>
      <w:r>
        <w:rPr>
          <w:rFonts w:hint="eastAsia" w:ascii="仿宋_GB2312" w:hAnsi="仿宋_GB2312" w:eastAsia="仿宋_GB2312" w:cs="仿宋_GB2312"/>
          <w:sz w:val="32"/>
          <w:szCs w:val="40"/>
        </w:rPr>
        <w:t>评价指标。绩效评价指标共 100 分。具体为:“工作活动”设置 20分，工作活动”管理 20分，“工作活动”产出50分，“工作活动”效果10分。</w:t>
      </w:r>
    </w:p>
    <w:p>
      <w:pPr>
        <w:numPr>
          <w:ilvl w:val="0"/>
          <w:numId w:val="1"/>
        </w:numPr>
        <w:spacing w:line="580" w:lineRule="exact"/>
        <w:ind w:firstLine="640" w:firstLineChars="200"/>
        <w:outlineLvl w:val="1"/>
        <w:rPr>
          <w:rFonts w:ascii="仿宋_GB2312" w:hAnsi="仿宋_GB2312" w:eastAsia="仿宋_GB2312" w:cs="仿宋_GB2312"/>
          <w:sz w:val="32"/>
          <w:szCs w:val="40"/>
        </w:rPr>
      </w:pPr>
      <w:bookmarkStart w:id="69" w:name="_Toc5587"/>
      <w:bookmarkStart w:id="70" w:name="_Toc11684"/>
      <w:bookmarkStart w:id="71" w:name="_Toc23270"/>
      <w:bookmarkStart w:id="72" w:name="_Toc5304"/>
      <w:bookmarkStart w:id="73" w:name="_Toc19068"/>
      <w:bookmarkStart w:id="74" w:name="_Toc32306"/>
      <w:bookmarkStart w:id="75" w:name="_Toc25343"/>
      <w:bookmarkStart w:id="76" w:name="_Toc19154"/>
      <w:bookmarkStart w:id="77" w:name="_Toc32241"/>
      <w:bookmarkStart w:id="78" w:name="_Toc12572"/>
      <w:r>
        <w:rPr>
          <w:rFonts w:hint="eastAsia" w:ascii="仿宋_GB2312" w:hAnsi="仿宋_GB2312" w:eastAsia="仿宋_GB2312" w:cs="仿宋_GB2312"/>
          <w:sz w:val="32"/>
          <w:szCs w:val="40"/>
        </w:rPr>
        <w:t>评价依据</w:t>
      </w:r>
      <w:bookmarkEnd w:id="69"/>
      <w:bookmarkEnd w:id="70"/>
      <w:bookmarkEnd w:id="71"/>
      <w:bookmarkEnd w:id="72"/>
      <w:bookmarkEnd w:id="73"/>
      <w:bookmarkEnd w:id="74"/>
      <w:bookmarkEnd w:id="75"/>
      <w:bookmarkEnd w:id="76"/>
      <w:bookmarkEnd w:id="77"/>
      <w:bookmarkEnd w:id="78"/>
    </w:p>
    <w:p>
      <w:pPr>
        <w:pStyle w:val="2"/>
        <w:ind w:firstLine="640"/>
        <w:rPr>
          <w:rFonts w:ascii="仿宋_GB2312" w:hAnsi="仿宋_GB2312" w:eastAsia="仿宋_GB2312" w:cs="仿宋_GB2312"/>
          <w:color w:val="auto"/>
          <w:sz w:val="32"/>
          <w:szCs w:val="40"/>
        </w:rPr>
      </w:pPr>
      <w:r>
        <w:rPr>
          <w:rFonts w:hint="eastAsia" w:ascii="仿宋_GB2312" w:hAnsi="仿宋_GB2312" w:eastAsia="仿宋_GB2312" w:cs="仿宋_GB2312"/>
          <w:color w:val="auto"/>
          <w:sz w:val="32"/>
          <w:szCs w:val="40"/>
        </w:rPr>
        <w:t>依据邢台市财政局等六部门关于印发《邢台市财政衔接推进乡村振兴补助资金管理办法》的通知 （邢财农〔2021) 21 号 ）</w:t>
      </w:r>
    </w:p>
    <w:p>
      <w:pPr>
        <w:spacing w:line="580" w:lineRule="exact"/>
        <w:ind w:firstLine="640" w:firstLineChars="200"/>
        <w:outlineLvl w:val="1"/>
      </w:pPr>
      <w:bookmarkStart w:id="79" w:name="_Toc7393"/>
      <w:bookmarkStart w:id="80" w:name="_Toc22038"/>
      <w:bookmarkStart w:id="81" w:name="_Toc13179"/>
      <w:bookmarkStart w:id="82" w:name="_Toc11243"/>
      <w:bookmarkStart w:id="83" w:name="_Toc24302"/>
      <w:bookmarkStart w:id="84" w:name="_Toc9401"/>
      <w:bookmarkStart w:id="85" w:name="_Toc6747"/>
      <w:bookmarkStart w:id="86" w:name="_Toc12940"/>
      <w:bookmarkStart w:id="87" w:name="_Toc26780"/>
      <w:bookmarkStart w:id="88" w:name="_Toc1868"/>
      <w:r>
        <w:rPr>
          <w:rFonts w:hint="eastAsia" w:ascii="仿宋_GB2312" w:hAnsi="仿宋_GB2312" w:eastAsia="仿宋_GB2312" w:cs="仿宋_GB2312"/>
          <w:sz w:val="32"/>
          <w:szCs w:val="40"/>
        </w:rPr>
        <w:t>（四）评价的主要方法及等级设定</w:t>
      </w:r>
      <w:bookmarkEnd w:id="79"/>
      <w:bookmarkEnd w:id="80"/>
      <w:bookmarkEnd w:id="81"/>
      <w:bookmarkEnd w:id="82"/>
      <w:bookmarkEnd w:id="83"/>
      <w:bookmarkEnd w:id="84"/>
      <w:bookmarkEnd w:id="85"/>
      <w:bookmarkEnd w:id="86"/>
      <w:bookmarkEnd w:id="87"/>
      <w:bookmarkEnd w:id="88"/>
    </w:p>
    <w:p>
      <w:pPr>
        <w:spacing w:line="580" w:lineRule="exact"/>
        <w:ind w:firstLine="640" w:firstLineChars="200"/>
        <w:outlineLvl w:val="1"/>
        <w:rPr>
          <w:rFonts w:ascii="仿宋_GB2312" w:hAnsi="仿宋_GB2312" w:eastAsia="仿宋_GB2312" w:cs="仿宋_GB2312"/>
          <w:sz w:val="32"/>
          <w:szCs w:val="40"/>
        </w:rPr>
      </w:pPr>
      <w:r>
        <w:rPr>
          <w:rFonts w:hint="eastAsia" w:ascii="仿宋_GB2312" w:hAnsi="仿宋_GB2312" w:eastAsia="仿宋_GB2312" w:cs="仿宋_GB2312"/>
          <w:sz w:val="32"/>
          <w:szCs w:val="40"/>
        </w:rPr>
        <w:t>绩效评价想、采取自评的方式，结果采取评分和评级相结合的方式，总分设置为 100 分，等级划分为四档:90(含)-100分为优、80(含)-90分为良、60(含)-80分为中、60分以下为差。</w:t>
      </w:r>
    </w:p>
    <w:p>
      <w:pPr>
        <w:spacing w:line="580" w:lineRule="exact"/>
        <w:ind w:firstLine="643" w:firstLineChars="200"/>
        <w:outlineLvl w:val="0"/>
        <w:rPr>
          <w:rFonts w:ascii="仿宋_GB2312" w:hAnsi="仿宋_GB2312" w:eastAsia="仿宋_GB2312" w:cs="仿宋_GB2312"/>
        </w:rPr>
      </w:pPr>
      <w:bookmarkStart w:id="89" w:name="_Toc10113"/>
      <w:bookmarkStart w:id="90" w:name="_Toc30508"/>
      <w:bookmarkStart w:id="91" w:name="_Toc6105"/>
      <w:bookmarkStart w:id="92" w:name="_Toc18842"/>
      <w:bookmarkStart w:id="93" w:name="_Toc20748"/>
      <w:bookmarkStart w:id="94" w:name="_Toc17025"/>
      <w:bookmarkStart w:id="95" w:name="_Toc5623"/>
      <w:bookmarkStart w:id="96" w:name="_Toc28621"/>
      <w:bookmarkStart w:id="97" w:name="_Toc21014"/>
      <w:bookmarkStart w:id="98" w:name="_Toc22222"/>
      <w:r>
        <w:rPr>
          <w:rFonts w:hint="eastAsia" w:ascii="仿宋_GB2312" w:hAnsi="仿宋_GB2312" w:eastAsia="仿宋_GB2312" w:cs="仿宋_GB2312"/>
          <w:b/>
          <w:bCs/>
          <w:sz w:val="32"/>
          <w:szCs w:val="40"/>
        </w:rPr>
        <w:t>四、绩效评价指标体系及得分情况</w:t>
      </w:r>
      <w:bookmarkEnd w:id="89"/>
      <w:bookmarkEnd w:id="90"/>
      <w:bookmarkEnd w:id="91"/>
      <w:bookmarkEnd w:id="92"/>
      <w:bookmarkEnd w:id="93"/>
      <w:bookmarkEnd w:id="94"/>
      <w:bookmarkEnd w:id="95"/>
      <w:bookmarkEnd w:id="96"/>
      <w:bookmarkEnd w:id="97"/>
      <w:bookmarkEnd w:id="98"/>
    </w:p>
    <w:p>
      <w:pPr>
        <w:ind w:firstLine="840" w:firstLineChars="300"/>
      </w:pPr>
      <w:r>
        <w:rPr>
          <w:rFonts w:hint="eastAsia" w:ascii="仿宋_GB2312" w:hAnsi="仿宋_GB2312" w:eastAsia="仿宋_GB2312" w:cs="仿宋_GB2312"/>
          <w:kern w:val="0"/>
          <w:sz w:val="28"/>
          <w:szCs w:val="28"/>
        </w:rPr>
        <w:t>2022年财政衔接推进乡村振兴</w:t>
      </w:r>
      <w:r>
        <w:rPr>
          <w:rFonts w:hint="eastAsia" w:ascii="仿宋_GB2312" w:hAnsi="仿宋_GB2312" w:eastAsia="仿宋_GB2312" w:cs="仿宋_GB2312"/>
          <w:b/>
          <w:bCs/>
          <w:sz w:val="28"/>
          <w:szCs w:val="28"/>
        </w:rPr>
        <w:t>项目</w:t>
      </w:r>
      <w:r>
        <w:rPr>
          <w:rFonts w:hint="eastAsia" w:ascii="仿宋_GB2312" w:hAnsi="仿宋_GB2312" w:eastAsia="仿宋_GB2312" w:cs="仿宋_GB2312"/>
          <w:b/>
          <w:color w:val="000000"/>
          <w:kern w:val="0"/>
          <w:sz w:val="28"/>
          <w:szCs w:val="28"/>
        </w:rPr>
        <w:t>重点绩效评价指标表</w:t>
      </w:r>
    </w:p>
    <w:tbl>
      <w:tblPr>
        <w:tblStyle w:val="7"/>
        <w:tblW w:w="8404" w:type="dxa"/>
        <w:tblInd w:w="0" w:type="dxa"/>
        <w:tblLayout w:type="fixed"/>
        <w:tblCellMar>
          <w:top w:w="0" w:type="dxa"/>
          <w:left w:w="0" w:type="dxa"/>
          <w:bottom w:w="0" w:type="dxa"/>
          <w:right w:w="0" w:type="dxa"/>
        </w:tblCellMar>
      </w:tblPr>
      <w:tblGrid>
        <w:gridCol w:w="958"/>
        <w:gridCol w:w="674"/>
        <w:gridCol w:w="2083"/>
        <w:gridCol w:w="545"/>
        <w:gridCol w:w="3557"/>
        <w:gridCol w:w="587"/>
      </w:tblGrid>
      <w:tr>
        <w:tblPrEx>
          <w:tblCellMar>
            <w:top w:w="0" w:type="dxa"/>
            <w:left w:w="0" w:type="dxa"/>
            <w:bottom w:w="0" w:type="dxa"/>
            <w:right w:w="0" w:type="dxa"/>
          </w:tblCellMar>
        </w:tblPrEx>
        <w:trPr>
          <w:trHeight w:val="585" w:hRule="atLeast"/>
        </w:trPr>
        <w:tc>
          <w:tcPr>
            <w:tcW w:w="958" w:type="dxa"/>
            <w:tcBorders>
              <w:top w:val="single" w:color="000000" w:sz="4" w:space="0"/>
              <w:left w:val="single" w:color="000000" w:sz="4" w:space="0"/>
              <w:bottom w:val="single" w:color="000000" w:sz="4" w:space="0"/>
              <w:right w:val="nil"/>
            </w:tcBorders>
            <w:tcMar>
              <w:top w:w="12" w:type="dxa"/>
              <w:left w:w="12" w:type="dxa"/>
              <w:right w:w="12" w:type="dxa"/>
            </w:tcMar>
            <w:vAlign w:val="center"/>
          </w:tcPr>
          <w:p>
            <w:pPr>
              <w:widowControl/>
              <w:jc w:val="center"/>
              <w:textAlignment w:val="center"/>
              <w:rPr>
                <w:rFonts w:ascii="仿宋_GB2312" w:hAnsi="仿宋_GB2312" w:eastAsia="仿宋_GB2312" w:cs="仿宋_GB2312"/>
                <w:b/>
                <w:color w:val="000000"/>
                <w:sz w:val="24"/>
              </w:rPr>
            </w:pPr>
            <w:r>
              <w:rPr>
                <w:rFonts w:hint="eastAsia" w:ascii="仿宋_GB2312" w:hAnsi="仿宋_GB2312" w:eastAsia="仿宋_GB2312" w:cs="仿宋_GB2312"/>
                <w:b/>
                <w:color w:val="000000"/>
                <w:kern w:val="0"/>
                <w:sz w:val="24"/>
              </w:rPr>
              <w:t xml:space="preserve">一级指标  </w:t>
            </w:r>
          </w:p>
        </w:tc>
        <w:tc>
          <w:tcPr>
            <w:tcW w:w="67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b/>
                <w:color w:val="000000"/>
                <w:sz w:val="24"/>
              </w:rPr>
            </w:pPr>
            <w:r>
              <w:rPr>
                <w:rFonts w:hint="eastAsia" w:ascii="仿宋_GB2312" w:hAnsi="仿宋_GB2312" w:eastAsia="仿宋_GB2312" w:cs="仿宋_GB2312"/>
                <w:b/>
                <w:color w:val="000000"/>
                <w:kern w:val="0"/>
                <w:sz w:val="24"/>
              </w:rPr>
              <w:t>二级指标</w:t>
            </w:r>
          </w:p>
        </w:tc>
        <w:tc>
          <w:tcPr>
            <w:tcW w:w="208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b/>
                <w:color w:val="000000"/>
                <w:sz w:val="24"/>
              </w:rPr>
            </w:pPr>
            <w:r>
              <w:rPr>
                <w:rFonts w:hint="eastAsia" w:ascii="仿宋_GB2312" w:hAnsi="仿宋_GB2312" w:eastAsia="仿宋_GB2312" w:cs="仿宋_GB2312"/>
                <w:b/>
                <w:color w:val="000000"/>
                <w:kern w:val="0"/>
                <w:sz w:val="24"/>
              </w:rPr>
              <w:t xml:space="preserve"> 三级指标</w:t>
            </w:r>
          </w:p>
        </w:tc>
        <w:tc>
          <w:tcPr>
            <w:tcW w:w="545" w:type="dxa"/>
            <w:vMerge w:val="restart"/>
            <w:tcBorders>
              <w:top w:val="single" w:color="000000" w:sz="4" w:space="0"/>
              <w:left w:val="nil"/>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b/>
                <w:color w:val="000000"/>
                <w:sz w:val="24"/>
              </w:rPr>
            </w:pPr>
            <w:r>
              <w:rPr>
                <w:rFonts w:hint="eastAsia" w:ascii="仿宋_GB2312" w:hAnsi="仿宋_GB2312" w:eastAsia="仿宋_GB2312" w:cs="仿宋_GB2312"/>
                <w:b/>
                <w:color w:val="000000"/>
                <w:kern w:val="0"/>
                <w:sz w:val="24"/>
              </w:rPr>
              <w:t>分值</w:t>
            </w:r>
          </w:p>
        </w:tc>
        <w:tc>
          <w:tcPr>
            <w:tcW w:w="3557"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b/>
                <w:color w:val="000000"/>
                <w:sz w:val="24"/>
              </w:rPr>
            </w:pPr>
            <w:r>
              <w:rPr>
                <w:rFonts w:hint="eastAsia" w:ascii="仿宋_GB2312" w:hAnsi="仿宋_GB2312" w:eastAsia="仿宋_GB2312" w:cs="仿宋_GB2312"/>
                <w:b/>
                <w:color w:val="000000"/>
                <w:kern w:val="0"/>
                <w:sz w:val="24"/>
              </w:rPr>
              <w:t>指标说明</w:t>
            </w:r>
          </w:p>
        </w:tc>
        <w:tc>
          <w:tcPr>
            <w:tcW w:w="587"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b/>
                <w:color w:val="000000"/>
                <w:sz w:val="24"/>
              </w:rPr>
            </w:pPr>
            <w:r>
              <w:rPr>
                <w:rFonts w:hint="eastAsia" w:ascii="仿宋_GB2312" w:hAnsi="仿宋_GB2312" w:eastAsia="仿宋_GB2312" w:cs="仿宋_GB2312"/>
                <w:b/>
                <w:color w:val="000000"/>
                <w:kern w:val="0"/>
                <w:sz w:val="24"/>
              </w:rPr>
              <w:t>得分</w:t>
            </w:r>
          </w:p>
        </w:tc>
      </w:tr>
      <w:tr>
        <w:tblPrEx>
          <w:tblCellMar>
            <w:top w:w="0" w:type="dxa"/>
            <w:left w:w="0" w:type="dxa"/>
            <w:bottom w:w="0" w:type="dxa"/>
            <w:right w:w="0" w:type="dxa"/>
          </w:tblCellMar>
        </w:tblPrEx>
        <w:trPr>
          <w:trHeight w:val="345" w:hRule="atLeast"/>
        </w:trPr>
        <w:tc>
          <w:tcPr>
            <w:tcW w:w="958"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b/>
                <w:color w:val="000000"/>
                <w:sz w:val="24"/>
              </w:rPr>
            </w:pPr>
            <w:r>
              <w:rPr>
                <w:rFonts w:hint="eastAsia" w:ascii="仿宋_GB2312" w:hAnsi="仿宋_GB2312" w:eastAsia="仿宋_GB2312" w:cs="仿宋_GB2312"/>
                <w:b/>
                <w:color w:val="000000"/>
                <w:kern w:val="0"/>
                <w:sz w:val="24"/>
              </w:rPr>
              <w:t>名称</w:t>
            </w:r>
          </w:p>
        </w:tc>
        <w:tc>
          <w:tcPr>
            <w:tcW w:w="67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b/>
                <w:color w:val="000000"/>
                <w:sz w:val="24"/>
              </w:rPr>
            </w:pPr>
            <w:r>
              <w:rPr>
                <w:rFonts w:hint="eastAsia" w:ascii="仿宋_GB2312" w:hAnsi="仿宋_GB2312" w:eastAsia="仿宋_GB2312" w:cs="仿宋_GB2312"/>
                <w:b/>
                <w:color w:val="000000"/>
                <w:kern w:val="0"/>
                <w:sz w:val="24"/>
              </w:rPr>
              <w:t>名称</w:t>
            </w:r>
          </w:p>
        </w:tc>
        <w:tc>
          <w:tcPr>
            <w:tcW w:w="208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b/>
                <w:color w:val="000000"/>
                <w:sz w:val="24"/>
              </w:rPr>
            </w:pPr>
            <w:r>
              <w:rPr>
                <w:rFonts w:hint="eastAsia" w:ascii="仿宋_GB2312" w:hAnsi="仿宋_GB2312" w:eastAsia="仿宋_GB2312" w:cs="仿宋_GB2312"/>
                <w:b/>
                <w:color w:val="000000"/>
                <w:kern w:val="0"/>
                <w:sz w:val="24"/>
              </w:rPr>
              <w:t>名称</w:t>
            </w:r>
          </w:p>
        </w:tc>
        <w:tc>
          <w:tcPr>
            <w:tcW w:w="545" w:type="dxa"/>
            <w:vMerge w:val="continue"/>
            <w:tcBorders>
              <w:top w:val="single" w:color="000000" w:sz="4" w:space="0"/>
              <w:left w:val="nil"/>
              <w:bottom w:val="single" w:color="000000" w:sz="4" w:space="0"/>
              <w:right w:val="single" w:color="000000" w:sz="4" w:space="0"/>
            </w:tcBorders>
            <w:tcMar>
              <w:top w:w="12" w:type="dxa"/>
              <w:left w:w="12" w:type="dxa"/>
              <w:right w:w="12" w:type="dxa"/>
            </w:tcMar>
            <w:vAlign w:val="center"/>
          </w:tcPr>
          <w:p>
            <w:pPr>
              <w:jc w:val="center"/>
              <w:rPr>
                <w:rFonts w:ascii="仿宋_GB2312" w:hAnsi="仿宋_GB2312" w:eastAsia="仿宋_GB2312" w:cs="仿宋_GB2312"/>
                <w:b/>
                <w:color w:val="000000"/>
                <w:sz w:val="24"/>
              </w:rPr>
            </w:pPr>
          </w:p>
        </w:tc>
        <w:tc>
          <w:tcPr>
            <w:tcW w:w="3557"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仿宋_GB2312" w:hAnsi="仿宋_GB2312" w:eastAsia="仿宋_GB2312" w:cs="仿宋_GB2312"/>
                <w:b/>
                <w:color w:val="000000"/>
                <w:sz w:val="24"/>
              </w:rPr>
            </w:pPr>
          </w:p>
        </w:tc>
        <w:tc>
          <w:tcPr>
            <w:tcW w:w="587"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仿宋_GB2312" w:hAnsi="仿宋_GB2312" w:eastAsia="仿宋_GB2312" w:cs="仿宋_GB2312"/>
                <w:b/>
                <w:color w:val="000000"/>
                <w:sz w:val="24"/>
              </w:rPr>
            </w:pPr>
          </w:p>
        </w:tc>
      </w:tr>
      <w:tr>
        <w:tblPrEx>
          <w:tblCellMar>
            <w:top w:w="0" w:type="dxa"/>
            <w:left w:w="0" w:type="dxa"/>
            <w:bottom w:w="0" w:type="dxa"/>
            <w:right w:w="0" w:type="dxa"/>
          </w:tblCellMar>
        </w:tblPrEx>
        <w:trPr>
          <w:trHeight w:val="660" w:hRule="atLeast"/>
        </w:trPr>
        <w:tc>
          <w:tcPr>
            <w:tcW w:w="958"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“工作活动”设置（20分）</w:t>
            </w:r>
          </w:p>
        </w:tc>
        <w:tc>
          <w:tcPr>
            <w:tcW w:w="674"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项目立项情况</w:t>
            </w:r>
          </w:p>
        </w:tc>
        <w:tc>
          <w:tcPr>
            <w:tcW w:w="208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是否符合政府经济和社会总体发展规划</w:t>
            </w:r>
          </w:p>
        </w:tc>
        <w:tc>
          <w:tcPr>
            <w:tcW w:w="54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6</w:t>
            </w:r>
          </w:p>
        </w:tc>
        <w:tc>
          <w:tcPr>
            <w:tcW w:w="355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left"/>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有政府相关政策、规划、任务等文件得2分；无不得分。</w:t>
            </w:r>
          </w:p>
        </w:tc>
        <w:tc>
          <w:tcPr>
            <w:tcW w:w="58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 xml:space="preserve"> 6</w:t>
            </w:r>
          </w:p>
        </w:tc>
      </w:tr>
      <w:tr>
        <w:tblPrEx>
          <w:tblCellMar>
            <w:top w:w="0" w:type="dxa"/>
            <w:left w:w="0" w:type="dxa"/>
            <w:bottom w:w="0" w:type="dxa"/>
            <w:right w:w="0" w:type="dxa"/>
          </w:tblCellMar>
        </w:tblPrEx>
        <w:trPr>
          <w:trHeight w:val="1164" w:hRule="atLeast"/>
        </w:trPr>
        <w:tc>
          <w:tcPr>
            <w:tcW w:w="958"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674"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208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项目活动与职责相关性</w:t>
            </w:r>
          </w:p>
        </w:tc>
        <w:tc>
          <w:tcPr>
            <w:tcW w:w="54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4</w:t>
            </w:r>
          </w:p>
        </w:tc>
        <w:tc>
          <w:tcPr>
            <w:tcW w:w="355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left"/>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工作活动与部门职责、工作规划和重点工作相关，工作活动项下确定的预算项目合理，与工作活动密切相关，工作活动和项目预算安排合理，得4分；否则不得分。</w:t>
            </w:r>
          </w:p>
        </w:tc>
        <w:tc>
          <w:tcPr>
            <w:tcW w:w="58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 xml:space="preserve">4 </w:t>
            </w:r>
          </w:p>
        </w:tc>
      </w:tr>
      <w:tr>
        <w:tblPrEx>
          <w:tblCellMar>
            <w:top w:w="0" w:type="dxa"/>
            <w:left w:w="0" w:type="dxa"/>
            <w:bottom w:w="0" w:type="dxa"/>
            <w:right w:w="0" w:type="dxa"/>
          </w:tblCellMar>
        </w:tblPrEx>
        <w:trPr>
          <w:trHeight w:val="564" w:hRule="atLeast"/>
        </w:trPr>
        <w:tc>
          <w:tcPr>
            <w:tcW w:w="958"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674"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绩效自评情况</w:t>
            </w:r>
          </w:p>
        </w:tc>
        <w:tc>
          <w:tcPr>
            <w:tcW w:w="208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项目设立绩效目标合理性</w:t>
            </w:r>
          </w:p>
        </w:tc>
        <w:tc>
          <w:tcPr>
            <w:tcW w:w="54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4</w:t>
            </w:r>
          </w:p>
        </w:tc>
        <w:tc>
          <w:tcPr>
            <w:tcW w:w="355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left"/>
              <w:textAlignment w:val="center"/>
              <w:rPr>
                <w:rFonts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①是否将项目绩效目标细化分解为具体的绩效指标；</w:t>
            </w:r>
          </w:p>
          <w:p>
            <w:pPr>
              <w:widowControl/>
              <w:jc w:val="left"/>
              <w:textAlignment w:val="center"/>
              <w:rPr>
                <w:rFonts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②是否通过清晰、可衡量的指标值予以体现；</w:t>
            </w:r>
          </w:p>
          <w:p>
            <w:pPr>
              <w:widowControl/>
              <w:jc w:val="left"/>
              <w:textAlignment w:val="center"/>
              <w:rPr>
                <w:rFonts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③是否与项目年度任务数或计划数相对应；</w:t>
            </w:r>
          </w:p>
          <w:p>
            <w:pPr>
              <w:widowControl/>
              <w:jc w:val="left"/>
              <w:textAlignment w:val="center"/>
              <w:rPr>
                <w:rFonts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④是否与预算确定的项目投资额或资金量相匹配。</w:t>
            </w:r>
          </w:p>
          <w:p>
            <w:pPr>
              <w:widowControl/>
              <w:jc w:val="left"/>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缺少一项扣1分,扣完为止。</w:t>
            </w:r>
          </w:p>
        </w:tc>
        <w:tc>
          <w:tcPr>
            <w:tcW w:w="58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 xml:space="preserve">4 </w:t>
            </w:r>
          </w:p>
        </w:tc>
      </w:tr>
      <w:tr>
        <w:tblPrEx>
          <w:tblCellMar>
            <w:top w:w="0" w:type="dxa"/>
            <w:left w:w="0" w:type="dxa"/>
            <w:bottom w:w="0" w:type="dxa"/>
            <w:right w:w="0" w:type="dxa"/>
          </w:tblCellMar>
        </w:tblPrEx>
        <w:trPr>
          <w:trHeight w:val="1460" w:hRule="atLeast"/>
        </w:trPr>
        <w:tc>
          <w:tcPr>
            <w:tcW w:w="958"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674"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208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自评报告情况</w:t>
            </w:r>
          </w:p>
        </w:tc>
        <w:tc>
          <w:tcPr>
            <w:tcW w:w="54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6</w:t>
            </w:r>
          </w:p>
        </w:tc>
        <w:tc>
          <w:tcPr>
            <w:tcW w:w="355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是否有绩效评价报告，报告是否依据充分、内容真实完整；数据准确、分析透彻。每存在一项问题扣2分，扣完为止。</w:t>
            </w:r>
          </w:p>
        </w:tc>
        <w:tc>
          <w:tcPr>
            <w:tcW w:w="58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 xml:space="preserve">6 </w:t>
            </w:r>
          </w:p>
        </w:tc>
      </w:tr>
      <w:tr>
        <w:tblPrEx>
          <w:tblCellMar>
            <w:top w:w="0" w:type="dxa"/>
            <w:left w:w="0" w:type="dxa"/>
            <w:bottom w:w="0" w:type="dxa"/>
            <w:right w:w="0" w:type="dxa"/>
          </w:tblCellMar>
        </w:tblPrEx>
        <w:trPr>
          <w:trHeight w:val="1020" w:hRule="atLeast"/>
        </w:trPr>
        <w:tc>
          <w:tcPr>
            <w:tcW w:w="958"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“工作活动”管理（20分）</w:t>
            </w:r>
          </w:p>
        </w:tc>
        <w:tc>
          <w:tcPr>
            <w:tcW w:w="674"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资金管理</w:t>
            </w:r>
          </w:p>
        </w:tc>
        <w:tc>
          <w:tcPr>
            <w:tcW w:w="208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预算调整率</w:t>
            </w:r>
          </w:p>
        </w:tc>
        <w:tc>
          <w:tcPr>
            <w:tcW w:w="54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4</w:t>
            </w:r>
          </w:p>
        </w:tc>
        <w:tc>
          <w:tcPr>
            <w:tcW w:w="355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left"/>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预算调整率=（预算调整数/预算数）×100%。预算调整率每大于1%扣1分，扣完为止。</w:t>
            </w:r>
          </w:p>
        </w:tc>
        <w:tc>
          <w:tcPr>
            <w:tcW w:w="58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4</w:t>
            </w:r>
          </w:p>
        </w:tc>
      </w:tr>
      <w:tr>
        <w:tblPrEx>
          <w:tblCellMar>
            <w:top w:w="0" w:type="dxa"/>
            <w:left w:w="0" w:type="dxa"/>
            <w:bottom w:w="0" w:type="dxa"/>
            <w:right w:w="0" w:type="dxa"/>
          </w:tblCellMar>
        </w:tblPrEx>
        <w:trPr>
          <w:trHeight w:val="1020" w:hRule="atLeast"/>
        </w:trPr>
        <w:tc>
          <w:tcPr>
            <w:tcW w:w="958" w:type="dxa"/>
            <w:vMerge w:val="continue"/>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67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2083"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资金使用合规性</w:t>
            </w:r>
          </w:p>
        </w:tc>
        <w:tc>
          <w:tcPr>
            <w:tcW w:w="54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4</w:t>
            </w:r>
          </w:p>
        </w:tc>
        <w:tc>
          <w:tcPr>
            <w:tcW w:w="3557"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jc w:val="left"/>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项目资金使用是否符合国家财经法规及相关的财务管理制度规定，资金支出程序是否规范,报账手续是否齐全。每存在一项不合规问题扣2分，扣完为止。</w:t>
            </w:r>
          </w:p>
        </w:tc>
        <w:tc>
          <w:tcPr>
            <w:tcW w:w="58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4</w:t>
            </w:r>
          </w:p>
        </w:tc>
      </w:tr>
      <w:tr>
        <w:tblPrEx>
          <w:tblCellMar>
            <w:top w:w="0" w:type="dxa"/>
            <w:left w:w="0" w:type="dxa"/>
            <w:bottom w:w="0" w:type="dxa"/>
            <w:right w:w="0" w:type="dxa"/>
          </w:tblCellMar>
        </w:tblPrEx>
        <w:trPr>
          <w:trHeight w:val="1220" w:hRule="atLeast"/>
        </w:trPr>
        <w:tc>
          <w:tcPr>
            <w:tcW w:w="958" w:type="dxa"/>
            <w:vMerge w:val="continue"/>
            <w:tcBorders>
              <w:top w:val="single" w:color="000000" w:sz="4" w:space="0"/>
              <w:left w:val="single" w:color="000000" w:sz="4" w:space="0"/>
              <w:bottom w:val="nil"/>
              <w:right w:val="single" w:color="000000" w:sz="4" w:space="0"/>
            </w:tcBorders>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674"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208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会计核算规范性</w:t>
            </w:r>
          </w:p>
        </w:tc>
        <w:tc>
          <w:tcPr>
            <w:tcW w:w="54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4</w:t>
            </w:r>
          </w:p>
        </w:tc>
        <w:tc>
          <w:tcPr>
            <w:tcW w:w="355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left"/>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会计核算是否符合《会计法》、《政府会计制度》、《会计基础工作规范》等法律法规和相关制度规定。每存在一项不合规问题扣1分，扣完为止。</w:t>
            </w:r>
          </w:p>
        </w:tc>
        <w:tc>
          <w:tcPr>
            <w:tcW w:w="58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 xml:space="preserve"> 4</w:t>
            </w:r>
          </w:p>
        </w:tc>
      </w:tr>
      <w:tr>
        <w:tblPrEx>
          <w:tblCellMar>
            <w:top w:w="0" w:type="dxa"/>
            <w:left w:w="0" w:type="dxa"/>
            <w:bottom w:w="0" w:type="dxa"/>
            <w:right w:w="0" w:type="dxa"/>
          </w:tblCellMar>
        </w:tblPrEx>
        <w:trPr>
          <w:trHeight w:val="1740" w:hRule="atLeast"/>
        </w:trPr>
        <w:tc>
          <w:tcPr>
            <w:tcW w:w="958" w:type="dxa"/>
            <w:vMerge w:val="continue"/>
            <w:tcBorders>
              <w:top w:val="single" w:color="000000" w:sz="4" w:space="0"/>
              <w:left w:val="single" w:color="000000" w:sz="4" w:space="0"/>
              <w:bottom w:val="nil"/>
              <w:right w:val="single" w:color="000000" w:sz="4" w:space="0"/>
            </w:tcBorders>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674"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项目管理</w:t>
            </w:r>
          </w:p>
        </w:tc>
        <w:tc>
          <w:tcPr>
            <w:tcW w:w="208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项目责任机制是否健全</w:t>
            </w:r>
          </w:p>
        </w:tc>
        <w:tc>
          <w:tcPr>
            <w:tcW w:w="54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4</w:t>
            </w:r>
          </w:p>
        </w:tc>
        <w:tc>
          <w:tcPr>
            <w:tcW w:w="355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left"/>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是否建立责任机制，项目管理和责任落实到有关人。每存在一项问题扣1分，扣完为止。</w:t>
            </w:r>
          </w:p>
        </w:tc>
        <w:tc>
          <w:tcPr>
            <w:tcW w:w="58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 xml:space="preserve">4 </w:t>
            </w:r>
          </w:p>
        </w:tc>
      </w:tr>
      <w:tr>
        <w:tblPrEx>
          <w:tblCellMar>
            <w:top w:w="0" w:type="dxa"/>
            <w:left w:w="0" w:type="dxa"/>
            <w:bottom w:w="0" w:type="dxa"/>
            <w:right w:w="0" w:type="dxa"/>
          </w:tblCellMar>
        </w:tblPrEx>
        <w:trPr>
          <w:trHeight w:val="756" w:hRule="atLeast"/>
        </w:trPr>
        <w:tc>
          <w:tcPr>
            <w:tcW w:w="958" w:type="dxa"/>
            <w:vMerge w:val="continue"/>
            <w:tcBorders>
              <w:top w:val="single" w:color="000000" w:sz="4" w:space="0"/>
              <w:left w:val="single" w:color="000000" w:sz="4" w:space="0"/>
              <w:bottom w:val="nil"/>
              <w:right w:val="single" w:color="000000" w:sz="4" w:space="0"/>
            </w:tcBorders>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674"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208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管理制度健全性</w:t>
            </w:r>
          </w:p>
        </w:tc>
        <w:tc>
          <w:tcPr>
            <w:tcW w:w="54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4</w:t>
            </w:r>
          </w:p>
        </w:tc>
        <w:tc>
          <w:tcPr>
            <w:tcW w:w="355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left"/>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制定管理制度和措施（包括财务制度）是否明确、清晰、具有可操作性，能否保障工作活动顺利实施。每缺少一项制度扣1分，扣完为止。</w:t>
            </w:r>
          </w:p>
        </w:tc>
        <w:tc>
          <w:tcPr>
            <w:tcW w:w="58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 xml:space="preserve">4 </w:t>
            </w:r>
          </w:p>
        </w:tc>
      </w:tr>
      <w:tr>
        <w:tblPrEx>
          <w:tblCellMar>
            <w:top w:w="0" w:type="dxa"/>
            <w:left w:w="0" w:type="dxa"/>
            <w:bottom w:w="0" w:type="dxa"/>
            <w:right w:w="0" w:type="dxa"/>
          </w:tblCellMar>
        </w:tblPrEx>
        <w:trPr>
          <w:trHeight w:val="90" w:hRule="atLeast"/>
        </w:trPr>
        <w:tc>
          <w:tcPr>
            <w:tcW w:w="958" w:type="dxa"/>
            <w:vMerge w:val="restart"/>
            <w:tcBorders>
              <w:top w:val="single" w:color="000000" w:sz="4" w:space="0"/>
              <w:left w:val="single" w:color="000000" w:sz="4" w:space="0"/>
              <w:bottom w:val="nil"/>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“工作活动”产出（50分）</w:t>
            </w:r>
          </w:p>
        </w:tc>
        <w:tc>
          <w:tcPr>
            <w:tcW w:w="67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数量指标</w:t>
            </w:r>
          </w:p>
        </w:tc>
        <w:tc>
          <w:tcPr>
            <w:tcW w:w="208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年度建设任务完成数量占总任务的比率</w:t>
            </w:r>
          </w:p>
        </w:tc>
        <w:tc>
          <w:tcPr>
            <w:tcW w:w="54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p>
        </w:tc>
        <w:tc>
          <w:tcPr>
            <w:tcW w:w="355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left"/>
              <w:textAlignment w:val="center"/>
              <w:rPr>
                <w:rFonts w:ascii="仿宋_GB2312" w:hAnsi="仿宋_GB2312" w:eastAsia="仿宋_GB2312" w:cs="仿宋_GB2312"/>
                <w:color w:val="000000"/>
                <w:sz w:val="22"/>
                <w:szCs w:val="22"/>
              </w:rPr>
            </w:pPr>
          </w:p>
        </w:tc>
        <w:tc>
          <w:tcPr>
            <w:tcW w:w="58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20</w:t>
            </w:r>
          </w:p>
        </w:tc>
      </w:tr>
      <w:tr>
        <w:tblPrEx>
          <w:tblCellMar>
            <w:top w:w="0" w:type="dxa"/>
            <w:left w:w="0" w:type="dxa"/>
            <w:bottom w:w="0" w:type="dxa"/>
            <w:right w:w="0" w:type="dxa"/>
          </w:tblCellMar>
        </w:tblPrEx>
        <w:trPr>
          <w:trHeight w:val="642" w:hRule="atLeast"/>
        </w:trPr>
        <w:tc>
          <w:tcPr>
            <w:tcW w:w="958" w:type="dxa"/>
            <w:vMerge w:val="continue"/>
            <w:tcBorders>
              <w:top w:val="single" w:color="000000" w:sz="4" w:space="0"/>
              <w:left w:val="single" w:color="000000" w:sz="4" w:space="0"/>
              <w:bottom w:val="nil"/>
              <w:right w:val="single" w:color="000000" w:sz="4" w:space="0"/>
            </w:tcBorders>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67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质量指标</w:t>
            </w:r>
          </w:p>
        </w:tc>
        <w:tc>
          <w:tcPr>
            <w:tcW w:w="208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本项目验收标准</w:t>
            </w:r>
          </w:p>
        </w:tc>
        <w:tc>
          <w:tcPr>
            <w:tcW w:w="54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p>
        </w:tc>
        <w:tc>
          <w:tcPr>
            <w:tcW w:w="355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left"/>
              <w:textAlignment w:val="center"/>
              <w:rPr>
                <w:rFonts w:ascii="仿宋_GB2312" w:hAnsi="仿宋_GB2312" w:eastAsia="仿宋_GB2312" w:cs="仿宋_GB2312"/>
                <w:color w:val="000000"/>
                <w:sz w:val="22"/>
                <w:szCs w:val="22"/>
              </w:rPr>
            </w:pPr>
          </w:p>
        </w:tc>
        <w:tc>
          <w:tcPr>
            <w:tcW w:w="58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 xml:space="preserve">20 </w:t>
            </w:r>
          </w:p>
        </w:tc>
      </w:tr>
      <w:tr>
        <w:tblPrEx>
          <w:tblCellMar>
            <w:top w:w="0" w:type="dxa"/>
            <w:left w:w="0" w:type="dxa"/>
            <w:bottom w:w="0" w:type="dxa"/>
            <w:right w:w="0" w:type="dxa"/>
          </w:tblCellMar>
        </w:tblPrEx>
        <w:trPr>
          <w:trHeight w:val="586" w:hRule="atLeast"/>
        </w:trPr>
        <w:tc>
          <w:tcPr>
            <w:tcW w:w="958"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67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时效指标</w:t>
            </w:r>
          </w:p>
        </w:tc>
        <w:tc>
          <w:tcPr>
            <w:tcW w:w="208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支付时限</w:t>
            </w:r>
          </w:p>
        </w:tc>
        <w:tc>
          <w:tcPr>
            <w:tcW w:w="54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p>
        </w:tc>
        <w:tc>
          <w:tcPr>
            <w:tcW w:w="355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left"/>
              <w:textAlignment w:val="center"/>
              <w:rPr>
                <w:rFonts w:ascii="仿宋_GB2312" w:hAnsi="仿宋_GB2312" w:eastAsia="仿宋_GB2312" w:cs="仿宋_GB2312"/>
                <w:color w:val="000000"/>
                <w:sz w:val="22"/>
                <w:szCs w:val="22"/>
              </w:rPr>
            </w:pPr>
          </w:p>
        </w:tc>
        <w:tc>
          <w:tcPr>
            <w:tcW w:w="58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 xml:space="preserve">10 </w:t>
            </w:r>
          </w:p>
        </w:tc>
      </w:tr>
      <w:tr>
        <w:tblPrEx>
          <w:tblCellMar>
            <w:top w:w="0" w:type="dxa"/>
            <w:left w:w="0" w:type="dxa"/>
            <w:bottom w:w="0" w:type="dxa"/>
            <w:right w:w="0" w:type="dxa"/>
          </w:tblCellMar>
        </w:tblPrEx>
        <w:trPr>
          <w:trHeight w:val="405" w:hRule="atLeast"/>
        </w:trPr>
        <w:tc>
          <w:tcPr>
            <w:tcW w:w="958" w:type="dxa"/>
            <w:tcBorders>
              <w:top w:val="single" w:color="000000" w:sz="4" w:space="0"/>
              <w:left w:val="single" w:color="000000" w:sz="4" w:space="0"/>
              <w:right w:val="single" w:color="000000" w:sz="4" w:space="0"/>
            </w:tcBorders>
            <w:tcMar>
              <w:top w:w="12" w:type="dxa"/>
              <w:left w:w="12" w:type="dxa"/>
              <w:right w:w="12" w:type="dxa"/>
            </w:tcMar>
            <w:vAlign w:val="center"/>
          </w:tcPr>
          <w:p>
            <w:pPr>
              <w:jc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“工作活动”效果（</w:t>
            </w:r>
            <w:r>
              <w:rPr>
                <w:rFonts w:hint="eastAsia" w:ascii="仿宋_GB2312" w:hAnsi="仿宋_GB2312" w:eastAsia="仿宋_GB2312" w:cs="仿宋_GB2312"/>
                <w:color w:val="000000"/>
                <w:kern w:val="0"/>
                <w:sz w:val="22"/>
                <w:szCs w:val="22"/>
              </w:rPr>
              <w:t>10</w:t>
            </w:r>
            <w:r>
              <w:rPr>
                <w:rFonts w:hint="eastAsia" w:ascii="仿宋_GB2312" w:hAnsi="仿宋_GB2312" w:eastAsia="仿宋_GB2312" w:cs="仿宋_GB2312"/>
                <w:color w:val="000000"/>
                <w:sz w:val="22"/>
                <w:szCs w:val="22"/>
              </w:rPr>
              <w:t>分）</w:t>
            </w:r>
          </w:p>
        </w:tc>
        <w:tc>
          <w:tcPr>
            <w:tcW w:w="674" w:type="dxa"/>
            <w:tcBorders>
              <w:top w:val="single" w:color="000000" w:sz="4" w:space="0"/>
              <w:left w:val="single" w:color="000000" w:sz="4" w:space="0"/>
              <w:right w:val="single" w:color="000000" w:sz="4" w:space="0"/>
            </w:tcBorders>
            <w:tcMar>
              <w:top w:w="12" w:type="dxa"/>
              <w:left w:w="12" w:type="dxa"/>
              <w:right w:w="12" w:type="dxa"/>
            </w:tcMar>
            <w:vAlign w:val="center"/>
          </w:tcPr>
          <w:p>
            <w:pPr>
              <w:jc w:val="center"/>
              <w:rPr>
                <w:rFonts w:ascii="仿宋_GB2312" w:hAnsi="仿宋_GB2312" w:eastAsia="仿宋_GB2312" w:cs="仿宋_GB2312"/>
              </w:rPr>
            </w:pPr>
            <w:r>
              <w:rPr>
                <w:rFonts w:hint="eastAsia" w:ascii="仿宋_GB2312" w:hAnsi="仿宋_GB2312" w:eastAsia="仿宋_GB2312" w:cs="仿宋_GB2312"/>
              </w:rPr>
              <w:t>满意度</w:t>
            </w:r>
          </w:p>
        </w:tc>
        <w:tc>
          <w:tcPr>
            <w:tcW w:w="208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群众满意度</w:t>
            </w:r>
          </w:p>
        </w:tc>
        <w:tc>
          <w:tcPr>
            <w:tcW w:w="54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kern w:val="0"/>
                <w:sz w:val="22"/>
                <w:szCs w:val="22"/>
              </w:rPr>
            </w:pPr>
          </w:p>
        </w:tc>
        <w:tc>
          <w:tcPr>
            <w:tcW w:w="355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left"/>
              <w:textAlignment w:val="center"/>
              <w:rPr>
                <w:rFonts w:ascii="仿宋_GB2312" w:hAnsi="仿宋_GB2312" w:eastAsia="仿宋_GB2312" w:cs="仿宋_GB2312"/>
                <w:color w:val="000000"/>
                <w:kern w:val="0"/>
                <w:sz w:val="22"/>
                <w:szCs w:val="22"/>
              </w:rPr>
            </w:pPr>
          </w:p>
        </w:tc>
        <w:tc>
          <w:tcPr>
            <w:tcW w:w="58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10</w:t>
            </w:r>
          </w:p>
        </w:tc>
      </w:tr>
      <w:tr>
        <w:tblPrEx>
          <w:tblCellMar>
            <w:top w:w="0" w:type="dxa"/>
            <w:left w:w="0" w:type="dxa"/>
            <w:bottom w:w="0" w:type="dxa"/>
            <w:right w:w="0" w:type="dxa"/>
          </w:tblCellMar>
        </w:tblPrEx>
        <w:trPr>
          <w:trHeight w:val="405" w:hRule="atLeast"/>
        </w:trPr>
        <w:tc>
          <w:tcPr>
            <w:tcW w:w="958"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ind w:firstLine="220" w:firstLineChars="100"/>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合计</w:t>
            </w:r>
          </w:p>
        </w:tc>
        <w:tc>
          <w:tcPr>
            <w:tcW w:w="67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仿宋_GB2312" w:hAnsi="仿宋_GB2312" w:eastAsia="仿宋_GB2312" w:cs="仿宋_GB2312"/>
              </w:rPr>
            </w:pPr>
          </w:p>
        </w:tc>
        <w:tc>
          <w:tcPr>
            <w:tcW w:w="208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kern w:val="0"/>
                <w:sz w:val="22"/>
                <w:szCs w:val="22"/>
              </w:rPr>
            </w:pPr>
          </w:p>
        </w:tc>
        <w:tc>
          <w:tcPr>
            <w:tcW w:w="54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100</w:t>
            </w:r>
          </w:p>
        </w:tc>
        <w:tc>
          <w:tcPr>
            <w:tcW w:w="355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left"/>
              <w:textAlignment w:val="center"/>
              <w:rPr>
                <w:rFonts w:ascii="仿宋_GB2312" w:hAnsi="仿宋_GB2312" w:eastAsia="仿宋_GB2312" w:cs="仿宋_GB2312"/>
                <w:color w:val="000000"/>
                <w:kern w:val="0"/>
                <w:sz w:val="22"/>
                <w:szCs w:val="22"/>
              </w:rPr>
            </w:pPr>
          </w:p>
        </w:tc>
        <w:tc>
          <w:tcPr>
            <w:tcW w:w="58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100</w:t>
            </w:r>
          </w:p>
        </w:tc>
      </w:tr>
    </w:tbl>
    <w:p>
      <w:pPr>
        <w:pStyle w:val="2"/>
        <w:spacing w:line="560" w:lineRule="exact"/>
        <w:ind w:left="420" w:leftChars="200" w:firstLine="320" w:firstLineChars="100"/>
        <w:outlineLvl w:val="0"/>
        <w:rPr>
          <w:rFonts w:ascii="仿宋_GB2312" w:hAnsi="仿宋_GB2312" w:eastAsia="仿宋_GB2312" w:cs="仿宋_GB2312"/>
          <w:color w:val="000000"/>
          <w:sz w:val="32"/>
          <w:szCs w:val="32"/>
        </w:rPr>
      </w:pPr>
      <w:bookmarkStart w:id="99" w:name="_Toc2634_WPSOffice_Level1"/>
      <w:r>
        <w:rPr>
          <w:rFonts w:hint="eastAsia" w:ascii="仿宋_GB2312" w:hAnsi="仿宋_GB2312" w:eastAsia="仿宋_GB2312" w:cs="仿宋_GB2312"/>
          <w:color w:val="000000"/>
          <w:sz w:val="32"/>
          <w:szCs w:val="32"/>
        </w:rPr>
        <w:t>五、评价分析</w:t>
      </w:r>
      <w:bookmarkEnd w:id="99"/>
    </w:p>
    <w:p>
      <w:pPr>
        <w:spacing w:line="560" w:lineRule="exact"/>
        <w:ind w:firstLine="640" w:firstLineChars="200"/>
        <w:outlineLvl w:val="1"/>
        <w:rPr>
          <w:rFonts w:ascii="仿宋_GB2312" w:hAnsi="仿宋_GB2312" w:eastAsia="仿宋_GB2312" w:cs="仿宋_GB2312"/>
          <w:color w:val="000000"/>
          <w:sz w:val="32"/>
          <w:szCs w:val="40"/>
        </w:rPr>
      </w:pPr>
      <w:bookmarkStart w:id="100" w:name="_Toc18513_WPSOffice_Level2"/>
      <w:r>
        <w:rPr>
          <w:rFonts w:hint="eastAsia" w:ascii="仿宋_GB2312" w:hAnsi="仿宋_GB2312" w:eastAsia="仿宋_GB2312" w:cs="仿宋_GB2312"/>
          <w:color w:val="000000"/>
          <w:sz w:val="32"/>
          <w:szCs w:val="40"/>
        </w:rPr>
        <w:t>（一）主要扣分事项及原因分析</w:t>
      </w:r>
      <w:bookmarkEnd w:id="100"/>
    </w:p>
    <w:p>
      <w:pPr>
        <w:pStyle w:val="2"/>
        <w:ind w:firstLine="640"/>
        <w:rPr>
          <w:rFonts w:ascii="仿宋_GB2312" w:hAnsi="仿宋_GB2312" w:eastAsia="仿宋_GB2312" w:cs="仿宋_GB2312"/>
          <w:color w:val="auto"/>
          <w:sz w:val="32"/>
          <w:szCs w:val="40"/>
        </w:rPr>
      </w:pPr>
      <w:r>
        <w:rPr>
          <w:rFonts w:hint="eastAsia" w:ascii="仿宋_GB2312" w:hAnsi="仿宋_GB2312" w:eastAsia="仿宋_GB2312" w:cs="仿宋_GB2312"/>
          <w:color w:val="000000"/>
          <w:sz w:val="32"/>
          <w:szCs w:val="40"/>
        </w:rPr>
        <w:t>年初计划列支资金和实际支出资金情况：</w:t>
      </w:r>
      <w:r>
        <w:rPr>
          <w:rFonts w:hint="eastAsia"/>
          <w:color w:val="auto"/>
        </w:rPr>
        <w:t xml:space="preserve"> </w:t>
      </w:r>
      <w:r>
        <w:rPr>
          <w:rFonts w:hint="eastAsia" w:ascii="仿宋_GB2312" w:hAnsi="仿宋_GB2312" w:eastAsia="仿宋_GB2312" w:cs="仿宋_GB2312"/>
          <w:color w:val="auto"/>
          <w:sz w:val="32"/>
          <w:szCs w:val="40"/>
        </w:rPr>
        <w:t>1.本年年初制定雨露计划资金时，计划列支23.1万元，年终实际支付24万元，0.9万元的缺口资金使用了金融风险金。</w:t>
      </w:r>
      <w:r>
        <w:rPr>
          <w:rFonts w:hint="eastAsia" w:ascii="仿宋_GB2312" w:hAnsi="仿宋_GB2312" w:eastAsia="仿宋_GB2312" w:cs="仿宋_GB2312"/>
          <w:color w:val="auto"/>
          <w:sz w:val="32"/>
          <w:szCs w:val="32"/>
        </w:rPr>
        <w:t>2.农业产业项目发展项目年终支付和年初计划均为66万元。3.</w:t>
      </w:r>
      <w:r>
        <w:rPr>
          <w:rFonts w:hint="eastAsia" w:ascii="仿宋_GB2312" w:hAnsi="仿宋_GB2312" w:eastAsia="仿宋_GB2312" w:cs="仿宋_GB2312"/>
          <w:color w:val="auto"/>
          <w:sz w:val="32"/>
          <w:szCs w:val="40"/>
        </w:rPr>
        <w:t>疫情专岗年初计划列支40万元，年终实际支付43.441万元，3.441万元的缺口资金使用了金融风险金。4.年初制定金融风险金25万元，年终实际支付15万元，结余10万元资金用于雨露计划0.9万元、疫情专岗3.441万元、补齐必要的农村人居环境整治和小型公益性基础设施建设短板项目5.659万元。5.合作企业评估费年初计划15.2万元，年终实际支付6.4万元，结余8.8万元资金用于补齐必要的农村人居环境整治和小型公益性基础设施建设短板项目。6.补齐必要的农村人居环境整治和小型公益性基础设施建设短板项目年初计划69.7万元，年终实际支付84.159万元，缺口14.459万元用于市级金融风险金结余资金5.659万元和市级合作企业评估费8.8万元。</w:t>
      </w:r>
    </w:p>
    <w:p>
      <w:pPr>
        <w:pStyle w:val="2"/>
        <w:ind w:firstLine="640"/>
        <w:rPr>
          <w:color w:val="auto"/>
        </w:rPr>
      </w:pPr>
      <w:r>
        <w:rPr>
          <w:rFonts w:hint="eastAsia" w:ascii="仿宋_GB2312" w:hAnsi="仿宋_GB2312" w:eastAsia="仿宋_GB2312" w:cs="仿宋_GB2312"/>
          <w:color w:val="auto"/>
          <w:sz w:val="32"/>
          <w:szCs w:val="40"/>
        </w:rPr>
        <w:t>本项目完成了所有绩效目标，无扣分项。</w:t>
      </w:r>
    </w:p>
    <w:p>
      <w:pPr>
        <w:pStyle w:val="2"/>
        <w:spacing w:line="560" w:lineRule="exact"/>
        <w:ind w:left="420" w:leftChars="200" w:firstLine="320" w:firstLineChars="100"/>
        <w:outlineLvl w:val="0"/>
        <w:rPr>
          <w:rFonts w:ascii="仿宋_GB2312" w:hAnsi="仿宋_GB2312" w:eastAsia="仿宋_GB2312" w:cs="仿宋_GB2312"/>
          <w:color w:val="000000"/>
          <w:sz w:val="32"/>
          <w:szCs w:val="32"/>
        </w:rPr>
      </w:pPr>
      <w:bookmarkStart w:id="101" w:name="_Toc11279_WPSOffice_Level1"/>
      <w:r>
        <w:rPr>
          <w:rFonts w:hint="eastAsia" w:ascii="仿宋_GB2312" w:hAnsi="仿宋_GB2312" w:eastAsia="仿宋_GB2312" w:cs="仿宋_GB2312"/>
          <w:color w:val="000000"/>
          <w:sz w:val="32"/>
          <w:szCs w:val="32"/>
        </w:rPr>
        <w:t>六、意见及建议</w:t>
      </w:r>
      <w:bookmarkEnd w:id="101"/>
    </w:p>
    <w:p>
      <w:pPr>
        <w:pStyle w:val="2"/>
        <w:spacing w:line="560" w:lineRule="exact"/>
        <w:ind w:firstLine="640"/>
        <w:outlineLvl w:val="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无</w:t>
      </w:r>
    </w:p>
    <w:p>
      <w:pPr>
        <w:pStyle w:val="2"/>
        <w:spacing w:line="560" w:lineRule="exact"/>
        <w:ind w:left="420" w:leftChars="200" w:firstLine="4960" w:firstLineChars="1550"/>
        <w:outlineLvl w:val="0"/>
        <w:rPr>
          <w:rFonts w:ascii="仿宋_GB2312" w:hAnsi="仿宋_GB2312" w:eastAsia="仿宋_GB2312" w:cs="仿宋_GB2312"/>
          <w:color w:val="000000"/>
          <w:sz w:val="32"/>
          <w:szCs w:val="32"/>
        </w:rPr>
      </w:pPr>
    </w:p>
    <w:p>
      <w:pPr>
        <w:pStyle w:val="2"/>
        <w:spacing w:line="560" w:lineRule="exact"/>
        <w:ind w:left="420" w:leftChars="200" w:firstLine="4960" w:firstLineChars="1550"/>
        <w:outlineLvl w:val="0"/>
        <w:rPr>
          <w:rFonts w:ascii="仿宋_GB2312" w:hAnsi="仿宋_GB2312" w:eastAsia="仿宋_GB2312" w:cs="仿宋_GB2312"/>
          <w:color w:val="000000"/>
          <w:sz w:val="32"/>
          <w:szCs w:val="32"/>
        </w:rPr>
      </w:pPr>
    </w:p>
    <w:p>
      <w:pPr>
        <w:pStyle w:val="2"/>
        <w:spacing w:line="560" w:lineRule="exact"/>
        <w:ind w:left="420" w:leftChars="200" w:firstLine="4960" w:firstLineChars="1550"/>
        <w:outlineLvl w:val="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2023年3月14日</w:t>
      </w:r>
    </w:p>
    <w:p>
      <w:pPr>
        <w:rPr>
          <w:rFonts w:ascii="仿宋_GB2312" w:hAnsi="仿宋_GB2312" w:eastAsia="仿宋_GB2312" w:cs="仿宋_GB2312"/>
        </w:rPr>
      </w:pPr>
    </w:p>
    <w:sectPr>
      <w:footerReference r:id="rId3" w:type="default"/>
      <w:pgSz w:w="11906" w:h="16838"/>
      <w:pgMar w:top="2154" w:right="1474" w:bottom="1984" w:left="1587"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M6pebnPAAAABQEAAA8A&#10;AAAAAAAAAQAgAAAAIgAAAGRycy9kb3ducmV2LnhtbFBLAQIUABQAAAAIAIdO4kDhzD29rgEAAEsD&#10;AAAOAAAAAAAAAAEAIAAAAB4BAABkcnMvZTJvRG9jLnhtbFBLBQYAAAAABgAGAFkBAAA+BQAAAAA=&#10;">
          <v:path/>
          <v:fill on="f" focussize="0,0"/>
          <v:stroke on="f" joinstyle="miter"/>
          <v:imagedata o:title=""/>
          <o:lock v:ext="edit"/>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t>8</w:t>
                </w:r>
                <w:r>
                  <w:rPr>
                    <w:rFonts w:hint="eastAsia"/>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BBADC3"/>
    <w:multiLevelType w:val="singleLevel"/>
    <w:tmpl w:val="18BBADC3"/>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YjkwNGIzMTM3NzcyODk5Y2IxNWVlMTgzMjllODBkNGUifQ=="/>
  </w:docVars>
  <w:rsids>
    <w:rsidRoot w:val="07CC499B"/>
    <w:rsid w:val="0000754F"/>
    <w:rsid w:val="00013A8F"/>
    <w:rsid w:val="00092B14"/>
    <w:rsid w:val="000D47D0"/>
    <w:rsid w:val="001373BE"/>
    <w:rsid w:val="001F3212"/>
    <w:rsid w:val="002707C6"/>
    <w:rsid w:val="00280F82"/>
    <w:rsid w:val="0030089B"/>
    <w:rsid w:val="003170CE"/>
    <w:rsid w:val="003C4354"/>
    <w:rsid w:val="004A0346"/>
    <w:rsid w:val="00645DBC"/>
    <w:rsid w:val="007812E3"/>
    <w:rsid w:val="00814E39"/>
    <w:rsid w:val="00835BAA"/>
    <w:rsid w:val="008C7CF4"/>
    <w:rsid w:val="00900F34"/>
    <w:rsid w:val="00A02C66"/>
    <w:rsid w:val="00AB413B"/>
    <w:rsid w:val="00B60E03"/>
    <w:rsid w:val="00C71E14"/>
    <w:rsid w:val="00D22877"/>
    <w:rsid w:val="00D25A69"/>
    <w:rsid w:val="00D25CC3"/>
    <w:rsid w:val="00D3165F"/>
    <w:rsid w:val="00D471F4"/>
    <w:rsid w:val="00D5394A"/>
    <w:rsid w:val="00DB6DF3"/>
    <w:rsid w:val="00E30CAE"/>
    <w:rsid w:val="00E310A2"/>
    <w:rsid w:val="00E94CCC"/>
    <w:rsid w:val="00EF2BA5"/>
    <w:rsid w:val="00EF6DA3"/>
    <w:rsid w:val="00FA340E"/>
    <w:rsid w:val="01B67D1F"/>
    <w:rsid w:val="01CA2AF2"/>
    <w:rsid w:val="03274687"/>
    <w:rsid w:val="04064A0C"/>
    <w:rsid w:val="04321BCD"/>
    <w:rsid w:val="04FF4482"/>
    <w:rsid w:val="057A0A50"/>
    <w:rsid w:val="064C4C17"/>
    <w:rsid w:val="076C3175"/>
    <w:rsid w:val="07C527A0"/>
    <w:rsid w:val="07CC499B"/>
    <w:rsid w:val="0815567D"/>
    <w:rsid w:val="0909607F"/>
    <w:rsid w:val="09A64785"/>
    <w:rsid w:val="0A3B4E4B"/>
    <w:rsid w:val="0B601B06"/>
    <w:rsid w:val="0BEB58BF"/>
    <w:rsid w:val="0C15027B"/>
    <w:rsid w:val="0C3B2A49"/>
    <w:rsid w:val="0DAA4EE9"/>
    <w:rsid w:val="0E1F6B07"/>
    <w:rsid w:val="0E3117D9"/>
    <w:rsid w:val="0E75103F"/>
    <w:rsid w:val="102B0836"/>
    <w:rsid w:val="1064155D"/>
    <w:rsid w:val="1156122B"/>
    <w:rsid w:val="11F11891"/>
    <w:rsid w:val="12C35BB4"/>
    <w:rsid w:val="140849FA"/>
    <w:rsid w:val="14583EA3"/>
    <w:rsid w:val="151D09B5"/>
    <w:rsid w:val="157E3426"/>
    <w:rsid w:val="1689469A"/>
    <w:rsid w:val="16DB1E7D"/>
    <w:rsid w:val="178C6C5A"/>
    <w:rsid w:val="17CD646A"/>
    <w:rsid w:val="1819082A"/>
    <w:rsid w:val="184F3049"/>
    <w:rsid w:val="1B3F225B"/>
    <w:rsid w:val="1B4269FF"/>
    <w:rsid w:val="1D4B3C83"/>
    <w:rsid w:val="1DBD7AB3"/>
    <w:rsid w:val="1E0B387E"/>
    <w:rsid w:val="1EF05443"/>
    <w:rsid w:val="21460607"/>
    <w:rsid w:val="21FF1E9B"/>
    <w:rsid w:val="23C1122C"/>
    <w:rsid w:val="243D751D"/>
    <w:rsid w:val="24522B03"/>
    <w:rsid w:val="25ED2FD4"/>
    <w:rsid w:val="264A346A"/>
    <w:rsid w:val="270A41B9"/>
    <w:rsid w:val="274B3C4E"/>
    <w:rsid w:val="285356FD"/>
    <w:rsid w:val="288E37E0"/>
    <w:rsid w:val="290243B4"/>
    <w:rsid w:val="2A5C748F"/>
    <w:rsid w:val="2AF0040B"/>
    <w:rsid w:val="2B10000E"/>
    <w:rsid w:val="2B2D56DA"/>
    <w:rsid w:val="2C624D21"/>
    <w:rsid w:val="2D391E20"/>
    <w:rsid w:val="30785FD3"/>
    <w:rsid w:val="31702E0D"/>
    <w:rsid w:val="33C32B3C"/>
    <w:rsid w:val="341021CB"/>
    <w:rsid w:val="34E52524"/>
    <w:rsid w:val="35CA4ECD"/>
    <w:rsid w:val="35CE5164"/>
    <w:rsid w:val="35F07825"/>
    <w:rsid w:val="360C2FBA"/>
    <w:rsid w:val="363913FE"/>
    <w:rsid w:val="369A0274"/>
    <w:rsid w:val="36D6548C"/>
    <w:rsid w:val="376918C7"/>
    <w:rsid w:val="37832AC7"/>
    <w:rsid w:val="38195BED"/>
    <w:rsid w:val="38EC3D6B"/>
    <w:rsid w:val="39B23A02"/>
    <w:rsid w:val="3A145D2C"/>
    <w:rsid w:val="3A4766ED"/>
    <w:rsid w:val="3A713A3B"/>
    <w:rsid w:val="3AAB2217"/>
    <w:rsid w:val="3CAE49E3"/>
    <w:rsid w:val="3DAE40CB"/>
    <w:rsid w:val="3E7103A9"/>
    <w:rsid w:val="3E7E746E"/>
    <w:rsid w:val="3EBE2184"/>
    <w:rsid w:val="3F5912F8"/>
    <w:rsid w:val="3F9B4FC0"/>
    <w:rsid w:val="41B74B09"/>
    <w:rsid w:val="43DC781A"/>
    <w:rsid w:val="441C7555"/>
    <w:rsid w:val="450A0AA4"/>
    <w:rsid w:val="45236574"/>
    <w:rsid w:val="46434BE2"/>
    <w:rsid w:val="46AA6AA7"/>
    <w:rsid w:val="478E0E32"/>
    <w:rsid w:val="48A2447B"/>
    <w:rsid w:val="48DB57A3"/>
    <w:rsid w:val="49430BD9"/>
    <w:rsid w:val="494625CA"/>
    <w:rsid w:val="4BD23ED8"/>
    <w:rsid w:val="4C2846CD"/>
    <w:rsid w:val="4C7A4C55"/>
    <w:rsid w:val="4C9E54A9"/>
    <w:rsid w:val="4F6A54EE"/>
    <w:rsid w:val="4FDF6ED1"/>
    <w:rsid w:val="50501FD6"/>
    <w:rsid w:val="514C0EC5"/>
    <w:rsid w:val="51F50157"/>
    <w:rsid w:val="52866F20"/>
    <w:rsid w:val="52EE7A8B"/>
    <w:rsid w:val="535B290E"/>
    <w:rsid w:val="53F1208F"/>
    <w:rsid w:val="54DE5250"/>
    <w:rsid w:val="552D264C"/>
    <w:rsid w:val="55495194"/>
    <w:rsid w:val="56115CEE"/>
    <w:rsid w:val="56D42516"/>
    <w:rsid w:val="56FE5044"/>
    <w:rsid w:val="57E03285"/>
    <w:rsid w:val="589B2BBF"/>
    <w:rsid w:val="5AE71036"/>
    <w:rsid w:val="5B5F30DA"/>
    <w:rsid w:val="5BAF6F84"/>
    <w:rsid w:val="5BE03A0F"/>
    <w:rsid w:val="5CA32668"/>
    <w:rsid w:val="5D5C7CBD"/>
    <w:rsid w:val="5DCB1D21"/>
    <w:rsid w:val="5DF86B3F"/>
    <w:rsid w:val="5F1C1ADB"/>
    <w:rsid w:val="60134031"/>
    <w:rsid w:val="60C120AA"/>
    <w:rsid w:val="6304094B"/>
    <w:rsid w:val="64165E4C"/>
    <w:rsid w:val="6536013A"/>
    <w:rsid w:val="68DA698B"/>
    <w:rsid w:val="6A3E1F45"/>
    <w:rsid w:val="6CCC6D4C"/>
    <w:rsid w:val="6D5F4EC3"/>
    <w:rsid w:val="6E3F5A2C"/>
    <w:rsid w:val="7008088F"/>
    <w:rsid w:val="712634CC"/>
    <w:rsid w:val="71A3781D"/>
    <w:rsid w:val="724E698E"/>
    <w:rsid w:val="756501CF"/>
    <w:rsid w:val="762F65D1"/>
    <w:rsid w:val="778F438E"/>
    <w:rsid w:val="78695696"/>
    <w:rsid w:val="7A055146"/>
    <w:rsid w:val="7A757A3F"/>
    <w:rsid w:val="7C647BFE"/>
    <w:rsid w:val="7D9B64C3"/>
    <w:rsid w:val="7FA8571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qFormat/>
    <w:uiPriority w:val="0"/>
    <w:pPr>
      <w:ind w:firstLine="420"/>
    </w:pPr>
  </w:style>
  <w:style w:type="paragraph" w:styleId="3">
    <w:name w:val="Body Text Indent"/>
    <w:basedOn w:val="1"/>
    <w:qFormat/>
    <w:uiPriority w:val="0"/>
    <w:pPr>
      <w:spacing w:line="600" w:lineRule="exact"/>
      <w:ind w:firstLine="560" w:firstLineChars="200"/>
      <w:textAlignment w:val="center"/>
    </w:pPr>
    <w:rPr>
      <w:rFonts w:ascii="宋体" w:hAnsi="宋体"/>
      <w:color w:val="FF0000"/>
      <w:sz w:val="28"/>
      <w:szCs w:val="28"/>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100" w:beforeAutospacing="1" w:after="100" w:afterAutospacing="1"/>
      <w:jc w:val="left"/>
    </w:pPr>
    <w:rPr>
      <w:kern w:val="0"/>
      <w:sz w:val="24"/>
    </w:rPr>
  </w:style>
  <w:style w:type="paragraph" w:customStyle="1" w:styleId="9">
    <w:name w:val="WPSOffice手动目录 1"/>
    <w:qFormat/>
    <w:uiPriority w:val="0"/>
    <w:rPr>
      <w:rFonts w:ascii="Times New Roman" w:hAnsi="Times New Roman" w:eastAsia="宋体" w:cs="Times New Roman"/>
      <w:lang w:val="en-US" w:eastAsia="zh-CN" w:bidi="ar-SA"/>
    </w:rPr>
  </w:style>
  <w:style w:type="paragraph" w:customStyle="1" w:styleId="10">
    <w:name w:val="WPSOffice手动目录 2"/>
    <w:qFormat/>
    <w:uiPriority w:val="0"/>
    <w:pPr>
      <w:ind w:left="200" w:leftChars="200"/>
    </w:pPr>
    <w:rPr>
      <w:rFonts w:ascii="Times New Roman" w:hAnsi="Times New Roman" w:eastAsia="宋体" w:cs="Times New Roman"/>
      <w:lang w:val="en-US" w:eastAsia="zh-CN" w:bidi="ar-SA"/>
    </w:rPr>
  </w:style>
  <w:style w:type="character" w:customStyle="1" w:styleId="11">
    <w:name w:val="页眉 Char"/>
    <w:basedOn w:val="8"/>
    <w:link w:val="5"/>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7</Pages>
  <Words>2763</Words>
  <Characters>2950</Characters>
  <Lines>22</Lines>
  <Paragraphs>6</Paragraphs>
  <TotalTime>9</TotalTime>
  <ScaleCrop>false</ScaleCrop>
  <LinksUpToDate>false</LinksUpToDate>
  <CharactersWithSpaces>3028</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2021-07-20T09:00:00Z</dcterms:created>
  <dc:creator>user</dc:creator>
  <cp:lastModifiedBy>Administrator</cp:lastModifiedBy>
  <dcterms:modified xsi:type="dcterms:W3CDTF">2023-04-03T03:26:22Z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706D0927467A4601979B5623CD07EAF2</vt:lpwstr>
  </property>
</Properties>
</file>