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隆尧县农业农村局</w:t>
      </w:r>
    </w:p>
    <w:p>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2022年财政衔接推进乡村振兴</w:t>
      </w:r>
      <w:r>
        <w:rPr>
          <w:rFonts w:hint="eastAsia" w:ascii="仿宋_GB2312" w:hAnsi="仿宋_GB2312" w:eastAsia="仿宋_GB2312" w:cs="仿宋_GB2312"/>
          <w:b/>
          <w:bCs/>
          <w:sz w:val="40"/>
          <w:szCs w:val="48"/>
        </w:rPr>
        <w:t>项目</w:t>
      </w:r>
    </w:p>
    <w:p>
      <w:pPr>
        <w:spacing w:line="580" w:lineRule="exact"/>
        <w:ind w:firstLine="799"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bookmarkStart w:id="102" w:name="_GoBack"/>
      <w:bookmarkEnd w:id="102"/>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2022年财政衔接推进乡村振兴</w:t>
      </w:r>
      <w:r>
        <w:rPr>
          <w:rFonts w:hint="eastAsia" w:ascii="仿宋_GB2312" w:hAnsi="仿宋_GB2312" w:eastAsia="仿宋_GB2312" w:cs="仿宋_GB2312"/>
          <w:b/>
          <w:bCs/>
          <w:sz w:val="28"/>
          <w:szCs w:val="28"/>
          <w:u w:val="single"/>
        </w:rPr>
        <w:t xml:space="preserve">项目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农业农村局</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2162 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曹利芳、李青           </w:t>
      </w:r>
    </w:p>
    <w:p>
      <w:pPr>
        <w:rPr>
          <w:rFonts w:ascii="仿宋_GB2312" w:hAnsi="仿宋_GB2312" w:eastAsia="仿宋_GB2312" w:cs="仿宋_GB2312"/>
        </w:rPr>
      </w:pPr>
      <w:bookmarkStart w:id="0" w:name="_Toc7470_WPSOffice_Level1"/>
      <w:bookmarkStart w:id="1" w:name="_Toc5909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ascii="仿宋_GB2312" w:hAnsi="仿宋_GB2312" w:eastAsia="仿宋_GB2312" w:cs="仿宋_GB2312"/>
          <w:b/>
          <w:bCs/>
          <w:sz w:val="32"/>
          <w:szCs w:val="40"/>
        </w:rPr>
      </w:pPr>
      <w:bookmarkStart w:id="2" w:name="_Toc30335"/>
      <w:bookmarkStart w:id="3" w:name="_Toc23411"/>
      <w:bookmarkStart w:id="4" w:name="_Toc11301"/>
      <w:bookmarkStart w:id="5" w:name="_Toc16913"/>
      <w:bookmarkStart w:id="6" w:name="_Toc18334"/>
      <w:bookmarkStart w:id="7" w:name="_Toc2245"/>
      <w:bookmarkStart w:id="8" w:name="_Toc9525"/>
      <w:bookmarkStart w:id="9" w:name="_Toc6314"/>
      <w:bookmarkStart w:id="10" w:name="_Toc4013"/>
      <w:bookmarkStart w:id="11" w:name="_Toc13153"/>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32"/>
        </w:rPr>
      </w:pPr>
      <w:bookmarkStart w:id="12" w:name="_Toc22285"/>
      <w:bookmarkStart w:id="13" w:name="_Toc22453"/>
      <w:bookmarkStart w:id="14" w:name="_Toc23957"/>
      <w:bookmarkStart w:id="15" w:name="_Toc15831"/>
      <w:bookmarkStart w:id="16" w:name="_Toc19963"/>
      <w:bookmarkStart w:id="17" w:name="_Toc19370"/>
      <w:bookmarkStart w:id="18" w:name="_Toc32742"/>
      <w:bookmarkStart w:id="19" w:name="_Toc30895"/>
      <w:bookmarkStart w:id="20" w:name="_Toc24784"/>
      <w:bookmarkStart w:id="21" w:name="_Toc937"/>
      <w:r>
        <w:rPr>
          <w:rFonts w:hint="eastAsia" w:ascii="仿宋_GB2312" w:hAnsi="仿宋_GB2312" w:eastAsia="仿宋_GB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ascii="仿宋_GB2312" w:hAnsi="仿宋_GB2312" w:eastAsia="仿宋_GB2312" w:cs="仿宋_GB2312"/>
          <w:sz w:val="32"/>
          <w:szCs w:val="32"/>
        </w:rPr>
      </w:pPr>
      <w:bookmarkStart w:id="22" w:name="_Toc8843"/>
      <w:bookmarkStart w:id="23" w:name="_Toc29308"/>
      <w:bookmarkStart w:id="24" w:name="_Toc15167"/>
      <w:r>
        <w:rPr>
          <w:rFonts w:hint="eastAsia" w:ascii="仿宋_GB2312" w:hAnsi="仿宋_GB2312" w:eastAsia="仿宋_GB2312" w:cs="仿宋_GB2312"/>
          <w:sz w:val="32"/>
          <w:szCs w:val="32"/>
        </w:rPr>
        <w:t>项目单位为隆尧县农业农村局，地址隆尧县德仁路4号。行政事业单位。承担</w:t>
      </w:r>
      <w:r>
        <w:rPr>
          <w:rFonts w:hint="eastAsia" w:ascii="仿宋_GB2312" w:hAnsi="仿宋_GB2312" w:eastAsia="仿宋_GB2312" w:cs="仿宋_GB2312"/>
          <w:kern w:val="0"/>
          <w:sz w:val="32"/>
          <w:szCs w:val="32"/>
        </w:rPr>
        <w:t>2022年财政衔接推进乡村振兴项目</w:t>
      </w:r>
      <w:r>
        <w:rPr>
          <w:rFonts w:hint="eastAsia" w:ascii="仿宋_GB2312" w:hAnsi="仿宋_GB2312" w:eastAsia="仿宋_GB2312" w:cs="仿宋_GB2312"/>
          <w:sz w:val="32"/>
          <w:szCs w:val="32"/>
        </w:rPr>
        <w:t>。</w:t>
      </w:r>
    </w:p>
    <w:p>
      <w:pPr>
        <w:spacing w:line="58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（二）项目基本情况</w:t>
      </w:r>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本项目资金共2162万元，具体项目5个，其中</w:t>
      </w:r>
      <w:r>
        <w:rPr>
          <w:rFonts w:hint="eastAsia" w:ascii="楷体" w:hAnsi="楷体" w:eastAsia="楷体" w:cs="楷体"/>
          <w:sz w:val="32"/>
          <w:szCs w:val="32"/>
        </w:rPr>
        <w:t>第一个项目是雨露计划补贴</w:t>
      </w:r>
      <w:r>
        <w:rPr>
          <w:rFonts w:hint="eastAsia" w:ascii="仿宋_GB2312" w:hAnsi="仿宋_GB2312" w:eastAsia="仿宋_GB2312" w:cs="仿宋_GB2312"/>
          <w:sz w:val="32"/>
          <w:szCs w:val="32"/>
        </w:rPr>
        <w:t>，在中高职学校就读的脱贫户和监测户子女，每学期进行补贴，2021年秋季167人、2022年春季193人，共补贴30万元；</w:t>
      </w:r>
      <w:r>
        <w:rPr>
          <w:rFonts w:hint="eastAsia" w:ascii="楷体" w:hAnsi="楷体" w:eastAsia="楷体" w:cs="楷体"/>
          <w:sz w:val="32"/>
          <w:szCs w:val="32"/>
        </w:rPr>
        <w:t>第二个项目是支持农业产业项目发展</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Times New Roman" w:hAnsi="Times New Roman" w:eastAsia="仿宋_GB2312"/>
          <w:bCs/>
          <w:sz w:val="32"/>
          <w:szCs w:val="32"/>
        </w:rPr>
        <w:t>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隆尧县农业创新创业孵化中心（一期）项目，共投入资金2086万元；</w:t>
      </w:r>
      <w:r>
        <w:rPr>
          <w:rFonts w:hint="eastAsia" w:ascii="楷体" w:hAnsi="楷体" w:eastAsia="楷体" w:cs="楷体"/>
          <w:sz w:val="32"/>
          <w:szCs w:val="32"/>
        </w:rPr>
        <w:t>第三个项目是疫情专岗补贴，</w:t>
      </w:r>
      <w:r>
        <w:rPr>
          <w:rFonts w:hint="eastAsia" w:ascii="仿宋_GB2312" w:hAnsi="仿宋_GB2312" w:eastAsia="仿宋_GB2312" w:cs="仿宋_GB2312"/>
          <w:sz w:val="32"/>
          <w:szCs w:val="32"/>
        </w:rPr>
        <w:t>脱贫户和监测户在疫情期间值班值守的1002人岗位补贴，10万元；</w:t>
      </w:r>
      <w:r>
        <w:rPr>
          <w:rFonts w:hint="eastAsia" w:ascii="楷体" w:hAnsi="楷体" w:eastAsia="楷体" w:cs="楷体"/>
          <w:sz w:val="32"/>
          <w:szCs w:val="32"/>
        </w:rPr>
        <w:t>第四个项目是小额信贷贴息</w:t>
      </w:r>
      <w:r>
        <w:rPr>
          <w:rFonts w:hint="eastAsia" w:ascii="仿宋_GB2312" w:hAnsi="仿宋_GB2312" w:eastAsia="仿宋_GB2312" w:cs="仿宋_GB2312"/>
          <w:sz w:val="32"/>
          <w:szCs w:val="32"/>
        </w:rPr>
        <w:t>，19户脱贫户和监测户办理小额信贷贴息7.840681万元；</w:t>
      </w:r>
      <w:r>
        <w:rPr>
          <w:rFonts w:hint="eastAsia" w:ascii="楷体" w:hAnsi="楷体" w:eastAsia="楷体" w:cs="楷体"/>
          <w:sz w:val="32"/>
          <w:szCs w:val="32"/>
        </w:rPr>
        <w:t>第五个项目是补齐必要的农村人居环境整治和小型公益性基础设施建设短板，</w:t>
      </w:r>
      <w:r>
        <w:rPr>
          <w:rFonts w:hint="eastAsia" w:ascii="仿宋_GB2312" w:hAnsi="仿宋_GB2312" w:eastAsia="仿宋_GB2312" w:cs="仿宋_GB2312"/>
          <w:sz w:val="32"/>
          <w:szCs w:val="32"/>
        </w:rPr>
        <w:t>涉及山口镇、固城镇、莲子镇镇、大张家庄乡、北楼乡、双碑乡、东良镇、牛家桥乡8个乡镇，建设内容</w:t>
      </w:r>
      <w:r>
        <w:rPr>
          <w:rFonts w:hint="eastAsia" w:ascii="Times New Roman" w:hAnsi="Times New Roman" w:eastAsia="仿宋_GB2312"/>
          <w:sz w:val="32"/>
          <w:szCs w:val="32"/>
        </w:rPr>
        <w:t>主要是道路面貌提升，投入资金28.159319万元。以上2162万元资金已全部支付到位。</w:t>
      </w:r>
      <w:bookmarkEnd w:id="22"/>
      <w:bookmarkEnd w:id="23"/>
      <w:bookmarkEnd w:id="24"/>
      <w:bookmarkStart w:id="25" w:name="_Toc24191"/>
      <w:bookmarkStart w:id="26" w:name="_Toc27552"/>
      <w:bookmarkStart w:id="27" w:name="_Toc32656"/>
      <w:bookmarkStart w:id="28" w:name="_Toc26594"/>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40"/>
        </w:rPr>
      </w:pPr>
      <w:bookmarkStart w:id="29" w:name="_Toc7839"/>
      <w:bookmarkStart w:id="30" w:name="_Toc4859"/>
      <w:bookmarkStart w:id="31" w:name="_Toc17782"/>
      <w:bookmarkStart w:id="32" w:name="_Toc18992"/>
      <w:bookmarkStart w:id="33" w:name="_Toc2988"/>
      <w:bookmarkStart w:id="34" w:name="_Toc12860"/>
      <w:bookmarkStart w:id="35" w:name="_Toc6781"/>
      <w:bookmarkStart w:id="36" w:name="_Toc26109"/>
      <w:bookmarkStart w:id="37" w:name="_Toc28908"/>
      <w:bookmarkStart w:id="38" w:name="_Toc14644"/>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本项目共为5个具体项目，</w:t>
      </w:r>
      <w:r>
        <w:rPr>
          <w:rFonts w:hint="eastAsia" w:ascii="楷体" w:hAnsi="楷体" w:eastAsia="楷体" w:cs="楷体"/>
          <w:sz w:val="32"/>
          <w:szCs w:val="32"/>
        </w:rPr>
        <w:t>第一个项目是雨露计划补贴</w:t>
      </w:r>
      <w:r>
        <w:rPr>
          <w:rFonts w:hint="eastAsia" w:ascii="仿宋_GB2312" w:hAnsi="仿宋_GB2312" w:eastAsia="仿宋_GB2312" w:cs="仿宋_GB2312"/>
          <w:sz w:val="32"/>
          <w:szCs w:val="32"/>
        </w:rPr>
        <w:t>，在中高职学校就读的脱贫户和监测户子女，每学期进行补贴，2021年秋季167人、2022年春季193人，共补贴30万元；</w:t>
      </w:r>
      <w:r>
        <w:rPr>
          <w:rFonts w:hint="eastAsia" w:ascii="楷体" w:hAnsi="楷体" w:eastAsia="楷体" w:cs="楷体"/>
          <w:sz w:val="32"/>
          <w:szCs w:val="32"/>
        </w:rPr>
        <w:t>第二个项目是支持农业产业项目发展</w:t>
      </w:r>
      <w:r>
        <w:rPr>
          <w:rFonts w:hint="eastAsia" w:ascii="仿宋_GB2312" w:hAnsi="仿宋_GB2312" w:eastAsia="仿宋_GB2312" w:cs="仿宋_GB2312"/>
          <w:sz w:val="32"/>
          <w:szCs w:val="32"/>
        </w:rPr>
        <w:t>，项目以资产收益模式实施，由隆尧县成发建设集团有限公司具体与实施主体合作完成，实施主体4个，</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Times New Roman" w:hAnsi="Times New Roman" w:eastAsia="仿宋_GB2312"/>
          <w:bCs/>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Times New Roman" w:hAnsi="Times New Roman" w:eastAsia="仿宋_GB2312"/>
          <w:bCs/>
          <w:sz w:val="32"/>
          <w:szCs w:val="32"/>
        </w:rPr>
        <w:t>的双碑乡特色果蔬大棚示范区项目、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隆尧县农业创新创业孵化中心（一期）项目，共投入资金2086万元；</w:t>
      </w:r>
      <w:r>
        <w:rPr>
          <w:rFonts w:hint="eastAsia" w:ascii="楷体" w:hAnsi="楷体" w:eastAsia="楷体" w:cs="楷体"/>
          <w:sz w:val="32"/>
          <w:szCs w:val="32"/>
        </w:rPr>
        <w:t>第三个项目是疫情专岗补贴，</w:t>
      </w:r>
      <w:r>
        <w:rPr>
          <w:rFonts w:hint="eastAsia" w:ascii="仿宋_GB2312" w:hAnsi="仿宋_GB2312" w:eastAsia="仿宋_GB2312" w:cs="仿宋_GB2312"/>
          <w:sz w:val="32"/>
          <w:szCs w:val="32"/>
        </w:rPr>
        <w:t>脱贫户和监测户在疫情期间值班、值守、消杀等岗位，每人每天10元补贴标准，1002个岗位补贴共10万元；</w:t>
      </w:r>
      <w:r>
        <w:rPr>
          <w:rFonts w:hint="eastAsia" w:ascii="楷体" w:hAnsi="楷体" w:eastAsia="楷体" w:cs="楷体"/>
          <w:sz w:val="32"/>
          <w:szCs w:val="32"/>
        </w:rPr>
        <w:t>第四个项目是小额信贷贴息，</w:t>
      </w:r>
      <w:r>
        <w:rPr>
          <w:rFonts w:hint="eastAsia" w:ascii="仿宋_GB2312" w:hAnsi="仿宋_GB2312" w:eastAsia="仿宋_GB2312" w:cs="仿宋_GB2312"/>
          <w:sz w:val="32"/>
          <w:szCs w:val="32"/>
        </w:rPr>
        <w:t>19户脱贫户和监测户办理小额信贷，对产生的利息进行贴息，共贴息7.840681万元；</w:t>
      </w:r>
      <w:r>
        <w:rPr>
          <w:rFonts w:hint="eastAsia" w:ascii="楷体" w:hAnsi="楷体" w:eastAsia="楷体" w:cs="楷体"/>
          <w:sz w:val="32"/>
          <w:szCs w:val="32"/>
        </w:rPr>
        <w:t>第五个项目是补齐必要的农村人居环境整治和小型公益性基础设施建设短板，</w:t>
      </w:r>
      <w:r>
        <w:rPr>
          <w:rFonts w:hint="eastAsia" w:ascii="仿宋_GB2312" w:hAnsi="仿宋_GB2312" w:eastAsia="仿宋_GB2312" w:cs="仿宋_GB2312"/>
          <w:sz w:val="32"/>
          <w:szCs w:val="32"/>
        </w:rPr>
        <w:t>项目内容</w:t>
      </w:r>
      <w:r>
        <w:rPr>
          <w:rFonts w:hint="eastAsia" w:ascii="Times New Roman" w:hAnsi="Times New Roman" w:eastAsia="仿宋_GB2312"/>
          <w:sz w:val="32"/>
          <w:szCs w:val="32"/>
        </w:rPr>
        <w:t>主要是道路面貌提升，</w:t>
      </w:r>
      <w:r>
        <w:rPr>
          <w:rFonts w:hint="eastAsia" w:ascii="仿宋_GB2312" w:hAnsi="仿宋_GB2312" w:eastAsia="仿宋_GB2312" w:cs="仿宋_GB2312"/>
          <w:sz w:val="32"/>
          <w:szCs w:val="32"/>
        </w:rPr>
        <w:t>涉及山口镇、固城镇、莲子镇镇、大张家庄乡、北楼乡、双碑乡、东良镇、牛家桥乡8个乡镇，</w:t>
      </w:r>
      <w:r>
        <w:rPr>
          <w:rFonts w:hint="eastAsia" w:ascii="Times New Roman" w:hAnsi="Times New Roman" w:eastAsia="仿宋_GB2312"/>
          <w:sz w:val="32"/>
          <w:szCs w:val="32"/>
        </w:rPr>
        <w:t>投入资金28.159319万元。</w:t>
      </w:r>
    </w:p>
    <w:p>
      <w:pPr>
        <w:spacing w:line="580" w:lineRule="exact"/>
        <w:ind w:firstLine="643" w:firstLineChars="200"/>
        <w:outlineLvl w:val="0"/>
        <w:rPr>
          <w:rFonts w:ascii="仿宋_GB2312" w:hAnsi="仿宋_GB2312" w:eastAsia="仿宋_GB2312" w:cs="仿宋_GB2312"/>
          <w:b/>
          <w:bCs/>
          <w:sz w:val="32"/>
          <w:szCs w:val="40"/>
        </w:rPr>
      </w:pPr>
      <w:bookmarkStart w:id="39" w:name="_Toc29800"/>
      <w:bookmarkStart w:id="40" w:name="_Toc5317"/>
      <w:bookmarkStart w:id="41" w:name="_Toc6451"/>
      <w:bookmarkStart w:id="42" w:name="_Toc5215"/>
      <w:bookmarkStart w:id="43" w:name="_Toc21501"/>
      <w:bookmarkStart w:id="44" w:name="_Toc18915"/>
      <w:bookmarkStart w:id="45" w:name="_Toc26855"/>
      <w:bookmarkStart w:id="46" w:name="_Toc20904"/>
      <w:bookmarkStart w:id="47" w:name="_Toc12150"/>
      <w:bookmarkStart w:id="48" w:name="_Toc10651"/>
      <w:r>
        <w:rPr>
          <w:rFonts w:hint="eastAsia" w:ascii="仿宋_GB2312" w:hAnsi="仿宋_GB2312" w:eastAsia="仿宋_GB2312" w:cs="仿宋_GB2312"/>
          <w:b/>
          <w:bCs/>
          <w:sz w:val="32"/>
          <w:szCs w:val="40"/>
        </w:rPr>
        <w:t>三、绩效评价工作情况</w:t>
      </w:r>
      <w:bookmarkEnd w:id="39"/>
      <w:bookmarkEnd w:id="40"/>
      <w:bookmarkEnd w:id="41"/>
      <w:bookmarkEnd w:id="42"/>
      <w:bookmarkEnd w:id="43"/>
      <w:bookmarkEnd w:id="44"/>
      <w:bookmarkEnd w:id="45"/>
      <w:bookmarkEnd w:id="46"/>
      <w:bookmarkEnd w:id="47"/>
      <w:bookmarkEnd w:id="48"/>
    </w:p>
    <w:p>
      <w:pPr>
        <w:spacing w:line="580" w:lineRule="exact"/>
        <w:ind w:firstLine="640" w:firstLineChars="200"/>
        <w:outlineLvl w:val="1"/>
        <w:rPr>
          <w:rFonts w:ascii="仿宋_GB2312" w:hAnsi="仿宋_GB2312" w:eastAsia="仿宋_GB2312" w:cs="仿宋_GB2312"/>
          <w:sz w:val="32"/>
          <w:szCs w:val="40"/>
        </w:rPr>
      </w:pPr>
      <w:bookmarkStart w:id="49" w:name="_Toc25600"/>
      <w:bookmarkStart w:id="50" w:name="_Toc15730"/>
      <w:bookmarkStart w:id="51" w:name="_Toc7570"/>
      <w:bookmarkStart w:id="52" w:name="_Toc5105"/>
      <w:bookmarkStart w:id="53" w:name="_Toc17355"/>
      <w:bookmarkStart w:id="54" w:name="_Toc14742"/>
      <w:bookmarkStart w:id="55" w:name="_Toc23608"/>
      <w:bookmarkStart w:id="56" w:name="_Toc4056"/>
      <w:bookmarkStart w:id="57" w:name="_Toc8077"/>
      <w:bookmarkStart w:id="58" w:name="_Toc22771"/>
      <w:r>
        <w:rPr>
          <w:rFonts w:hint="eastAsia" w:ascii="仿宋_GB2312" w:hAnsi="仿宋_GB2312" w:eastAsia="仿宋_GB2312" w:cs="仿宋_GB2312"/>
          <w:sz w:val="32"/>
          <w:szCs w:val="40"/>
        </w:rPr>
        <w:t>（一）评价目的</w:t>
      </w:r>
      <w:bookmarkEnd w:id="49"/>
      <w:bookmarkEnd w:id="50"/>
      <w:bookmarkEnd w:id="51"/>
      <w:bookmarkEnd w:id="52"/>
      <w:bookmarkEnd w:id="53"/>
      <w:bookmarkEnd w:id="54"/>
      <w:bookmarkEnd w:id="55"/>
      <w:bookmarkEnd w:id="56"/>
      <w:bookmarkEnd w:id="57"/>
      <w:bookmarkEnd w:id="5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通过绩效自评结果对比倒查的年初绩效目标设定质量情况，全面总结绩效目标设定是否清晰准确，绩效指标是否全面完整、科学合理，绩效标准是否恰当适宜、易于评价，深入分析原因，逐项查找差距。</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59" w:name="_Toc30351"/>
      <w:bookmarkStart w:id="60" w:name="_Toc22727"/>
      <w:bookmarkStart w:id="61" w:name="_Toc27346"/>
      <w:bookmarkStart w:id="62" w:name="_Toc16971"/>
      <w:bookmarkStart w:id="63" w:name="_Toc25746"/>
      <w:bookmarkStart w:id="64" w:name="_Toc8288"/>
      <w:bookmarkStart w:id="65" w:name="_Toc27199"/>
      <w:bookmarkStart w:id="66" w:name="_Toc3910"/>
      <w:bookmarkStart w:id="67" w:name="_Toc16121"/>
      <w:bookmarkStart w:id="68" w:name="_Toc18502"/>
      <w:r>
        <w:rPr>
          <w:rFonts w:hint="eastAsia" w:ascii="仿宋_GB2312" w:hAnsi="仿宋_GB2312" w:eastAsia="仿宋_GB2312" w:cs="仿宋_GB2312"/>
          <w:sz w:val="32"/>
          <w:szCs w:val="40"/>
        </w:rPr>
        <w:t>评价指标</w:t>
      </w:r>
      <w:bookmarkEnd w:id="59"/>
      <w:bookmarkEnd w:id="60"/>
      <w:bookmarkEnd w:id="61"/>
      <w:bookmarkEnd w:id="62"/>
      <w:bookmarkEnd w:id="63"/>
      <w:bookmarkEnd w:id="64"/>
      <w:bookmarkEnd w:id="65"/>
      <w:bookmarkEnd w:id="66"/>
      <w:bookmarkEnd w:id="67"/>
      <w:bookmarkEnd w:id="6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评价指标。绩效评价指标共 100 分。具体为:“工作活动”设置 20分，工作活动”管理 20分，“工作活动”产出50分，“工作活动”效果10分。</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69" w:name="_Toc19068"/>
      <w:bookmarkStart w:id="70" w:name="_Toc5587"/>
      <w:bookmarkStart w:id="71" w:name="_Toc12572"/>
      <w:bookmarkStart w:id="72" w:name="_Toc32306"/>
      <w:bookmarkStart w:id="73" w:name="_Toc5304"/>
      <w:bookmarkStart w:id="74" w:name="_Toc23270"/>
      <w:bookmarkStart w:id="75" w:name="_Toc32241"/>
      <w:bookmarkStart w:id="76" w:name="_Toc11684"/>
      <w:bookmarkStart w:id="77" w:name="_Toc25343"/>
      <w:bookmarkStart w:id="78" w:name="_Toc19154"/>
      <w:r>
        <w:rPr>
          <w:rFonts w:hint="eastAsia" w:ascii="仿宋_GB2312" w:hAnsi="仿宋_GB2312" w:eastAsia="仿宋_GB2312" w:cs="仿宋_GB2312"/>
          <w:sz w:val="32"/>
          <w:szCs w:val="40"/>
        </w:rPr>
        <w:t>评价依据</w:t>
      </w:r>
      <w:bookmarkEnd w:id="69"/>
      <w:bookmarkEnd w:id="70"/>
      <w:bookmarkEnd w:id="71"/>
      <w:bookmarkEnd w:id="72"/>
      <w:bookmarkEnd w:id="73"/>
      <w:bookmarkEnd w:id="74"/>
      <w:bookmarkEnd w:id="75"/>
      <w:bookmarkEnd w:id="76"/>
      <w:bookmarkEnd w:id="77"/>
      <w:bookmarkEnd w:id="78"/>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依据河北省财政厅等六部门关于印发《河北省财政衔接推进乡村振兴补助资金管理办法》的通知 （冀财农〔2021) 26 号 ）</w:t>
      </w:r>
    </w:p>
    <w:p>
      <w:pPr>
        <w:spacing w:line="580" w:lineRule="exact"/>
        <w:ind w:firstLine="640" w:firstLineChars="200"/>
        <w:outlineLvl w:val="1"/>
      </w:pPr>
      <w:bookmarkStart w:id="79" w:name="_Toc13179"/>
      <w:bookmarkStart w:id="80" w:name="_Toc1868"/>
      <w:bookmarkStart w:id="81" w:name="_Toc24302"/>
      <w:bookmarkStart w:id="82" w:name="_Toc12940"/>
      <w:bookmarkStart w:id="83" w:name="_Toc9401"/>
      <w:bookmarkStart w:id="84" w:name="_Toc26780"/>
      <w:bookmarkStart w:id="85" w:name="_Toc6747"/>
      <w:bookmarkStart w:id="86" w:name="_Toc7393"/>
      <w:bookmarkStart w:id="87" w:name="_Toc11243"/>
      <w:bookmarkStart w:id="88" w:name="_Toc22038"/>
      <w:r>
        <w:rPr>
          <w:rFonts w:hint="eastAsia" w:ascii="仿宋_GB2312" w:hAnsi="仿宋_GB2312" w:eastAsia="仿宋_GB2312" w:cs="仿宋_GB2312"/>
          <w:sz w:val="32"/>
          <w:szCs w:val="40"/>
        </w:rPr>
        <w:t>（四）评价的主要方法及等级设定</w:t>
      </w:r>
      <w:bookmarkEnd w:id="79"/>
      <w:bookmarkEnd w:id="80"/>
      <w:bookmarkEnd w:id="81"/>
      <w:bookmarkEnd w:id="82"/>
      <w:bookmarkEnd w:id="83"/>
      <w:bookmarkEnd w:id="84"/>
      <w:bookmarkEnd w:id="85"/>
      <w:bookmarkEnd w:id="86"/>
      <w:bookmarkEnd w:id="87"/>
      <w:bookmarkEnd w:id="8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绩效评价想、采取自评的方式，结果采取评分和评级相结合的方式，总分设置为 100 分，等级划分为四档:90(含)-100分为优、80(含)-90分为良、60(含)-80分为中、60分以下为差。</w:t>
      </w:r>
    </w:p>
    <w:p>
      <w:pPr>
        <w:spacing w:line="580" w:lineRule="exact"/>
        <w:ind w:firstLine="643" w:firstLineChars="200"/>
        <w:outlineLvl w:val="0"/>
        <w:rPr>
          <w:rFonts w:ascii="仿宋_GB2312" w:hAnsi="仿宋_GB2312" w:eastAsia="仿宋_GB2312" w:cs="仿宋_GB2312"/>
        </w:rPr>
      </w:pPr>
      <w:bookmarkStart w:id="89" w:name="_Toc18842"/>
      <w:bookmarkStart w:id="90" w:name="_Toc5623"/>
      <w:bookmarkStart w:id="91" w:name="_Toc17025"/>
      <w:bookmarkStart w:id="92" w:name="_Toc22222"/>
      <w:bookmarkStart w:id="93" w:name="_Toc30508"/>
      <w:bookmarkStart w:id="94" w:name="_Toc10113"/>
      <w:bookmarkStart w:id="95" w:name="_Toc6105"/>
      <w:bookmarkStart w:id="96" w:name="_Toc28621"/>
      <w:bookmarkStart w:id="97" w:name="_Toc21014"/>
      <w:bookmarkStart w:id="98" w:name="_Toc20748"/>
      <w:r>
        <w:rPr>
          <w:rFonts w:hint="eastAsia" w:ascii="仿宋_GB2312" w:hAnsi="仿宋_GB2312" w:eastAsia="仿宋_GB2312" w:cs="仿宋_GB2312"/>
          <w:b/>
          <w:bCs/>
          <w:sz w:val="32"/>
          <w:szCs w:val="40"/>
        </w:rPr>
        <w:t>四、绩效评价指标体系及得分情况</w:t>
      </w:r>
      <w:bookmarkEnd w:id="89"/>
      <w:bookmarkEnd w:id="90"/>
      <w:bookmarkEnd w:id="91"/>
      <w:bookmarkEnd w:id="92"/>
      <w:bookmarkEnd w:id="93"/>
      <w:bookmarkEnd w:id="94"/>
      <w:bookmarkEnd w:id="95"/>
      <w:bookmarkEnd w:id="96"/>
      <w:bookmarkEnd w:id="97"/>
      <w:bookmarkEnd w:id="98"/>
    </w:p>
    <w:p>
      <w:pPr>
        <w:ind w:firstLine="840" w:firstLineChars="300"/>
      </w:pPr>
      <w:r>
        <w:rPr>
          <w:rFonts w:hint="eastAsia" w:ascii="仿宋_GB2312" w:hAnsi="仿宋_GB2312" w:eastAsia="仿宋_GB2312" w:cs="仿宋_GB2312"/>
          <w:kern w:val="0"/>
          <w:sz w:val="28"/>
          <w:szCs w:val="28"/>
        </w:rPr>
        <w:t>2022年财政衔接推进乡村振兴</w:t>
      </w:r>
      <w:r>
        <w:rPr>
          <w:rFonts w:hint="eastAsia" w:ascii="仿宋_GB2312" w:hAnsi="仿宋_GB2312" w:eastAsia="仿宋_GB2312" w:cs="仿宋_GB2312"/>
          <w:b/>
          <w:bCs/>
          <w:sz w:val="28"/>
          <w:szCs w:val="28"/>
        </w:rPr>
        <w:t>项目</w:t>
      </w:r>
      <w:r>
        <w:rPr>
          <w:rFonts w:hint="eastAsia" w:ascii="仿宋_GB2312" w:hAnsi="仿宋_GB2312" w:eastAsia="仿宋_GB2312" w:cs="仿宋_GB2312"/>
          <w:b/>
          <w:color w:val="000000"/>
          <w:kern w:val="0"/>
          <w:sz w:val="28"/>
          <w:szCs w:val="28"/>
        </w:rPr>
        <w:t>重点绩效评价指标表</w:t>
      </w: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46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74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年度建设任务完成数量占总任务的比率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本项目验收标准</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20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支付时限</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10 </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群众满意度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2634_WPSOffice_Level1"/>
      <w:r>
        <w:rPr>
          <w:rFonts w:hint="eastAsia" w:ascii="仿宋_GB2312" w:hAnsi="仿宋_GB2312" w:eastAsia="仿宋_GB2312" w:cs="仿宋_GB2312"/>
          <w:color w:val="000000"/>
          <w:sz w:val="32"/>
          <w:szCs w:val="32"/>
        </w:rPr>
        <w:t>五、评价分析</w:t>
      </w:r>
      <w:bookmarkEnd w:id="99"/>
    </w:p>
    <w:p>
      <w:pPr>
        <w:spacing w:line="560" w:lineRule="exact"/>
        <w:ind w:firstLine="640" w:firstLineChars="200"/>
        <w:outlineLvl w:val="1"/>
        <w:rPr>
          <w:rFonts w:ascii="仿宋_GB2312" w:hAnsi="仿宋_GB2312" w:eastAsia="仿宋_GB2312" w:cs="仿宋_GB2312"/>
          <w:color w:val="000000"/>
          <w:sz w:val="32"/>
          <w:szCs w:val="40"/>
        </w:rPr>
      </w:pPr>
      <w:bookmarkStart w:id="100" w:name="_Toc18513_WPSOffice_Level2"/>
      <w:r>
        <w:rPr>
          <w:rFonts w:hint="eastAsia" w:ascii="仿宋_GB2312" w:hAnsi="仿宋_GB2312" w:eastAsia="仿宋_GB2312" w:cs="仿宋_GB2312"/>
          <w:color w:val="000000"/>
          <w:sz w:val="32"/>
          <w:szCs w:val="40"/>
        </w:rPr>
        <w:t>（一）主要扣分事项及原因分析</w:t>
      </w:r>
      <w:bookmarkEnd w:id="100"/>
    </w:p>
    <w:p>
      <w:pPr>
        <w:spacing w:line="560" w:lineRule="exact"/>
        <w:ind w:firstLine="640" w:firstLineChars="200"/>
        <w:outlineLvl w:val="1"/>
        <w:rPr>
          <w:rFonts w:ascii="仿宋_GB2312" w:hAnsi="仿宋_GB2312" w:eastAsia="仿宋_GB2312" w:cs="仿宋_GB2312"/>
          <w:color w:val="000000"/>
          <w:sz w:val="32"/>
          <w:szCs w:val="40"/>
        </w:rPr>
      </w:pPr>
      <w:r>
        <w:rPr>
          <w:rFonts w:hint="eastAsia" w:ascii="仿宋_GB2312" w:hAnsi="仿宋_GB2312" w:eastAsia="仿宋_GB2312" w:cs="仿宋_GB2312"/>
          <w:color w:val="000000"/>
          <w:sz w:val="32"/>
          <w:szCs w:val="40"/>
        </w:rPr>
        <w:t>年初计划列支资金和实际支出资金情况：</w:t>
      </w:r>
    </w:p>
    <w:p>
      <w:pPr>
        <w:spacing w:line="560" w:lineRule="exact"/>
        <w:ind w:firstLine="640" w:firstLineChars="200"/>
        <w:outlineLvl w:val="1"/>
        <w:rPr>
          <w:rFonts w:ascii="仿宋_GB2312" w:hAnsi="仿宋_GB2312" w:eastAsia="仿宋_GB2312" w:cs="仿宋_GB2312"/>
          <w:color w:val="000000"/>
          <w:sz w:val="32"/>
          <w:szCs w:val="40"/>
        </w:rPr>
      </w:pPr>
      <w:r>
        <w:rPr>
          <w:rFonts w:hint="eastAsia" w:ascii="仿宋_GB2312" w:hAnsi="仿宋_GB2312" w:eastAsia="仿宋_GB2312" w:cs="仿宋_GB2312"/>
          <w:sz w:val="32"/>
          <w:szCs w:val="32"/>
        </w:rPr>
        <w:t>1.雨露计划项目年终支付和年初计划均为30万元。2.农业产业项目发展项目年终支付和年初计划均为2086万元。</w:t>
      </w:r>
      <w:r>
        <w:rPr>
          <w:rFonts w:hint="eastAsia" w:ascii="仿宋_GB2312" w:hAnsi="仿宋_GB2312" w:eastAsia="仿宋_GB2312" w:cs="仿宋_GB2312"/>
          <w:color w:val="000000"/>
          <w:sz w:val="32"/>
          <w:szCs w:val="40"/>
        </w:rPr>
        <w:t>3.</w:t>
      </w:r>
      <w:r>
        <w:rPr>
          <w:rFonts w:hint="eastAsia" w:ascii="仿宋_GB2312" w:hAnsi="仿宋_GB2312" w:eastAsia="仿宋_GB2312" w:cs="仿宋_GB2312"/>
          <w:sz w:val="32"/>
          <w:szCs w:val="32"/>
        </w:rPr>
        <w:t>疫情专岗补贴项目年终支付和年初计划均为10万元。4.</w:t>
      </w:r>
      <w:r>
        <w:rPr>
          <w:rFonts w:hint="eastAsia" w:ascii="仿宋_GB2312" w:hAnsi="仿宋_GB2312" w:eastAsia="仿宋_GB2312" w:cs="仿宋_GB2312"/>
          <w:color w:val="000000"/>
          <w:sz w:val="32"/>
          <w:szCs w:val="40"/>
        </w:rPr>
        <w:t>本年年初制定小额信贷贴息资金时，计划列支20万元，年终实际支付7.840681万元，结余12.159319万元资金，用于了补齐必要的农村人居环境整治和小型公益性基础设施建设短板；5.年初制定补齐必要的农村人居环境整治和小型公益性基础设施建设短板项目是，计划列支16万元，实际支付28.159319万元，缺口资金12.159319万元使用小额信贷贴息项目的资金。</w:t>
      </w:r>
    </w:p>
    <w:p>
      <w:pPr>
        <w:pStyle w:val="2"/>
        <w:ind w:firstLine="640"/>
        <w:rPr>
          <w:rFonts w:ascii="仿宋_GB2312" w:hAnsi="仿宋_GB2312" w:eastAsia="仿宋_GB2312" w:cs="仿宋_GB2312"/>
        </w:rPr>
      </w:pPr>
      <w:r>
        <w:rPr>
          <w:rFonts w:hint="eastAsia" w:ascii="仿宋_GB2312" w:hAnsi="仿宋_GB2312" w:eastAsia="仿宋_GB2312" w:cs="仿宋_GB2312"/>
          <w:color w:val="auto"/>
          <w:sz w:val="32"/>
          <w:szCs w:val="40"/>
        </w:rPr>
        <w:t>本项目完成了所有绩效目标，无扣分项。</w:t>
      </w: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1" w:name="_Toc11279_WPSOffice_Level1"/>
      <w:r>
        <w:rPr>
          <w:rFonts w:hint="eastAsia" w:ascii="仿宋_GB2312" w:hAnsi="仿宋_GB2312" w:eastAsia="仿宋_GB2312" w:cs="仿宋_GB2312"/>
          <w:color w:val="000000"/>
          <w:sz w:val="32"/>
          <w:szCs w:val="32"/>
        </w:rPr>
        <w:t>六、意见及建议</w:t>
      </w:r>
      <w:bookmarkEnd w:id="101"/>
    </w:p>
    <w:p>
      <w:pPr>
        <w:pStyle w:val="2"/>
        <w:spacing w:line="560" w:lineRule="exact"/>
        <w:ind w:firstLine="64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无。</w:t>
      </w:r>
    </w:p>
    <w:p>
      <w:pPr>
        <w:pStyle w:val="2"/>
        <w:spacing w:line="560" w:lineRule="exact"/>
        <w:ind w:left="420" w:leftChars="200" w:firstLine="4960" w:firstLineChars="1550"/>
        <w:outlineLvl w:val="0"/>
        <w:rPr>
          <w:rFonts w:ascii="仿宋_GB2312" w:hAnsi="仿宋_GB2312" w:eastAsia="仿宋_GB2312" w:cs="仿宋_GB2312"/>
        </w:rPr>
      </w:pPr>
      <w:r>
        <w:rPr>
          <w:rFonts w:hint="eastAsia" w:ascii="仿宋_GB2312" w:hAnsi="仿宋_GB2312" w:eastAsia="仿宋_GB2312" w:cs="仿宋_GB2312"/>
          <w:color w:val="000000"/>
          <w:sz w:val="32"/>
          <w:szCs w:val="32"/>
        </w:rPr>
        <w:t>2023年3月14日</w:t>
      </w: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BADC3"/>
    <w:multiLevelType w:val="singleLevel"/>
    <w:tmpl w:val="18BBAD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s>
  <w:rsids>
    <w:rsidRoot w:val="07CC499B"/>
    <w:rsid w:val="00092B14"/>
    <w:rsid w:val="000D47D0"/>
    <w:rsid w:val="000E09F8"/>
    <w:rsid w:val="00115DA8"/>
    <w:rsid w:val="001373BE"/>
    <w:rsid w:val="001558F7"/>
    <w:rsid w:val="001F3212"/>
    <w:rsid w:val="002707C6"/>
    <w:rsid w:val="00280F82"/>
    <w:rsid w:val="003170CE"/>
    <w:rsid w:val="003C4354"/>
    <w:rsid w:val="005A2C75"/>
    <w:rsid w:val="00645DBC"/>
    <w:rsid w:val="007812E3"/>
    <w:rsid w:val="00814E39"/>
    <w:rsid w:val="008C7CF4"/>
    <w:rsid w:val="00A02C66"/>
    <w:rsid w:val="00AB413B"/>
    <w:rsid w:val="00B60E03"/>
    <w:rsid w:val="00C60B44"/>
    <w:rsid w:val="00C65E82"/>
    <w:rsid w:val="00D25A69"/>
    <w:rsid w:val="00D25CC3"/>
    <w:rsid w:val="00D3165F"/>
    <w:rsid w:val="00D40F5E"/>
    <w:rsid w:val="00D471F4"/>
    <w:rsid w:val="00D5394A"/>
    <w:rsid w:val="00DB6DF3"/>
    <w:rsid w:val="00DC66B0"/>
    <w:rsid w:val="00E30CAE"/>
    <w:rsid w:val="00E310A2"/>
    <w:rsid w:val="00EB3927"/>
    <w:rsid w:val="00EF2BA5"/>
    <w:rsid w:val="00EF6DA3"/>
    <w:rsid w:val="00F10CDD"/>
    <w:rsid w:val="00FA340E"/>
    <w:rsid w:val="01B67D1F"/>
    <w:rsid w:val="01CA2AF2"/>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1F6B07"/>
    <w:rsid w:val="0E3117D9"/>
    <w:rsid w:val="102B0836"/>
    <w:rsid w:val="1064155D"/>
    <w:rsid w:val="1156122B"/>
    <w:rsid w:val="11F11891"/>
    <w:rsid w:val="12C35BB4"/>
    <w:rsid w:val="140849FA"/>
    <w:rsid w:val="14583EA3"/>
    <w:rsid w:val="151D09B5"/>
    <w:rsid w:val="157E3426"/>
    <w:rsid w:val="1689469A"/>
    <w:rsid w:val="16D91019"/>
    <w:rsid w:val="16DB1E7D"/>
    <w:rsid w:val="178C6C5A"/>
    <w:rsid w:val="17CD646A"/>
    <w:rsid w:val="18451B19"/>
    <w:rsid w:val="184F3049"/>
    <w:rsid w:val="1B3F225B"/>
    <w:rsid w:val="1B4269FF"/>
    <w:rsid w:val="1D4B3C83"/>
    <w:rsid w:val="1DBD7AB3"/>
    <w:rsid w:val="1E0B387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C624D21"/>
    <w:rsid w:val="2C9B6558"/>
    <w:rsid w:val="2D391E20"/>
    <w:rsid w:val="30785FD3"/>
    <w:rsid w:val="31702E0D"/>
    <w:rsid w:val="31813D45"/>
    <w:rsid w:val="33C32B3C"/>
    <w:rsid w:val="34E52524"/>
    <w:rsid w:val="35CA4ECD"/>
    <w:rsid w:val="35CE5164"/>
    <w:rsid w:val="35F07825"/>
    <w:rsid w:val="360C2FBA"/>
    <w:rsid w:val="363913FE"/>
    <w:rsid w:val="36D6548C"/>
    <w:rsid w:val="376918C7"/>
    <w:rsid w:val="37832AC7"/>
    <w:rsid w:val="38195BED"/>
    <w:rsid w:val="38EC3D6B"/>
    <w:rsid w:val="39B23A02"/>
    <w:rsid w:val="3A4766ED"/>
    <w:rsid w:val="3A713A3B"/>
    <w:rsid w:val="3AAB2217"/>
    <w:rsid w:val="3CAE49E3"/>
    <w:rsid w:val="3DAE40CB"/>
    <w:rsid w:val="3E1F3CC7"/>
    <w:rsid w:val="3E7103A9"/>
    <w:rsid w:val="3E7E746E"/>
    <w:rsid w:val="3EBE2184"/>
    <w:rsid w:val="3F5912F8"/>
    <w:rsid w:val="3F9B4FC0"/>
    <w:rsid w:val="41B74B09"/>
    <w:rsid w:val="43DC781A"/>
    <w:rsid w:val="441C7555"/>
    <w:rsid w:val="450A0AA4"/>
    <w:rsid w:val="45236574"/>
    <w:rsid w:val="46434BE2"/>
    <w:rsid w:val="464A2656"/>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B164CE"/>
    <w:rsid w:val="54DE5250"/>
    <w:rsid w:val="552D264C"/>
    <w:rsid w:val="55495194"/>
    <w:rsid w:val="56115CEE"/>
    <w:rsid w:val="56D42516"/>
    <w:rsid w:val="56FE5044"/>
    <w:rsid w:val="57E03285"/>
    <w:rsid w:val="589B2BBF"/>
    <w:rsid w:val="5AE71036"/>
    <w:rsid w:val="5B5F30DA"/>
    <w:rsid w:val="5BAF6F84"/>
    <w:rsid w:val="5BE03A0F"/>
    <w:rsid w:val="5D5C7CBD"/>
    <w:rsid w:val="5DCB1D21"/>
    <w:rsid w:val="5DF86B3F"/>
    <w:rsid w:val="5F1C1ADB"/>
    <w:rsid w:val="60134031"/>
    <w:rsid w:val="60C120AA"/>
    <w:rsid w:val="6304094B"/>
    <w:rsid w:val="6304204E"/>
    <w:rsid w:val="64165E4C"/>
    <w:rsid w:val="6536013A"/>
    <w:rsid w:val="669C2602"/>
    <w:rsid w:val="68DA698B"/>
    <w:rsid w:val="6A3E1F45"/>
    <w:rsid w:val="6CCC6D4C"/>
    <w:rsid w:val="6D5F4EC3"/>
    <w:rsid w:val="6E3F5A2C"/>
    <w:rsid w:val="7008088F"/>
    <w:rsid w:val="712634CC"/>
    <w:rsid w:val="71A3781D"/>
    <w:rsid w:val="724E698E"/>
    <w:rsid w:val="756501CF"/>
    <w:rsid w:val="762F65D1"/>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2520</Words>
  <Characters>2707</Characters>
  <Lines>20</Lines>
  <Paragraphs>5</Paragraphs>
  <TotalTime>6</TotalTime>
  <ScaleCrop>false</ScaleCrop>
  <LinksUpToDate>false</LinksUpToDate>
  <CharactersWithSpaces>2789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cp:lastPrinted>2023-04-03T03:31:02Z</cp:lastPrinted>
  <dcterms:modified xsi:type="dcterms:W3CDTF">2023-04-03T03:31:05Z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706D0927467A4601979B5623CD07EAF2</vt:lpwstr>
  </property>
</Properties>
</file>