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附件5：</w:t>
      </w:r>
    </w:p>
    <w:p>
      <w:pPr>
        <w:spacing w:line="580" w:lineRule="exact"/>
        <w:ind w:firstLine="720" w:firstLineChars="199"/>
        <w:rPr>
          <w:rFonts w:ascii="仿宋_GB2312" w:hAnsi="仿宋_GB2312" w:eastAsia="仿宋_GB2312" w:cs="仿宋_GB2312"/>
          <w:b/>
          <w:bCs/>
          <w:spacing w:val="-20"/>
          <w:sz w:val="40"/>
          <w:szCs w:val="48"/>
        </w:rPr>
      </w:pPr>
    </w:p>
    <w:p>
      <w:pPr>
        <w:spacing w:line="580" w:lineRule="exact"/>
        <w:ind w:firstLine="720" w:firstLineChars="199"/>
        <w:jc w:val="center"/>
        <w:rPr>
          <w:rFonts w:ascii="仿宋_GB2312" w:hAnsi="仿宋_GB2312" w:eastAsia="仿宋_GB2312" w:cs="仿宋_GB2312"/>
          <w:b/>
          <w:bCs/>
          <w:spacing w:val="-20"/>
          <w:sz w:val="40"/>
          <w:szCs w:val="48"/>
        </w:rPr>
      </w:pPr>
      <w:r>
        <w:rPr>
          <w:rFonts w:hint="eastAsia" w:ascii="仿宋_GB2312" w:hAnsi="仿宋_GB2312" w:eastAsia="仿宋_GB2312" w:cs="仿宋_GB2312"/>
          <w:b/>
          <w:bCs/>
          <w:spacing w:val="-20"/>
          <w:sz w:val="40"/>
          <w:szCs w:val="48"/>
        </w:rPr>
        <w:t>隆尧县农业农村局单位</w:t>
      </w:r>
    </w:p>
    <w:p>
      <w:pPr>
        <w:spacing w:line="580" w:lineRule="exact"/>
        <w:ind w:firstLine="720" w:firstLineChars="199"/>
        <w:jc w:val="center"/>
        <w:rPr>
          <w:rFonts w:ascii="仿宋_GB2312" w:hAnsi="仿宋_GB2312" w:eastAsia="仿宋_GB2312" w:cs="仿宋_GB2312"/>
          <w:b/>
          <w:bCs/>
          <w:sz w:val="40"/>
          <w:szCs w:val="48"/>
        </w:rPr>
      </w:pPr>
      <w:r>
        <w:rPr>
          <w:rFonts w:hint="eastAsia" w:ascii="仿宋_GB2312" w:hAnsi="仿宋_GB2312" w:eastAsia="仿宋_GB2312" w:cs="仿宋_GB2312"/>
          <w:b/>
          <w:bCs/>
          <w:spacing w:val="-20"/>
          <w:sz w:val="40"/>
          <w:szCs w:val="48"/>
        </w:rPr>
        <w:t>2022年县级财政衔接推进乡村振兴</w:t>
      </w:r>
      <w:r>
        <w:rPr>
          <w:rFonts w:hint="eastAsia" w:ascii="仿宋_GB2312" w:hAnsi="仿宋_GB2312" w:eastAsia="仿宋_GB2312" w:cs="仿宋_GB2312"/>
          <w:b/>
          <w:bCs/>
          <w:sz w:val="40"/>
          <w:szCs w:val="48"/>
        </w:rPr>
        <w:t>项目重点自评绩效报告</w:t>
      </w:r>
    </w:p>
    <w:p>
      <w:pPr>
        <w:rPr>
          <w:rFonts w:ascii="仿宋_GB2312" w:hAnsi="仿宋_GB2312" w:eastAsia="仿宋_GB2312" w:cs="仿宋_GB2312"/>
        </w:rPr>
      </w:pPr>
      <w:r>
        <w:rPr>
          <w:rFonts w:hint="eastAsia" w:ascii="仿宋_GB2312" w:hAnsi="仿宋_GB2312" w:eastAsia="仿宋_GB2312" w:cs="仿宋_GB2312"/>
          <w:sz w:val="28"/>
          <w:szCs w:val="28"/>
        </w:rPr>
        <w:t xml:space="preserve">                         </w:t>
      </w: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rPr>
          <w:rFonts w:ascii="仿宋_GB2312" w:hAnsi="仿宋_GB2312" w:eastAsia="仿宋_GB2312" w:cs="仿宋_GB2312"/>
        </w:rPr>
      </w:pPr>
    </w:p>
    <w:p>
      <w:pPr>
        <w:spacing w:line="760" w:lineRule="exact"/>
        <w:rPr>
          <w:rFonts w:ascii="仿宋_GB2312" w:hAnsi="仿宋_GB2312" w:eastAsia="仿宋_GB2312" w:cs="仿宋_GB2312"/>
        </w:rPr>
      </w:pPr>
    </w:p>
    <w:p>
      <w:pPr>
        <w:spacing w:line="760" w:lineRule="exact"/>
        <w:rPr>
          <w:rFonts w:hint="eastAsia" w:ascii="仿宋_GB2312" w:hAnsi="仿宋_GB2312" w:eastAsia="仿宋_GB2312" w:cs="仿宋_GB2312"/>
          <w:spacing w:val="11"/>
          <w:sz w:val="28"/>
          <w:szCs w:val="28"/>
        </w:rPr>
      </w:pPr>
    </w:p>
    <w:p>
      <w:pPr>
        <w:spacing w:line="760" w:lineRule="exact"/>
        <w:rPr>
          <w:rFonts w:hint="eastAsia" w:ascii="仿宋_GB2312" w:hAnsi="仿宋_GB2312" w:eastAsia="仿宋_GB2312" w:cs="仿宋_GB2312"/>
          <w:spacing w:val="11"/>
          <w:sz w:val="28"/>
          <w:szCs w:val="28"/>
        </w:rPr>
      </w:pPr>
    </w:p>
    <w:p>
      <w:pPr>
        <w:spacing w:line="760" w:lineRule="exact"/>
        <w:rPr>
          <w:rFonts w:ascii="仿宋_GB2312" w:hAnsi="仿宋_GB2312" w:eastAsia="仿宋_GB2312" w:cs="仿宋_GB2312"/>
          <w:spacing w:val="-20"/>
          <w:sz w:val="28"/>
          <w:szCs w:val="28"/>
          <w:u w:val="single"/>
        </w:rPr>
      </w:pPr>
      <w:bookmarkStart w:id="102" w:name="_GoBack"/>
      <w:bookmarkEnd w:id="102"/>
      <w:r>
        <w:rPr>
          <w:rFonts w:hint="eastAsia" w:ascii="仿宋_GB2312" w:hAnsi="仿宋_GB2312" w:eastAsia="仿宋_GB2312" w:cs="仿宋_GB2312"/>
          <w:spacing w:val="11"/>
          <w:sz w:val="28"/>
          <w:szCs w:val="28"/>
        </w:rPr>
        <w:t>项 目 名 称：</w:t>
      </w:r>
      <w:r>
        <w:rPr>
          <w:rFonts w:hint="eastAsia" w:ascii="仿宋_GB2312" w:hAnsi="仿宋_GB2312" w:eastAsia="仿宋_GB2312" w:cs="仿宋_GB2312"/>
          <w:kern w:val="0"/>
          <w:sz w:val="28"/>
          <w:szCs w:val="28"/>
          <w:u w:val="single"/>
        </w:rPr>
        <w:t>2022年财政衔接推进乡村振兴</w:t>
      </w:r>
      <w:r>
        <w:rPr>
          <w:rFonts w:hint="eastAsia" w:ascii="仿宋_GB2312" w:hAnsi="仿宋_GB2312" w:eastAsia="仿宋_GB2312" w:cs="仿宋_GB2312"/>
          <w:b/>
          <w:bCs/>
          <w:sz w:val="28"/>
          <w:szCs w:val="28"/>
          <w:u w:val="single"/>
        </w:rPr>
        <w:t xml:space="preserve">项目  </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项目实施单位：</w:t>
      </w:r>
      <w:r>
        <w:rPr>
          <w:rFonts w:hint="eastAsia" w:ascii="仿宋_GB2312" w:hAnsi="仿宋_GB2312" w:eastAsia="仿宋_GB2312" w:cs="仿宋_GB2312"/>
          <w:kern w:val="0"/>
          <w:sz w:val="28"/>
          <w:szCs w:val="28"/>
          <w:u w:val="single"/>
        </w:rPr>
        <w:t>农业农村局</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项目总金额：</w:t>
      </w:r>
      <w:r>
        <w:rPr>
          <w:rFonts w:hint="eastAsia" w:ascii="仿宋_GB2312" w:hAnsi="仿宋_GB2312" w:eastAsia="仿宋_GB2312" w:cs="仿宋_GB2312"/>
          <w:kern w:val="0"/>
          <w:sz w:val="28"/>
          <w:szCs w:val="28"/>
          <w:u w:val="single"/>
        </w:rPr>
        <w:t>4800万元</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11"/>
          <w:sz w:val="28"/>
          <w:szCs w:val="28"/>
        </w:rPr>
        <w:t>评 价 年 度：</w:t>
      </w:r>
      <w:r>
        <w:rPr>
          <w:rFonts w:hint="eastAsia" w:ascii="仿宋_GB2312" w:hAnsi="仿宋_GB2312" w:eastAsia="仿宋_GB2312" w:cs="仿宋_GB2312"/>
          <w:sz w:val="28"/>
          <w:szCs w:val="28"/>
          <w:u w:val="single"/>
        </w:rPr>
        <w:t>2022年度</w:t>
      </w:r>
    </w:p>
    <w:p>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评价组组长：</w:t>
      </w:r>
      <w:r>
        <w:rPr>
          <w:rFonts w:hint="eastAsia" w:ascii="仿宋_GB2312" w:hAnsi="仿宋_GB2312" w:eastAsia="仿宋_GB2312" w:cs="仿宋_GB2312"/>
          <w:sz w:val="28"/>
          <w:szCs w:val="28"/>
          <w:u w:val="single"/>
        </w:rPr>
        <w:t xml:space="preserve">    李现国     </w:t>
      </w:r>
    </w:p>
    <w:p>
      <w:pPr>
        <w:spacing w:line="760" w:lineRule="exact"/>
        <w:rPr>
          <w:rFonts w:ascii="仿宋_GB2312" w:hAnsi="仿宋_GB2312" w:eastAsia="仿宋_GB2312" w:cs="仿宋_GB2312"/>
        </w:rPr>
      </w:pPr>
      <w:r>
        <w:rPr>
          <w:rFonts w:hint="eastAsia" w:ascii="仿宋_GB2312" w:hAnsi="仿宋_GB2312" w:eastAsia="仿宋_GB2312" w:cs="仿宋_GB2312"/>
          <w:spacing w:val="28"/>
          <w:sz w:val="28"/>
          <w:szCs w:val="28"/>
        </w:rPr>
        <w:t>评价组成员：</w:t>
      </w:r>
      <w:r>
        <w:rPr>
          <w:rFonts w:hint="eastAsia" w:ascii="仿宋_GB2312" w:hAnsi="仿宋_GB2312" w:eastAsia="仿宋_GB2312" w:cs="仿宋_GB2312"/>
          <w:sz w:val="28"/>
          <w:szCs w:val="28"/>
          <w:u w:val="single"/>
        </w:rPr>
        <w:t xml:space="preserve">    曹利芳、李青        </w:t>
      </w:r>
    </w:p>
    <w:p>
      <w:pPr>
        <w:rPr>
          <w:rFonts w:ascii="仿宋_GB2312" w:hAnsi="仿宋_GB2312" w:eastAsia="仿宋_GB2312" w:cs="仿宋_GB2312"/>
        </w:rPr>
      </w:pPr>
      <w:bookmarkStart w:id="0" w:name="_Toc5909_WPSOffice_Level1"/>
      <w:bookmarkStart w:id="1" w:name="_Toc7470_WPSOffice_Level1"/>
    </w:p>
    <w:bookmarkEnd w:id="0"/>
    <w:bookmarkEnd w:id="1"/>
    <w:p>
      <w:pPr>
        <w:pStyle w:val="2"/>
        <w:spacing w:line="120" w:lineRule="exact"/>
        <w:ind w:firstLine="560"/>
        <w:rPr>
          <w:rFonts w:ascii="仿宋_GB2312" w:hAnsi="仿宋_GB2312" w:eastAsia="仿宋_GB2312" w:cs="仿宋_GB2312"/>
        </w:rPr>
      </w:pPr>
    </w:p>
    <w:p>
      <w:pPr>
        <w:spacing w:line="580" w:lineRule="exact"/>
        <w:ind w:firstLine="643" w:firstLineChars="200"/>
        <w:outlineLvl w:val="0"/>
        <w:rPr>
          <w:rFonts w:ascii="仿宋_GB2312" w:hAnsi="仿宋_GB2312" w:eastAsia="仿宋_GB2312" w:cs="仿宋_GB2312"/>
          <w:b/>
          <w:bCs/>
          <w:sz w:val="32"/>
          <w:szCs w:val="40"/>
        </w:rPr>
      </w:pPr>
      <w:bookmarkStart w:id="2" w:name="_Toc23411"/>
      <w:bookmarkStart w:id="3" w:name="_Toc2245"/>
      <w:bookmarkStart w:id="4" w:name="_Toc6314"/>
      <w:bookmarkStart w:id="5" w:name="_Toc11301"/>
      <w:bookmarkStart w:id="6" w:name="_Toc16913"/>
      <w:bookmarkStart w:id="7" w:name="_Toc18334"/>
      <w:bookmarkStart w:id="8" w:name="_Toc30335"/>
      <w:bookmarkStart w:id="9" w:name="_Toc9525"/>
      <w:bookmarkStart w:id="10" w:name="_Toc4013"/>
      <w:bookmarkStart w:id="11" w:name="_Toc13153"/>
    </w:p>
    <w:p>
      <w:pPr>
        <w:spacing w:line="580" w:lineRule="exact"/>
        <w:ind w:firstLine="643" w:firstLineChars="200"/>
        <w:outlineLvl w:val="0"/>
        <w:rPr>
          <w:rFonts w:ascii="仿宋_GB2312" w:hAnsi="仿宋_GB2312" w:eastAsia="仿宋_GB2312" w:cs="仿宋_GB2312"/>
          <w:b/>
          <w:bCs/>
          <w:sz w:val="32"/>
          <w:szCs w:val="40"/>
        </w:rPr>
      </w:pPr>
      <w:r>
        <w:rPr>
          <w:rFonts w:hint="eastAsia" w:ascii="仿宋_GB2312" w:hAnsi="仿宋_GB2312" w:eastAsia="仿宋_GB2312" w:cs="仿宋_GB2312"/>
          <w:b/>
          <w:bCs/>
          <w:sz w:val="32"/>
          <w:szCs w:val="40"/>
        </w:rPr>
        <w:t>一、项目概况</w:t>
      </w:r>
      <w:bookmarkEnd w:id="2"/>
      <w:bookmarkEnd w:id="3"/>
      <w:bookmarkEnd w:id="4"/>
      <w:bookmarkEnd w:id="5"/>
      <w:bookmarkEnd w:id="6"/>
      <w:bookmarkEnd w:id="7"/>
      <w:bookmarkEnd w:id="8"/>
      <w:bookmarkEnd w:id="9"/>
      <w:bookmarkEnd w:id="10"/>
      <w:bookmarkEnd w:id="11"/>
    </w:p>
    <w:p>
      <w:pPr>
        <w:spacing w:line="580" w:lineRule="exact"/>
        <w:ind w:firstLine="640" w:firstLineChars="200"/>
        <w:outlineLvl w:val="1"/>
        <w:rPr>
          <w:rFonts w:ascii="仿宋_GB2312" w:hAnsi="仿宋_GB2312" w:eastAsia="仿宋_GB2312" w:cs="仿宋_GB2312"/>
          <w:sz w:val="32"/>
          <w:szCs w:val="32"/>
        </w:rPr>
      </w:pPr>
      <w:bookmarkStart w:id="12" w:name="_Toc30895"/>
      <w:bookmarkStart w:id="13" w:name="_Toc24784"/>
      <w:bookmarkStart w:id="14" w:name="_Toc32742"/>
      <w:bookmarkStart w:id="15" w:name="_Toc937"/>
      <w:bookmarkStart w:id="16" w:name="_Toc22453"/>
      <w:bookmarkStart w:id="17" w:name="_Toc22285"/>
      <w:bookmarkStart w:id="18" w:name="_Toc23957"/>
      <w:bookmarkStart w:id="19" w:name="_Toc19370"/>
      <w:bookmarkStart w:id="20" w:name="_Toc19963"/>
      <w:bookmarkStart w:id="21" w:name="_Toc15831"/>
      <w:r>
        <w:rPr>
          <w:rFonts w:hint="eastAsia" w:ascii="仿宋_GB2312" w:hAnsi="仿宋_GB2312" w:eastAsia="仿宋_GB2312" w:cs="仿宋_GB2312"/>
          <w:sz w:val="32"/>
          <w:szCs w:val="32"/>
        </w:rPr>
        <w:t>（一）项目单位基本情况</w:t>
      </w:r>
      <w:bookmarkEnd w:id="12"/>
      <w:bookmarkEnd w:id="13"/>
      <w:bookmarkEnd w:id="14"/>
      <w:bookmarkEnd w:id="15"/>
      <w:bookmarkEnd w:id="16"/>
      <w:bookmarkEnd w:id="17"/>
      <w:bookmarkEnd w:id="18"/>
      <w:bookmarkEnd w:id="19"/>
      <w:bookmarkEnd w:id="20"/>
      <w:bookmarkEnd w:id="21"/>
    </w:p>
    <w:p>
      <w:pPr>
        <w:spacing w:line="580" w:lineRule="exact"/>
        <w:ind w:firstLine="640" w:firstLineChars="200"/>
        <w:outlineLvl w:val="1"/>
        <w:rPr>
          <w:rFonts w:ascii="仿宋_GB2312" w:hAnsi="仿宋_GB2312" w:eastAsia="仿宋_GB2312" w:cs="仿宋_GB2312"/>
          <w:sz w:val="32"/>
          <w:szCs w:val="32"/>
        </w:rPr>
      </w:pPr>
      <w:bookmarkStart w:id="22" w:name="_Toc8843"/>
      <w:bookmarkStart w:id="23" w:name="_Toc29308"/>
      <w:bookmarkStart w:id="24" w:name="_Toc15167"/>
      <w:r>
        <w:rPr>
          <w:rFonts w:hint="eastAsia" w:ascii="仿宋_GB2312" w:hAnsi="仿宋_GB2312" w:eastAsia="仿宋_GB2312" w:cs="仿宋_GB2312"/>
          <w:sz w:val="32"/>
          <w:szCs w:val="32"/>
        </w:rPr>
        <w:t>项目单位为隆尧县农业农村局，地址隆尧县德仁路4号。行政事业单位。承担</w:t>
      </w:r>
      <w:r>
        <w:rPr>
          <w:rFonts w:hint="eastAsia" w:ascii="仿宋_GB2312" w:hAnsi="仿宋_GB2312" w:eastAsia="仿宋_GB2312" w:cs="仿宋_GB2312"/>
          <w:kern w:val="0"/>
          <w:sz w:val="32"/>
          <w:szCs w:val="32"/>
        </w:rPr>
        <w:t>2022年财政衔接推进乡村振兴项目</w:t>
      </w:r>
      <w:r>
        <w:rPr>
          <w:rFonts w:hint="eastAsia" w:ascii="仿宋_GB2312" w:hAnsi="仿宋_GB2312" w:eastAsia="仿宋_GB2312" w:cs="仿宋_GB2312"/>
          <w:sz w:val="32"/>
          <w:szCs w:val="32"/>
        </w:rPr>
        <w:t>。</w:t>
      </w:r>
    </w:p>
    <w:p>
      <w:pPr>
        <w:spacing w:line="580" w:lineRule="exact"/>
        <w:ind w:firstLine="640" w:firstLineChars="200"/>
        <w:outlineLvl w:val="1"/>
        <w:rPr>
          <w:rFonts w:ascii="仿宋_GB2312" w:hAnsi="仿宋_GB2312" w:eastAsia="仿宋_GB2312" w:cs="仿宋_GB2312"/>
          <w:sz w:val="32"/>
          <w:szCs w:val="32"/>
        </w:rPr>
      </w:pPr>
      <w:r>
        <w:rPr>
          <w:rFonts w:hint="eastAsia" w:ascii="仿宋_GB2312" w:hAnsi="仿宋_GB2312" w:eastAsia="仿宋_GB2312" w:cs="仿宋_GB2312"/>
          <w:sz w:val="32"/>
          <w:szCs w:val="32"/>
        </w:rPr>
        <w:t>（二）项目基本情况</w:t>
      </w:r>
    </w:p>
    <w:p>
      <w:pPr>
        <w:widowControl/>
        <w:spacing w:line="580" w:lineRule="exact"/>
        <w:ind w:firstLine="640" w:firstLineChars="200"/>
        <w:jc w:val="left"/>
        <w:rPr>
          <w:rFonts w:ascii="仿宋_GB2312" w:hAnsi="仿宋_GB2312" w:eastAsia="仿宋_GB2312" w:cs="仿宋_GB2312"/>
          <w:sz w:val="32"/>
          <w:szCs w:val="40"/>
        </w:rPr>
      </w:pPr>
      <w:r>
        <w:rPr>
          <w:rFonts w:hint="eastAsia" w:ascii="仿宋_GB2312" w:hAnsi="仿宋_GB2312" w:eastAsia="仿宋_GB2312" w:cs="仿宋_GB2312"/>
          <w:sz w:val="32"/>
          <w:szCs w:val="32"/>
        </w:rPr>
        <w:t>本项目资金共4800万元，具体项目2个，其中</w:t>
      </w:r>
      <w:r>
        <w:rPr>
          <w:rFonts w:hint="eastAsia" w:ascii="楷体" w:hAnsi="楷体" w:eastAsia="楷体" w:cs="楷体"/>
          <w:sz w:val="32"/>
          <w:szCs w:val="32"/>
        </w:rPr>
        <w:t>第一个项目是支持农业产业发展项目</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kern w:val="0"/>
          <w:sz w:val="32"/>
          <w:szCs w:val="32"/>
        </w:rPr>
        <w:t>河北冀康冷链物流有限公司</w:t>
      </w:r>
      <w:r>
        <w:rPr>
          <w:rFonts w:hint="eastAsia" w:ascii="仿宋_GB2312" w:hAnsi="仿宋_GB2312" w:eastAsia="仿宋_GB2312" w:cs="仿宋_GB2312"/>
          <w:sz w:val="32"/>
          <w:szCs w:val="32"/>
        </w:rPr>
        <w:t>以资产收益模式实施</w:t>
      </w:r>
      <w:r>
        <w:rPr>
          <w:rFonts w:hint="eastAsia" w:ascii="仿宋_GB2312" w:hAnsi="仿宋_GB2312" w:eastAsia="仿宋_GB2312" w:cs="仿宋_GB2312"/>
          <w:color w:val="000000"/>
          <w:kern w:val="0"/>
          <w:sz w:val="32"/>
          <w:szCs w:val="32"/>
        </w:rPr>
        <w:t>的冀康阳光大棚升级改造及冷链仓储物流中心项目、</w:t>
      </w:r>
      <w:r>
        <w:rPr>
          <w:rFonts w:ascii="Times New Roman" w:hAnsi="Times New Roman" w:eastAsia="仿宋_GB2312"/>
          <w:bCs/>
          <w:sz w:val="32"/>
          <w:szCs w:val="32"/>
        </w:rPr>
        <w:t>隆尧县旭日食品有限公司</w:t>
      </w:r>
      <w:r>
        <w:rPr>
          <w:rFonts w:hint="eastAsia" w:ascii="仿宋_GB2312" w:hAnsi="仿宋_GB2312" w:eastAsia="仿宋_GB2312" w:cs="仿宋_GB2312"/>
          <w:sz w:val="32"/>
          <w:szCs w:val="32"/>
        </w:rPr>
        <w:t>以资产收益模式实施</w:t>
      </w:r>
      <w:r>
        <w:rPr>
          <w:rFonts w:hint="eastAsia" w:ascii="仿宋_GB2312" w:hAnsi="仿宋_GB2312" w:eastAsia="仿宋_GB2312" w:cs="仿宋_GB2312"/>
          <w:color w:val="000000"/>
          <w:kern w:val="0"/>
          <w:sz w:val="32"/>
          <w:szCs w:val="32"/>
        </w:rPr>
        <w:t>的</w:t>
      </w:r>
      <w:r>
        <w:rPr>
          <w:rFonts w:ascii="Times New Roman" w:hAnsi="Times New Roman" w:eastAsia="仿宋_GB2312"/>
          <w:bCs/>
          <w:sz w:val="32"/>
          <w:szCs w:val="32"/>
        </w:rPr>
        <w:t>辣椒基地</w:t>
      </w:r>
      <w:r>
        <w:rPr>
          <w:rFonts w:hint="eastAsia" w:ascii="Times New Roman" w:hAnsi="Times New Roman" w:eastAsia="仿宋_GB2312"/>
          <w:bCs/>
          <w:sz w:val="32"/>
          <w:szCs w:val="32"/>
        </w:rPr>
        <w:t>建设</w:t>
      </w:r>
      <w:r>
        <w:rPr>
          <w:rFonts w:ascii="Times New Roman" w:hAnsi="Times New Roman" w:eastAsia="仿宋_GB2312"/>
          <w:bCs/>
          <w:sz w:val="32"/>
          <w:szCs w:val="32"/>
        </w:rPr>
        <w:t>及深加工升级改造项目</w:t>
      </w:r>
      <w:r>
        <w:rPr>
          <w:rFonts w:hint="eastAsia" w:ascii="Times New Roman" w:hAnsi="Times New Roman" w:eastAsia="仿宋_GB2312"/>
          <w:bCs/>
          <w:sz w:val="32"/>
          <w:szCs w:val="32"/>
        </w:rPr>
        <w:t>、</w:t>
      </w:r>
      <w:r>
        <w:rPr>
          <w:rFonts w:ascii="Times New Roman" w:hAnsi="Times New Roman" w:eastAsia="仿宋_GB2312"/>
          <w:bCs/>
          <w:sz w:val="32"/>
          <w:szCs w:val="32"/>
        </w:rPr>
        <w:t>隆尧县嘉业农业有限公司</w:t>
      </w:r>
      <w:r>
        <w:rPr>
          <w:rFonts w:hint="eastAsia" w:ascii="仿宋_GB2312" w:hAnsi="仿宋_GB2312" w:eastAsia="仿宋_GB2312" w:cs="仿宋_GB2312"/>
          <w:sz w:val="32"/>
          <w:szCs w:val="32"/>
        </w:rPr>
        <w:t>以资产收益模式实施</w:t>
      </w:r>
      <w:r>
        <w:rPr>
          <w:rFonts w:hint="eastAsia" w:ascii="仿宋_GB2312" w:hAnsi="仿宋_GB2312" w:eastAsia="仿宋_GB2312" w:cs="仿宋_GB2312"/>
          <w:color w:val="000000"/>
          <w:kern w:val="0"/>
          <w:sz w:val="32"/>
          <w:szCs w:val="32"/>
        </w:rPr>
        <w:t>的</w:t>
      </w:r>
      <w:r>
        <w:rPr>
          <w:rFonts w:hint="eastAsia" w:ascii="Times New Roman" w:hAnsi="Times New Roman" w:eastAsia="仿宋_GB2312"/>
          <w:bCs/>
          <w:sz w:val="32"/>
          <w:szCs w:val="32"/>
        </w:rPr>
        <w:t>双碑乡特色果蔬大棚示范区项目、</w:t>
      </w:r>
      <w:r>
        <w:rPr>
          <w:rFonts w:hint="eastAsia" w:ascii="仿宋" w:hAnsi="仿宋" w:eastAsia="仿宋"/>
          <w:sz w:val="32"/>
          <w:szCs w:val="32"/>
        </w:rPr>
        <w:t>隆尧县瑞融商贸有限公司</w:t>
      </w:r>
      <w:r>
        <w:rPr>
          <w:rFonts w:hint="eastAsia" w:ascii="仿宋_GB2312" w:hAnsi="仿宋_GB2312" w:eastAsia="仿宋_GB2312" w:cs="仿宋_GB2312"/>
          <w:sz w:val="32"/>
          <w:szCs w:val="32"/>
        </w:rPr>
        <w:t>以资产收益模式实施</w:t>
      </w:r>
      <w:r>
        <w:rPr>
          <w:rFonts w:hint="eastAsia" w:ascii="仿宋_GB2312" w:hAnsi="仿宋_GB2312" w:eastAsia="仿宋_GB2312" w:cs="仿宋_GB2312"/>
          <w:color w:val="000000"/>
          <w:kern w:val="0"/>
          <w:sz w:val="32"/>
          <w:szCs w:val="32"/>
        </w:rPr>
        <w:t>的</w:t>
      </w:r>
      <w:r>
        <w:rPr>
          <w:rFonts w:hint="eastAsia" w:ascii="仿宋" w:hAnsi="仿宋" w:eastAsia="仿宋"/>
          <w:sz w:val="32"/>
          <w:szCs w:val="32"/>
        </w:rPr>
        <w:t>隆尧县农业创新创业孵化中心（一期）项目，共投入资金3348万元；</w:t>
      </w:r>
      <w:r>
        <w:rPr>
          <w:rFonts w:hint="eastAsia" w:ascii="楷体" w:hAnsi="楷体" w:eastAsia="楷体" w:cs="楷体"/>
          <w:sz w:val="32"/>
          <w:szCs w:val="32"/>
        </w:rPr>
        <w:t>第二个项目是补齐必要的农村人居环境整治和小型公益性基础设施建设短板，</w:t>
      </w:r>
      <w:r>
        <w:rPr>
          <w:rFonts w:hint="eastAsia" w:ascii="仿宋_GB2312" w:hAnsi="仿宋_GB2312" w:eastAsia="仿宋_GB2312" w:cs="仿宋_GB2312"/>
          <w:sz w:val="32"/>
          <w:szCs w:val="32"/>
        </w:rPr>
        <w:t>涉及山口镇、固城镇、莲子镇镇、大张家庄乡、北楼乡、双碑乡、东良镇、牛家桥乡8个乡镇，建设内容</w:t>
      </w:r>
      <w:r>
        <w:rPr>
          <w:rFonts w:hint="eastAsia" w:ascii="Times New Roman" w:hAnsi="Times New Roman" w:eastAsia="仿宋_GB2312"/>
          <w:sz w:val="32"/>
          <w:szCs w:val="32"/>
        </w:rPr>
        <w:t>主要是道路面貌提升，投入资金1452万元。以上4800万元资金已全部支付到位。</w:t>
      </w:r>
      <w:bookmarkEnd w:id="22"/>
      <w:bookmarkEnd w:id="23"/>
      <w:bookmarkEnd w:id="24"/>
      <w:bookmarkStart w:id="25" w:name="_Toc27552"/>
      <w:bookmarkStart w:id="26" w:name="_Toc32656"/>
      <w:bookmarkStart w:id="27" w:name="_Toc24191"/>
      <w:bookmarkStart w:id="28" w:name="_Toc26594"/>
    </w:p>
    <w:bookmarkEnd w:id="25"/>
    <w:bookmarkEnd w:id="26"/>
    <w:bookmarkEnd w:id="27"/>
    <w:bookmarkEnd w:id="28"/>
    <w:p>
      <w:pPr>
        <w:spacing w:line="580" w:lineRule="exact"/>
        <w:ind w:firstLine="643" w:firstLineChars="200"/>
        <w:outlineLvl w:val="0"/>
        <w:rPr>
          <w:rFonts w:ascii="仿宋_GB2312" w:hAnsi="仿宋_GB2312" w:eastAsia="仿宋_GB2312" w:cs="仿宋_GB2312"/>
          <w:b/>
          <w:bCs/>
          <w:sz w:val="32"/>
          <w:szCs w:val="40"/>
        </w:rPr>
      </w:pPr>
      <w:bookmarkStart w:id="29" w:name="_Toc14644"/>
      <w:bookmarkStart w:id="30" w:name="_Toc2988"/>
      <w:bookmarkStart w:id="31" w:name="_Toc7839"/>
      <w:bookmarkStart w:id="32" w:name="_Toc17782"/>
      <w:bookmarkStart w:id="33" w:name="_Toc18992"/>
      <w:bookmarkStart w:id="34" w:name="_Toc12860"/>
      <w:bookmarkStart w:id="35" w:name="_Toc4859"/>
      <w:bookmarkStart w:id="36" w:name="_Toc26109"/>
      <w:bookmarkStart w:id="37" w:name="_Toc6781"/>
      <w:bookmarkStart w:id="38" w:name="_Toc28908"/>
      <w:r>
        <w:rPr>
          <w:rFonts w:hint="eastAsia" w:ascii="仿宋_GB2312" w:hAnsi="仿宋_GB2312" w:eastAsia="仿宋_GB2312" w:cs="仿宋_GB2312"/>
          <w:b/>
          <w:bCs/>
          <w:sz w:val="32"/>
          <w:szCs w:val="40"/>
        </w:rPr>
        <w:t>二、项目实施情况</w:t>
      </w:r>
      <w:bookmarkEnd w:id="29"/>
      <w:bookmarkEnd w:id="30"/>
      <w:bookmarkEnd w:id="31"/>
      <w:bookmarkEnd w:id="32"/>
      <w:bookmarkEnd w:id="33"/>
      <w:bookmarkEnd w:id="34"/>
      <w:bookmarkEnd w:id="35"/>
      <w:bookmarkEnd w:id="36"/>
      <w:bookmarkEnd w:id="37"/>
      <w:bookmarkEnd w:id="38"/>
    </w:p>
    <w:p>
      <w:pPr>
        <w:widowControl/>
        <w:spacing w:line="580" w:lineRule="exact"/>
        <w:ind w:firstLine="640" w:firstLineChars="200"/>
        <w:jc w:val="left"/>
        <w:rPr>
          <w:rFonts w:ascii="仿宋_GB2312" w:hAnsi="仿宋_GB2312" w:eastAsia="仿宋_GB2312" w:cs="仿宋_GB2312"/>
          <w:sz w:val="32"/>
          <w:szCs w:val="40"/>
        </w:rPr>
      </w:pPr>
      <w:r>
        <w:rPr>
          <w:rFonts w:hint="eastAsia" w:ascii="仿宋_GB2312" w:hAnsi="仿宋_GB2312" w:eastAsia="仿宋_GB2312" w:cs="仿宋_GB2312"/>
          <w:sz w:val="32"/>
          <w:szCs w:val="32"/>
        </w:rPr>
        <w:t>本项目共为2个具体项目，</w:t>
      </w:r>
      <w:r>
        <w:rPr>
          <w:rFonts w:hint="eastAsia" w:ascii="楷体" w:hAnsi="楷体" w:eastAsia="楷体" w:cs="楷体"/>
          <w:sz w:val="32"/>
          <w:szCs w:val="32"/>
        </w:rPr>
        <w:t>第一个项目是支持农业产业项目发展</w:t>
      </w:r>
      <w:r>
        <w:rPr>
          <w:rFonts w:hint="eastAsia" w:ascii="仿宋_GB2312" w:hAnsi="仿宋_GB2312" w:eastAsia="仿宋_GB2312" w:cs="仿宋_GB2312"/>
          <w:sz w:val="32"/>
          <w:szCs w:val="32"/>
        </w:rPr>
        <w:t>，项目以资产收益模式实施，由隆尧县成发建设集团有限公司具体与实施主体合作完成，实施主体4个，</w:t>
      </w:r>
      <w:r>
        <w:rPr>
          <w:rFonts w:hint="eastAsia" w:ascii="仿宋_GB2312" w:hAnsi="仿宋_GB2312" w:eastAsia="仿宋_GB2312" w:cs="仿宋_GB2312"/>
          <w:color w:val="000000"/>
          <w:kern w:val="0"/>
          <w:sz w:val="32"/>
          <w:szCs w:val="32"/>
        </w:rPr>
        <w:t>河北冀康冷链物流有限公司</w:t>
      </w:r>
      <w:r>
        <w:rPr>
          <w:rFonts w:hint="eastAsia" w:ascii="仿宋_GB2312" w:hAnsi="仿宋_GB2312" w:eastAsia="仿宋_GB2312" w:cs="仿宋_GB2312"/>
          <w:sz w:val="32"/>
          <w:szCs w:val="32"/>
        </w:rPr>
        <w:t>实施</w:t>
      </w:r>
      <w:r>
        <w:rPr>
          <w:rFonts w:hint="eastAsia" w:ascii="仿宋_GB2312" w:hAnsi="仿宋_GB2312" w:eastAsia="仿宋_GB2312" w:cs="仿宋_GB2312"/>
          <w:color w:val="000000"/>
          <w:kern w:val="0"/>
          <w:sz w:val="32"/>
          <w:szCs w:val="32"/>
        </w:rPr>
        <w:t>的冀康阳光大棚升级改造及冷链仓储物流中心项目、</w:t>
      </w:r>
      <w:r>
        <w:rPr>
          <w:rFonts w:ascii="Times New Roman" w:hAnsi="Times New Roman" w:eastAsia="仿宋_GB2312"/>
          <w:bCs/>
          <w:sz w:val="32"/>
          <w:szCs w:val="32"/>
        </w:rPr>
        <w:t>隆尧县旭日食品有限公司</w:t>
      </w:r>
      <w:r>
        <w:rPr>
          <w:rFonts w:hint="eastAsia" w:ascii="Times New Roman" w:hAnsi="Times New Roman" w:eastAsia="仿宋_GB2312"/>
          <w:bCs/>
          <w:sz w:val="32"/>
          <w:szCs w:val="32"/>
        </w:rPr>
        <w:t>的</w:t>
      </w:r>
      <w:r>
        <w:rPr>
          <w:rFonts w:ascii="Times New Roman" w:hAnsi="Times New Roman" w:eastAsia="仿宋_GB2312"/>
          <w:bCs/>
          <w:sz w:val="32"/>
          <w:szCs w:val="32"/>
        </w:rPr>
        <w:t>辣椒基地</w:t>
      </w:r>
      <w:r>
        <w:rPr>
          <w:rFonts w:hint="eastAsia" w:ascii="Times New Roman" w:hAnsi="Times New Roman" w:eastAsia="仿宋_GB2312"/>
          <w:bCs/>
          <w:sz w:val="32"/>
          <w:szCs w:val="32"/>
        </w:rPr>
        <w:t>建设</w:t>
      </w:r>
      <w:r>
        <w:rPr>
          <w:rFonts w:ascii="Times New Roman" w:hAnsi="Times New Roman" w:eastAsia="仿宋_GB2312"/>
          <w:bCs/>
          <w:sz w:val="32"/>
          <w:szCs w:val="32"/>
        </w:rPr>
        <w:t>及深加工升级改造项目</w:t>
      </w:r>
      <w:r>
        <w:rPr>
          <w:rFonts w:hint="eastAsia" w:ascii="Times New Roman" w:hAnsi="Times New Roman" w:eastAsia="仿宋_GB2312"/>
          <w:bCs/>
          <w:sz w:val="32"/>
          <w:szCs w:val="32"/>
        </w:rPr>
        <w:t>、</w:t>
      </w:r>
      <w:r>
        <w:rPr>
          <w:rFonts w:ascii="Times New Roman" w:hAnsi="Times New Roman" w:eastAsia="仿宋_GB2312"/>
          <w:bCs/>
          <w:sz w:val="32"/>
          <w:szCs w:val="32"/>
        </w:rPr>
        <w:t>隆尧县嘉业农业有限公司</w:t>
      </w:r>
      <w:r>
        <w:rPr>
          <w:rFonts w:hint="eastAsia" w:ascii="Times New Roman" w:hAnsi="Times New Roman" w:eastAsia="仿宋_GB2312"/>
          <w:bCs/>
          <w:sz w:val="32"/>
          <w:szCs w:val="32"/>
        </w:rPr>
        <w:t>的双碑乡特色果蔬大棚示范区项目、</w:t>
      </w:r>
      <w:r>
        <w:rPr>
          <w:rFonts w:hint="eastAsia" w:ascii="仿宋" w:hAnsi="仿宋" w:eastAsia="仿宋"/>
          <w:sz w:val="32"/>
          <w:szCs w:val="32"/>
        </w:rPr>
        <w:t>隆尧县瑞融商贸有限公司</w:t>
      </w:r>
      <w:r>
        <w:rPr>
          <w:rFonts w:hint="eastAsia" w:ascii="仿宋_GB2312" w:hAnsi="仿宋_GB2312" w:eastAsia="仿宋_GB2312" w:cs="仿宋_GB2312"/>
          <w:color w:val="000000"/>
          <w:kern w:val="0"/>
          <w:sz w:val="32"/>
          <w:szCs w:val="32"/>
        </w:rPr>
        <w:t>的</w:t>
      </w:r>
      <w:r>
        <w:rPr>
          <w:rFonts w:hint="eastAsia" w:ascii="仿宋" w:hAnsi="仿宋" w:eastAsia="仿宋"/>
          <w:sz w:val="32"/>
          <w:szCs w:val="32"/>
        </w:rPr>
        <w:t>隆尧县农业创新创业孵化中心（一期）项目，共投入资金3348万元；</w:t>
      </w:r>
      <w:r>
        <w:rPr>
          <w:rFonts w:hint="eastAsia" w:ascii="楷体" w:hAnsi="楷体" w:eastAsia="楷体" w:cs="楷体"/>
          <w:sz w:val="32"/>
          <w:szCs w:val="32"/>
        </w:rPr>
        <w:t>第二个项目是补齐必要的农村人居环境整治和小型公益性基础设施建设短板，</w:t>
      </w:r>
      <w:r>
        <w:rPr>
          <w:rFonts w:hint="eastAsia" w:ascii="仿宋_GB2312" w:hAnsi="仿宋_GB2312" w:eastAsia="仿宋_GB2312" w:cs="仿宋_GB2312"/>
          <w:sz w:val="32"/>
          <w:szCs w:val="32"/>
        </w:rPr>
        <w:t>项目内容</w:t>
      </w:r>
      <w:r>
        <w:rPr>
          <w:rFonts w:hint="eastAsia" w:ascii="Times New Roman" w:hAnsi="Times New Roman" w:eastAsia="仿宋_GB2312"/>
          <w:sz w:val="32"/>
          <w:szCs w:val="32"/>
        </w:rPr>
        <w:t>主要是道路面貌提升，</w:t>
      </w:r>
      <w:r>
        <w:rPr>
          <w:rFonts w:hint="eastAsia" w:ascii="仿宋_GB2312" w:hAnsi="仿宋_GB2312" w:eastAsia="仿宋_GB2312" w:cs="仿宋_GB2312"/>
          <w:sz w:val="32"/>
          <w:szCs w:val="32"/>
        </w:rPr>
        <w:t>涉及山口镇、固城镇、莲子镇镇、大张家庄乡、北楼乡、双碑乡、东良镇、牛家桥乡8个乡镇，</w:t>
      </w:r>
      <w:r>
        <w:rPr>
          <w:rFonts w:hint="eastAsia" w:ascii="Times New Roman" w:hAnsi="Times New Roman" w:eastAsia="仿宋_GB2312"/>
          <w:sz w:val="32"/>
          <w:szCs w:val="32"/>
        </w:rPr>
        <w:t>投入资金1452万元。</w:t>
      </w:r>
    </w:p>
    <w:p>
      <w:pPr>
        <w:spacing w:line="580" w:lineRule="exact"/>
        <w:ind w:firstLine="643" w:firstLineChars="200"/>
        <w:outlineLvl w:val="0"/>
        <w:rPr>
          <w:rFonts w:ascii="仿宋_GB2312" w:hAnsi="仿宋_GB2312" w:eastAsia="仿宋_GB2312" w:cs="仿宋_GB2312"/>
          <w:b/>
          <w:bCs/>
          <w:sz w:val="32"/>
          <w:szCs w:val="40"/>
        </w:rPr>
      </w:pPr>
      <w:bookmarkStart w:id="39" w:name="_Toc6451"/>
      <w:bookmarkStart w:id="40" w:name="_Toc29800"/>
      <w:bookmarkStart w:id="41" w:name="_Toc5317"/>
      <w:bookmarkStart w:id="42" w:name="_Toc21501"/>
      <w:bookmarkStart w:id="43" w:name="_Toc18915"/>
      <w:bookmarkStart w:id="44" w:name="_Toc5215"/>
      <w:bookmarkStart w:id="45" w:name="_Toc20904"/>
      <w:bookmarkStart w:id="46" w:name="_Toc26855"/>
      <w:bookmarkStart w:id="47" w:name="_Toc12150"/>
      <w:bookmarkStart w:id="48" w:name="_Toc10651"/>
      <w:r>
        <w:rPr>
          <w:rFonts w:hint="eastAsia" w:ascii="仿宋_GB2312" w:hAnsi="仿宋_GB2312" w:eastAsia="仿宋_GB2312" w:cs="仿宋_GB2312"/>
          <w:b/>
          <w:bCs/>
          <w:sz w:val="32"/>
          <w:szCs w:val="40"/>
        </w:rPr>
        <w:t>三、绩效评价工作情况</w:t>
      </w:r>
      <w:bookmarkEnd w:id="39"/>
      <w:bookmarkEnd w:id="40"/>
      <w:bookmarkEnd w:id="41"/>
      <w:bookmarkEnd w:id="42"/>
      <w:bookmarkEnd w:id="43"/>
      <w:bookmarkEnd w:id="44"/>
      <w:bookmarkEnd w:id="45"/>
      <w:bookmarkEnd w:id="46"/>
      <w:bookmarkEnd w:id="47"/>
      <w:bookmarkEnd w:id="48"/>
    </w:p>
    <w:p>
      <w:pPr>
        <w:spacing w:line="580" w:lineRule="exact"/>
        <w:ind w:firstLine="640" w:firstLineChars="200"/>
        <w:outlineLvl w:val="1"/>
        <w:rPr>
          <w:rFonts w:ascii="仿宋_GB2312" w:hAnsi="仿宋_GB2312" w:eastAsia="仿宋_GB2312" w:cs="仿宋_GB2312"/>
          <w:sz w:val="32"/>
          <w:szCs w:val="40"/>
        </w:rPr>
      </w:pPr>
      <w:bookmarkStart w:id="49" w:name="_Toc22771"/>
      <w:bookmarkStart w:id="50" w:name="_Toc17355"/>
      <w:bookmarkStart w:id="51" w:name="_Toc23608"/>
      <w:bookmarkStart w:id="52" w:name="_Toc4056"/>
      <w:bookmarkStart w:id="53" w:name="_Toc5105"/>
      <w:bookmarkStart w:id="54" w:name="_Toc8077"/>
      <w:bookmarkStart w:id="55" w:name="_Toc14742"/>
      <w:bookmarkStart w:id="56" w:name="_Toc25600"/>
      <w:bookmarkStart w:id="57" w:name="_Toc7570"/>
      <w:bookmarkStart w:id="58" w:name="_Toc15730"/>
      <w:r>
        <w:rPr>
          <w:rFonts w:hint="eastAsia" w:ascii="仿宋_GB2312" w:hAnsi="仿宋_GB2312" w:eastAsia="仿宋_GB2312" w:cs="仿宋_GB2312"/>
          <w:sz w:val="32"/>
          <w:szCs w:val="40"/>
        </w:rPr>
        <w:t>（一）评价目的</w:t>
      </w:r>
      <w:bookmarkEnd w:id="49"/>
      <w:bookmarkEnd w:id="50"/>
      <w:bookmarkEnd w:id="51"/>
      <w:bookmarkEnd w:id="52"/>
      <w:bookmarkEnd w:id="53"/>
      <w:bookmarkEnd w:id="54"/>
      <w:bookmarkEnd w:id="55"/>
      <w:bookmarkEnd w:id="56"/>
      <w:bookmarkEnd w:id="57"/>
      <w:bookmarkEnd w:id="58"/>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通过绩效自评结果对比倒查的年初绩效目标设定质量情况，全面总结绩效目标设定是否清晰准确，绩效指标是否全面完整、科学合理，绩效标准是否恰当适宜、易于评价，深入分析原因，逐项查找差距。</w:t>
      </w:r>
    </w:p>
    <w:p>
      <w:pPr>
        <w:numPr>
          <w:ilvl w:val="0"/>
          <w:numId w:val="1"/>
        </w:numPr>
        <w:spacing w:line="580" w:lineRule="exact"/>
        <w:ind w:firstLine="640" w:firstLineChars="200"/>
        <w:outlineLvl w:val="1"/>
        <w:rPr>
          <w:rFonts w:ascii="仿宋_GB2312" w:hAnsi="仿宋_GB2312" w:eastAsia="仿宋_GB2312" w:cs="仿宋_GB2312"/>
          <w:sz w:val="32"/>
          <w:szCs w:val="40"/>
        </w:rPr>
      </w:pPr>
      <w:bookmarkStart w:id="59" w:name="_Toc22727"/>
      <w:bookmarkStart w:id="60" w:name="_Toc8288"/>
      <w:bookmarkStart w:id="61" w:name="_Toc3910"/>
      <w:bookmarkStart w:id="62" w:name="_Toc27199"/>
      <w:bookmarkStart w:id="63" w:name="_Toc16121"/>
      <w:bookmarkStart w:id="64" w:name="_Toc16971"/>
      <w:bookmarkStart w:id="65" w:name="_Toc25746"/>
      <w:bookmarkStart w:id="66" w:name="_Toc18502"/>
      <w:bookmarkStart w:id="67" w:name="_Toc30351"/>
      <w:bookmarkStart w:id="68" w:name="_Toc27346"/>
      <w:r>
        <w:rPr>
          <w:rFonts w:hint="eastAsia" w:ascii="仿宋_GB2312" w:hAnsi="仿宋_GB2312" w:eastAsia="仿宋_GB2312" w:cs="仿宋_GB2312"/>
          <w:sz w:val="32"/>
          <w:szCs w:val="40"/>
        </w:rPr>
        <w:t>评价指标</w:t>
      </w:r>
      <w:bookmarkEnd w:id="59"/>
      <w:bookmarkEnd w:id="60"/>
      <w:bookmarkEnd w:id="61"/>
      <w:bookmarkEnd w:id="62"/>
      <w:bookmarkEnd w:id="63"/>
      <w:bookmarkEnd w:id="64"/>
      <w:bookmarkEnd w:id="65"/>
      <w:bookmarkEnd w:id="66"/>
      <w:bookmarkEnd w:id="67"/>
      <w:bookmarkEnd w:id="68"/>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评价指标。绩效评价指标共 100 分。具体为:“工作活动”设置 20分，工作活动”管理 20分，“工作活动”产出50分，“工作活动”效果10分。</w:t>
      </w:r>
    </w:p>
    <w:p>
      <w:pPr>
        <w:numPr>
          <w:ilvl w:val="0"/>
          <w:numId w:val="1"/>
        </w:numPr>
        <w:spacing w:line="580" w:lineRule="exact"/>
        <w:ind w:firstLine="640" w:firstLineChars="200"/>
        <w:outlineLvl w:val="1"/>
        <w:rPr>
          <w:rFonts w:ascii="仿宋_GB2312" w:hAnsi="仿宋_GB2312" w:eastAsia="仿宋_GB2312" w:cs="仿宋_GB2312"/>
          <w:sz w:val="32"/>
          <w:szCs w:val="40"/>
        </w:rPr>
      </w:pPr>
      <w:bookmarkStart w:id="69" w:name="_Toc23270"/>
      <w:bookmarkStart w:id="70" w:name="_Toc25343"/>
      <w:bookmarkStart w:id="71" w:name="_Toc11684"/>
      <w:bookmarkStart w:id="72" w:name="_Toc5587"/>
      <w:bookmarkStart w:id="73" w:name="_Toc32306"/>
      <w:bookmarkStart w:id="74" w:name="_Toc19068"/>
      <w:bookmarkStart w:id="75" w:name="_Toc5304"/>
      <w:bookmarkStart w:id="76" w:name="_Toc19154"/>
      <w:bookmarkStart w:id="77" w:name="_Toc12572"/>
      <w:bookmarkStart w:id="78" w:name="_Toc32241"/>
      <w:r>
        <w:rPr>
          <w:rFonts w:hint="eastAsia" w:ascii="仿宋_GB2312" w:hAnsi="仿宋_GB2312" w:eastAsia="仿宋_GB2312" w:cs="仿宋_GB2312"/>
          <w:sz w:val="32"/>
          <w:szCs w:val="40"/>
        </w:rPr>
        <w:t>评价依据</w:t>
      </w:r>
      <w:bookmarkEnd w:id="69"/>
      <w:bookmarkEnd w:id="70"/>
      <w:bookmarkEnd w:id="71"/>
      <w:bookmarkEnd w:id="72"/>
      <w:bookmarkEnd w:id="73"/>
      <w:bookmarkEnd w:id="74"/>
      <w:bookmarkEnd w:id="75"/>
      <w:bookmarkEnd w:id="76"/>
      <w:bookmarkEnd w:id="77"/>
      <w:bookmarkEnd w:id="78"/>
    </w:p>
    <w:p>
      <w:pPr>
        <w:pStyle w:val="2"/>
        <w:ind w:firstLine="640"/>
        <w:rPr>
          <w:rFonts w:ascii="仿宋_GB2312" w:hAnsi="仿宋_GB2312" w:eastAsia="仿宋_GB2312" w:cs="仿宋_GB2312"/>
          <w:color w:val="auto"/>
          <w:sz w:val="32"/>
          <w:szCs w:val="40"/>
        </w:rPr>
      </w:pPr>
      <w:r>
        <w:rPr>
          <w:rFonts w:hint="eastAsia" w:ascii="仿宋_GB2312" w:hAnsi="仿宋_GB2312" w:eastAsia="仿宋_GB2312" w:cs="仿宋_GB2312"/>
          <w:color w:val="auto"/>
          <w:sz w:val="32"/>
          <w:szCs w:val="40"/>
        </w:rPr>
        <w:t>依据隆尧县财政局等五部门关于印发《河隆尧县财政衔接推进乡村振兴补助资金管理办法》的通知 （隆财〔2021)56号 ）</w:t>
      </w:r>
    </w:p>
    <w:p>
      <w:pPr>
        <w:spacing w:line="580" w:lineRule="exact"/>
        <w:ind w:firstLine="640" w:firstLineChars="200"/>
        <w:outlineLvl w:val="1"/>
      </w:pPr>
      <w:bookmarkStart w:id="79" w:name="_Toc7393"/>
      <w:bookmarkStart w:id="80" w:name="_Toc11243"/>
      <w:bookmarkStart w:id="81" w:name="_Toc22038"/>
      <w:bookmarkStart w:id="82" w:name="_Toc6747"/>
      <w:bookmarkStart w:id="83" w:name="_Toc26780"/>
      <w:bookmarkStart w:id="84" w:name="_Toc13179"/>
      <w:bookmarkStart w:id="85" w:name="_Toc12940"/>
      <w:bookmarkStart w:id="86" w:name="_Toc24302"/>
      <w:bookmarkStart w:id="87" w:name="_Toc1868"/>
      <w:bookmarkStart w:id="88" w:name="_Toc9401"/>
      <w:r>
        <w:rPr>
          <w:rFonts w:hint="eastAsia" w:ascii="仿宋_GB2312" w:hAnsi="仿宋_GB2312" w:eastAsia="仿宋_GB2312" w:cs="仿宋_GB2312"/>
          <w:sz w:val="32"/>
          <w:szCs w:val="40"/>
        </w:rPr>
        <w:t>（四）评价的主要方法及等级设定</w:t>
      </w:r>
      <w:bookmarkEnd w:id="79"/>
      <w:bookmarkEnd w:id="80"/>
      <w:bookmarkEnd w:id="81"/>
      <w:bookmarkEnd w:id="82"/>
      <w:bookmarkEnd w:id="83"/>
      <w:bookmarkEnd w:id="84"/>
      <w:bookmarkEnd w:id="85"/>
      <w:bookmarkEnd w:id="86"/>
      <w:bookmarkEnd w:id="87"/>
      <w:bookmarkEnd w:id="88"/>
    </w:p>
    <w:p>
      <w:pPr>
        <w:spacing w:line="580" w:lineRule="exact"/>
        <w:ind w:firstLine="640" w:firstLineChars="200"/>
        <w:outlineLvl w:val="1"/>
        <w:rPr>
          <w:rFonts w:ascii="仿宋_GB2312" w:hAnsi="仿宋_GB2312" w:eastAsia="仿宋_GB2312" w:cs="仿宋_GB2312"/>
          <w:sz w:val="32"/>
          <w:szCs w:val="40"/>
        </w:rPr>
      </w:pPr>
      <w:r>
        <w:rPr>
          <w:rFonts w:hint="eastAsia" w:ascii="仿宋_GB2312" w:hAnsi="仿宋_GB2312" w:eastAsia="仿宋_GB2312" w:cs="仿宋_GB2312"/>
          <w:sz w:val="32"/>
          <w:szCs w:val="40"/>
        </w:rPr>
        <w:t>绩效评价想、采取自评的方式，结果采取评分和评级相结合的方式，总分设置为 100 分，等级划分为四档:90(含)-100分为优、80(含)-90分为良、60(含)-80分为中、60分以下为差。</w:t>
      </w:r>
    </w:p>
    <w:p>
      <w:pPr>
        <w:spacing w:line="580" w:lineRule="exact"/>
        <w:ind w:firstLine="643" w:firstLineChars="200"/>
        <w:outlineLvl w:val="0"/>
        <w:rPr>
          <w:rFonts w:ascii="仿宋_GB2312" w:hAnsi="仿宋_GB2312" w:eastAsia="仿宋_GB2312" w:cs="仿宋_GB2312"/>
        </w:rPr>
      </w:pPr>
      <w:bookmarkStart w:id="89" w:name="_Toc5623"/>
      <w:bookmarkStart w:id="90" w:name="_Toc22222"/>
      <w:bookmarkStart w:id="91" w:name="_Toc30508"/>
      <w:bookmarkStart w:id="92" w:name="_Toc18842"/>
      <w:bookmarkStart w:id="93" w:name="_Toc17025"/>
      <w:bookmarkStart w:id="94" w:name="_Toc10113"/>
      <w:bookmarkStart w:id="95" w:name="_Toc6105"/>
      <w:bookmarkStart w:id="96" w:name="_Toc20748"/>
      <w:bookmarkStart w:id="97" w:name="_Toc21014"/>
      <w:bookmarkStart w:id="98" w:name="_Toc28621"/>
      <w:r>
        <w:rPr>
          <w:rFonts w:hint="eastAsia" w:ascii="仿宋_GB2312" w:hAnsi="仿宋_GB2312" w:eastAsia="仿宋_GB2312" w:cs="仿宋_GB2312"/>
          <w:b/>
          <w:bCs/>
          <w:sz w:val="32"/>
          <w:szCs w:val="40"/>
        </w:rPr>
        <w:t>四、绩效评价指标体系及得分情况</w:t>
      </w:r>
      <w:bookmarkEnd w:id="89"/>
      <w:bookmarkEnd w:id="90"/>
      <w:bookmarkEnd w:id="91"/>
      <w:bookmarkEnd w:id="92"/>
      <w:bookmarkEnd w:id="93"/>
      <w:bookmarkEnd w:id="94"/>
      <w:bookmarkEnd w:id="95"/>
      <w:bookmarkEnd w:id="96"/>
      <w:bookmarkEnd w:id="97"/>
      <w:bookmarkEnd w:id="98"/>
    </w:p>
    <w:p>
      <w:pPr>
        <w:ind w:firstLine="840" w:firstLineChars="300"/>
      </w:pPr>
      <w:r>
        <w:rPr>
          <w:rFonts w:hint="eastAsia" w:ascii="仿宋_GB2312" w:hAnsi="仿宋_GB2312" w:eastAsia="仿宋_GB2312" w:cs="仿宋_GB2312"/>
          <w:kern w:val="0"/>
          <w:sz w:val="28"/>
          <w:szCs w:val="28"/>
        </w:rPr>
        <w:t>2022年财政衔接推进乡村振兴</w:t>
      </w:r>
      <w:r>
        <w:rPr>
          <w:rFonts w:hint="eastAsia" w:ascii="仿宋_GB2312" w:hAnsi="仿宋_GB2312" w:eastAsia="仿宋_GB2312" w:cs="仿宋_GB2312"/>
          <w:b/>
          <w:bCs/>
          <w:sz w:val="28"/>
          <w:szCs w:val="28"/>
        </w:rPr>
        <w:t>项目</w:t>
      </w:r>
      <w:r>
        <w:rPr>
          <w:rFonts w:hint="eastAsia" w:ascii="仿宋_GB2312" w:hAnsi="仿宋_GB2312" w:eastAsia="仿宋_GB2312" w:cs="仿宋_GB2312"/>
          <w:b/>
          <w:color w:val="000000"/>
          <w:kern w:val="0"/>
          <w:sz w:val="28"/>
          <w:szCs w:val="28"/>
        </w:rPr>
        <w:t>重点绩效评价指标表</w:t>
      </w:r>
    </w:p>
    <w:tbl>
      <w:tblPr>
        <w:tblStyle w:val="7"/>
        <w:tblW w:w="8404" w:type="dxa"/>
        <w:tblInd w:w="0" w:type="dxa"/>
        <w:tblLayout w:type="fixed"/>
        <w:tblCellMar>
          <w:top w:w="0" w:type="dxa"/>
          <w:left w:w="0" w:type="dxa"/>
          <w:bottom w:w="0" w:type="dxa"/>
          <w:right w:w="0" w:type="dxa"/>
        </w:tblCellMar>
      </w:tblPr>
      <w:tblGrid>
        <w:gridCol w:w="958"/>
        <w:gridCol w:w="674"/>
        <w:gridCol w:w="2083"/>
        <w:gridCol w:w="545"/>
        <w:gridCol w:w="3557"/>
        <w:gridCol w:w="587"/>
      </w:tblGrid>
      <w:tr>
        <w:tblPrEx>
          <w:tblCellMar>
            <w:top w:w="0" w:type="dxa"/>
            <w:left w:w="0" w:type="dxa"/>
            <w:bottom w:w="0" w:type="dxa"/>
            <w:right w:w="0" w:type="dxa"/>
          </w:tblCellMar>
        </w:tblPrEx>
        <w:trPr>
          <w:trHeight w:val="585" w:hRule="atLeast"/>
        </w:trPr>
        <w:tc>
          <w:tcPr>
            <w:tcW w:w="958" w:type="dxa"/>
            <w:tcBorders>
              <w:top w:val="single" w:color="000000" w:sz="4" w:space="0"/>
              <w:left w:val="single" w:color="000000" w:sz="4" w:space="0"/>
              <w:bottom w:val="single" w:color="000000" w:sz="4" w:space="0"/>
              <w:right w:val="nil"/>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一级指标  </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二级指标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 三级指标</w:t>
            </w:r>
          </w:p>
        </w:tc>
        <w:tc>
          <w:tcPr>
            <w:tcW w:w="545" w:type="dxa"/>
            <w:vMerge w:val="restart"/>
            <w:tcBorders>
              <w:top w:val="single" w:color="000000" w:sz="4" w:space="0"/>
              <w:left w:val="nil"/>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分值</w:t>
            </w:r>
          </w:p>
        </w:tc>
        <w:tc>
          <w:tcPr>
            <w:tcW w:w="3557"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指标说明</w:t>
            </w:r>
          </w:p>
        </w:tc>
        <w:tc>
          <w:tcPr>
            <w:tcW w:w="587"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得分</w:t>
            </w:r>
          </w:p>
        </w:tc>
      </w:tr>
      <w:tr>
        <w:tblPrEx>
          <w:tblCellMar>
            <w:top w:w="0" w:type="dxa"/>
            <w:left w:w="0" w:type="dxa"/>
            <w:bottom w:w="0" w:type="dxa"/>
            <w:right w:w="0" w:type="dxa"/>
          </w:tblCellMar>
        </w:tblPrEx>
        <w:trPr>
          <w:trHeight w:val="345" w:hRule="atLeast"/>
        </w:trPr>
        <w:tc>
          <w:tcPr>
            <w:tcW w:w="9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545" w:type="dxa"/>
            <w:vMerge w:val="continue"/>
            <w:tcBorders>
              <w:top w:val="single" w:color="000000" w:sz="4" w:space="0"/>
              <w:left w:val="nil"/>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355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c>
          <w:tcPr>
            <w:tcW w:w="587"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b/>
                <w:color w:val="000000"/>
                <w:sz w:val="24"/>
              </w:rPr>
            </w:pPr>
          </w:p>
        </w:tc>
      </w:tr>
      <w:tr>
        <w:tblPrEx>
          <w:tblCellMar>
            <w:top w:w="0" w:type="dxa"/>
            <w:left w:w="0" w:type="dxa"/>
            <w:bottom w:w="0" w:type="dxa"/>
            <w:right w:w="0" w:type="dxa"/>
          </w:tblCellMar>
        </w:tblPrEx>
        <w:trPr>
          <w:trHeight w:val="660" w:hRule="atLeast"/>
        </w:trPr>
        <w:tc>
          <w:tcPr>
            <w:tcW w:w="95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“工作活动”设置（20分）</w:t>
            </w: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项目立项情况</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是否符合政府经济和社会总体发展规划</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有政府相关政策、规划、任务等文件得2分；无不得分。</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6</w:t>
            </w:r>
          </w:p>
        </w:tc>
      </w:tr>
      <w:tr>
        <w:tblPrEx>
          <w:tblCellMar>
            <w:top w:w="0" w:type="dxa"/>
            <w:left w:w="0" w:type="dxa"/>
            <w:bottom w:w="0" w:type="dxa"/>
            <w:right w:w="0" w:type="dxa"/>
          </w:tblCellMar>
        </w:tblPrEx>
        <w:trPr>
          <w:trHeight w:val="1164"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项目活动与职责相关性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工作活动与部门职责、工作规划和重点工作相关，工作活动项下确定的预算项目合理，与工作活动密切相关，工作活动和项目预算安排合理，得4分；否则不得分。</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564"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绩效自评情况</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项目设立绩效目标合理性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①是否将项目绩效目标细化分解为具体的绩效指标；</w:t>
            </w:r>
          </w:p>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②是否通过清晰、可衡量的指标值予以体现；</w:t>
            </w:r>
          </w:p>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③是否与项目年度任务数或计划数相对应；</w:t>
            </w:r>
          </w:p>
          <w:p>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④是否与预算确定的项目投资额或资金量相匹配。</w:t>
            </w:r>
          </w:p>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缺少一项扣1分,扣完为止。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1460"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自评报告情况</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是否有绩效评价报告，报告是否依据充分、内容真实完整；数据准确、分析透彻。每存在一项问题扣2分，扣完为止。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6 </w:t>
            </w:r>
          </w:p>
        </w:tc>
      </w:tr>
      <w:tr>
        <w:tblPrEx>
          <w:tblCellMar>
            <w:top w:w="0" w:type="dxa"/>
            <w:left w:w="0" w:type="dxa"/>
            <w:bottom w:w="0" w:type="dxa"/>
            <w:right w:w="0" w:type="dxa"/>
          </w:tblCellMar>
        </w:tblPrEx>
        <w:trPr>
          <w:trHeight w:val="1020" w:hRule="atLeast"/>
        </w:trPr>
        <w:tc>
          <w:tcPr>
            <w:tcW w:w="958"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“工作活动”管理（20分）</w:t>
            </w: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资金管理</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预算调整率=（预算调整数/预算数）×100%。预算调整率每大于1%扣1分，扣完为止。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1020" w:hRule="atLeast"/>
        </w:trPr>
        <w:tc>
          <w:tcPr>
            <w:tcW w:w="958" w:type="dxa"/>
            <w:vMerge w:val="continue"/>
            <w:tcBorders>
              <w:top w:val="single" w:color="000000" w:sz="4" w:space="0"/>
              <w:left w:val="single" w:color="000000" w:sz="4" w:space="0"/>
              <w:bottom w:val="nil"/>
              <w:right w:val="single" w:color="000000" w:sz="4" w:space="0"/>
            </w:tcBorders>
            <w:shd w:val="clear" w:color="auto" w:fill="auto"/>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资金使用合规性</w:t>
            </w:r>
          </w:p>
        </w:tc>
        <w:tc>
          <w:tcPr>
            <w:tcW w:w="54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shd w:val="clear" w:color="auto" w:fill="FFFFFF"/>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项目资金使用是否符合国家财经法规及相关的财务管理制度规定，资金支出程序是否规范,报账手续是否齐全。每存在一项不合规问题扣2分，扣完为止。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r>
      <w:tr>
        <w:tblPrEx>
          <w:tblCellMar>
            <w:top w:w="0" w:type="dxa"/>
            <w:left w:w="0" w:type="dxa"/>
            <w:bottom w:w="0" w:type="dxa"/>
            <w:right w:w="0" w:type="dxa"/>
          </w:tblCellMar>
        </w:tblPrEx>
        <w:trPr>
          <w:trHeight w:val="1220"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会计核算规范性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会计核算是否符合《会计法》、《政府会计制度》、《会计基础工作规范》等法律法规和相关制度规定。每存在一项不合规问题扣1分，扣完为止。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 4</w:t>
            </w:r>
          </w:p>
        </w:tc>
      </w:tr>
      <w:tr>
        <w:tblPrEx>
          <w:tblCellMar>
            <w:top w:w="0" w:type="dxa"/>
            <w:left w:w="0" w:type="dxa"/>
            <w:bottom w:w="0" w:type="dxa"/>
            <w:right w:w="0" w:type="dxa"/>
          </w:tblCellMar>
        </w:tblPrEx>
        <w:trPr>
          <w:trHeight w:val="1740"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restart"/>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项目管理</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项目责任机制是否健全</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是否建立责任机制，项目管理和责任落实到有关人。每存在一项问题扣1分，扣完为止。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756"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管理制度健全性</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4</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制定管理制度和措施（包括财务制度）是否明确、清晰、具有可操作性，能否保障工作活动顺利实施。每缺少一项制度扣1分，扣完为止。</w:t>
            </w: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4 </w:t>
            </w:r>
          </w:p>
        </w:tc>
      </w:tr>
      <w:tr>
        <w:tblPrEx>
          <w:tblCellMar>
            <w:top w:w="0" w:type="dxa"/>
            <w:left w:w="0" w:type="dxa"/>
            <w:bottom w:w="0" w:type="dxa"/>
            <w:right w:w="0" w:type="dxa"/>
          </w:tblCellMar>
        </w:tblPrEx>
        <w:trPr>
          <w:trHeight w:val="90" w:hRule="atLeast"/>
        </w:trPr>
        <w:tc>
          <w:tcPr>
            <w:tcW w:w="958" w:type="dxa"/>
            <w:vMerge w:val="restart"/>
            <w:tcBorders>
              <w:top w:val="single" w:color="000000" w:sz="4" w:space="0"/>
              <w:left w:val="single" w:color="000000" w:sz="4" w:space="0"/>
              <w:bottom w:val="nil"/>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“工作活动”产出（50分）</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数量指标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年度建设任务完成数量占总任务的比率</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20</w:t>
            </w:r>
          </w:p>
        </w:tc>
      </w:tr>
      <w:tr>
        <w:tblPrEx>
          <w:tblCellMar>
            <w:top w:w="0" w:type="dxa"/>
            <w:left w:w="0" w:type="dxa"/>
            <w:bottom w:w="0" w:type="dxa"/>
            <w:right w:w="0" w:type="dxa"/>
          </w:tblCellMar>
        </w:tblPrEx>
        <w:trPr>
          <w:trHeight w:val="642" w:hRule="atLeast"/>
        </w:trPr>
        <w:tc>
          <w:tcPr>
            <w:tcW w:w="958" w:type="dxa"/>
            <w:vMerge w:val="continue"/>
            <w:tcBorders>
              <w:top w:val="single" w:color="000000" w:sz="4" w:space="0"/>
              <w:left w:val="single" w:color="000000" w:sz="4" w:space="0"/>
              <w:bottom w:val="nil"/>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质量指标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本项目验收标准</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20 </w:t>
            </w:r>
          </w:p>
        </w:tc>
      </w:tr>
      <w:tr>
        <w:tblPrEx>
          <w:tblCellMar>
            <w:top w:w="0" w:type="dxa"/>
            <w:left w:w="0" w:type="dxa"/>
            <w:bottom w:w="0" w:type="dxa"/>
            <w:right w:w="0" w:type="dxa"/>
          </w:tblCellMar>
        </w:tblPrEx>
        <w:trPr>
          <w:trHeight w:val="586" w:hRule="atLeast"/>
        </w:trPr>
        <w:tc>
          <w:tcPr>
            <w:tcW w:w="958" w:type="dxa"/>
            <w:vMerge w:val="continue"/>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时效指标</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支付时限</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 xml:space="preserve">10 </w:t>
            </w:r>
          </w:p>
        </w:tc>
      </w:tr>
      <w:tr>
        <w:tblPrEx>
          <w:tblCellMar>
            <w:top w:w="0" w:type="dxa"/>
            <w:left w:w="0" w:type="dxa"/>
            <w:bottom w:w="0" w:type="dxa"/>
            <w:right w:w="0" w:type="dxa"/>
          </w:tblCellMar>
        </w:tblPrEx>
        <w:trPr>
          <w:trHeight w:val="405" w:hRule="atLeast"/>
        </w:trPr>
        <w:tc>
          <w:tcPr>
            <w:tcW w:w="958" w:type="dxa"/>
            <w:tcBorders>
              <w:top w:val="single" w:color="000000" w:sz="4" w:space="0"/>
              <w:left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“工作活动”效果（</w:t>
            </w:r>
            <w:r>
              <w:rPr>
                <w:rFonts w:hint="eastAsia" w:ascii="仿宋_GB2312" w:hAnsi="仿宋_GB2312" w:eastAsia="仿宋_GB2312" w:cs="仿宋_GB2312"/>
                <w:color w:val="000000"/>
                <w:kern w:val="0"/>
                <w:sz w:val="22"/>
                <w:szCs w:val="22"/>
              </w:rPr>
              <w:t>10</w:t>
            </w:r>
            <w:r>
              <w:rPr>
                <w:rFonts w:hint="eastAsia" w:ascii="仿宋_GB2312" w:hAnsi="仿宋_GB2312" w:eastAsia="仿宋_GB2312" w:cs="仿宋_GB2312"/>
                <w:color w:val="000000"/>
                <w:sz w:val="22"/>
                <w:szCs w:val="22"/>
              </w:rPr>
              <w:t>分）</w:t>
            </w:r>
          </w:p>
        </w:tc>
        <w:tc>
          <w:tcPr>
            <w:tcW w:w="674" w:type="dxa"/>
            <w:tcBorders>
              <w:top w:val="single" w:color="000000" w:sz="4" w:space="0"/>
              <w:left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rPr>
            </w:pPr>
            <w:r>
              <w:rPr>
                <w:rFonts w:hint="eastAsia" w:ascii="仿宋_GB2312" w:hAnsi="仿宋_GB2312" w:eastAsia="仿宋_GB2312" w:cs="仿宋_GB2312"/>
              </w:rPr>
              <w:t>满意度</w:t>
            </w: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群众满意度</w:t>
            </w: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r>
      <w:tr>
        <w:tblPrEx>
          <w:tblCellMar>
            <w:top w:w="0" w:type="dxa"/>
            <w:left w:w="0" w:type="dxa"/>
            <w:bottom w:w="0" w:type="dxa"/>
            <w:right w:w="0" w:type="dxa"/>
          </w:tblCellMar>
        </w:tblPrEx>
        <w:trPr>
          <w:trHeight w:val="405" w:hRule="atLeast"/>
        </w:trPr>
        <w:tc>
          <w:tcPr>
            <w:tcW w:w="958"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ind w:firstLine="220" w:firstLineChars="100"/>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合计</w:t>
            </w:r>
          </w:p>
        </w:tc>
        <w:tc>
          <w:tcPr>
            <w:tcW w:w="674"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jc w:val="center"/>
              <w:rPr>
                <w:rFonts w:ascii="仿宋_GB2312" w:hAnsi="仿宋_GB2312" w:eastAsia="仿宋_GB2312" w:cs="仿宋_GB2312"/>
              </w:rPr>
            </w:pPr>
          </w:p>
        </w:tc>
        <w:tc>
          <w:tcPr>
            <w:tcW w:w="2083"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p>
        </w:tc>
        <w:tc>
          <w:tcPr>
            <w:tcW w:w="545"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355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left"/>
              <w:textAlignment w:val="center"/>
              <w:rPr>
                <w:rFonts w:ascii="仿宋_GB2312" w:hAnsi="仿宋_GB2312" w:eastAsia="仿宋_GB2312" w:cs="仿宋_GB2312"/>
                <w:color w:val="000000"/>
                <w:kern w:val="0"/>
                <w:sz w:val="22"/>
                <w:szCs w:val="22"/>
              </w:rPr>
            </w:pPr>
          </w:p>
        </w:tc>
        <w:tc>
          <w:tcPr>
            <w:tcW w:w="587" w:type="dxa"/>
            <w:tcBorders>
              <w:top w:val="single" w:color="000000" w:sz="4" w:space="0"/>
              <w:left w:val="single" w:color="000000" w:sz="4" w:space="0"/>
              <w:bottom w:val="single" w:color="000000" w:sz="4" w:space="0"/>
              <w:right w:val="single" w:color="000000" w:sz="4" w:space="0"/>
            </w:tcBorders>
            <w:tcMar>
              <w:top w:w="12" w:type="dxa"/>
              <w:left w:w="12" w:type="dxa"/>
              <w:right w:w="12" w:type="dxa"/>
            </w:tcMar>
            <w:vAlign w:val="center"/>
          </w:tcPr>
          <w:p>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r>
    </w:tbl>
    <w:p>
      <w:pPr>
        <w:pStyle w:val="2"/>
        <w:spacing w:line="560" w:lineRule="exact"/>
        <w:ind w:left="420" w:leftChars="200" w:firstLine="320" w:firstLineChars="100"/>
        <w:outlineLvl w:val="0"/>
        <w:rPr>
          <w:rFonts w:ascii="仿宋_GB2312" w:hAnsi="仿宋_GB2312" w:eastAsia="仿宋_GB2312" w:cs="仿宋_GB2312"/>
          <w:color w:val="000000"/>
          <w:sz w:val="32"/>
          <w:szCs w:val="32"/>
        </w:rPr>
      </w:pPr>
      <w:bookmarkStart w:id="99" w:name="_Toc2634_WPSOffice_Level1"/>
      <w:r>
        <w:rPr>
          <w:rFonts w:hint="eastAsia" w:ascii="仿宋_GB2312" w:hAnsi="仿宋_GB2312" w:eastAsia="仿宋_GB2312" w:cs="仿宋_GB2312"/>
          <w:color w:val="000000"/>
          <w:sz w:val="32"/>
          <w:szCs w:val="32"/>
        </w:rPr>
        <w:t>五、评价分析</w:t>
      </w:r>
      <w:bookmarkEnd w:id="99"/>
    </w:p>
    <w:p>
      <w:pPr>
        <w:spacing w:line="560" w:lineRule="exact"/>
        <w:ind w:firstLine="640" w:firstLineChars="200"/>
        <w:outlineLvl w:val="1"/>
        <w:rPr>
          <w:rFonts w:ascii="仿宋_GB2312" w:hAnsi="仿宋_GB2312" w:eastAsia="仿宋_GB2312" w:cs="仿宋_GB2312"/>
          <w:color w:val="000000"/>
          <w:sz w:val="32"/>
          <w:szCs w:val="40"/>
        </w:rPr>
      </w:pPr>
      <w:bookmarkStart w:id="100" w:name="_Toc18513_WPSOffice_Level2"/>
      <w:r>
        <w:rPr>
          <w:rFonts w:hint="eastAsia" w:ascii="仿宋_GB2312" w:hAnsi="仿宋_GB2312" w:eastAsia="仿宋_GB2312" w:cs="仿宋_GB2312"/>
          <w:color w:val="000000"/>
          <w:sz w:val="32"/>
          <w:szCs w:val="40"/>
        </w:rPr>
        <w:t>（一）主要扣分事项及原因分析</w:t>
      </w:r>
      <w:bookmarkEnd w:id="100"/>
    </w:p>
    <w:p>
      <w:pPr>
        <w:pStyle w:val="2"/>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农业产业发展项目和补齐必要的农村人居环境整治和小型公益性基础设施建设短板项目年初制定的资金列支计划与年终支出资金一致。</w:t>
      </w:r>
    </w:p>
    <w:p>
      <w:pPr>
        <w:pStyle w:val="2"/>
        <w:ind w:firstLine="640"/>
        <w:rPr>
          <w:color w:val="auto"/>
        </w:rPr>
      </w:pPr>
      <w:r>
        <w:rPr>
          <w:rFonts w:hint="eastAsia" w:ascii="仿宋_GB2312" w:hAnsi="仿宋_GB2312" w:eastAsia="仿宋_GB2312" w:cs="仿宋_GB2312"/>
          <w:color w:val="auto"/>
          <w:sz w:val="32"/>
          <w:szCs w:val="40"/>
        </w:rPr>
        <w:t>本项目完成了所有绩效目标，无扣分项。</w:t>
      </w:r>
    </w:p>
    <w:p>
      <w:pPr>
        <w:pStyle w:val="2"/>
        <w:ind w:firstLine="560"/>
        <w:rPr>
          <w:rFonts w:ascii="仿宋_GB2312" w:hAnsi="仿宋_GB2312" w:eastAsia="仿宋_GB2312" w:cs="仿宋_GB2312"/>
          <w:color w:val="000000"/>
          <w:sz w:val="32"/>
          <w:szCs w:val="32"/>
        </w:rPr>
      </w:pPr>
      <w:r>
        <w:rPr>
          <w:rFonts w:hint="eastAsia"/>
        </w:rPr>
        <w:t xml:space="preserve"> </w:t>
      </w:r>
      <w:bookmarkStart w:id="101" w:name="_Toc11279_WPSOffice_Level1"/>
      <w:r>
        <w:rPr>
          <w:rFonts w:hint="eastAsia" w:ascii="仿宋_GB2312" w:hAnsi="仿宋_GB2312" w:eastAsia="仿宋_GB2312" w:cs="仿宋_GB2312"/>
          <w:color w:val="000000"/>
          <w:sz w:val="32"/>
          <w:szCs w:val="32"/>
        </w:rPr>
        <w:t>六、意见及建议</w:t>
      </w:r>
      <w:bookmarkEnd w:id="101"/>
    </w:p>
    <w:p>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p>
    <w:p>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2023年3月14日</w:t>
      </w:r>
    </w:p>
    <w:p>
      <w:pPr>
        <w:rPr>
          <w:rFonts w:ascii="仿宋_GB2312" w:hAnsi="仿宋_GB2312" w:eastAsia="仿宋_GB2312" w:cs="仿宋_GB2312"/>
        </w:rPr>
      </w:pPr>
    </w:p>
    <w:sectPr>
      <w:footerReference r:id="rId3" w:type="default"/>
      <w:pgSz w:w="11906" w:h="16838"/>
      <w:pgMar w:top="2154"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BBADC3"/>
    <w:multiLevelType w:val="singleLevel"/>
    <w:tmpl w:val="18BBADC3"/>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jkwNGIzMTM3NzcyODk5Y2IxNWVlMTgzMjllODBkNGUifQ=="/>
  </w:docVars>
  <w:rsids>
    <w:rsidRoot w:val="07CC499B"/>
    <w:rsid w:val="00056AED"/>
    <w:rsid w:val="00092B14"/>
    <w:rsid w:val="000D2028"/>
    <w:rsid w:val="000D47D0"/>
    <w:rsid w:val="001373BE"/>
    <w:rsid w:val="001F3212"/>
    <w:rsid w:val="002707C6"/>
    <w:rsid w:val="00280F82"/>
    <w:rsid w:val="003170CE"/>
    <w:rsid w:val="003A610C"/>
    <w:rsid w:val="003C4354"/>
    <w:rsid w:val="00472708"/>
    <w:rsid w:val="0051308C"/>
    <w:rsid w:val="00645DBC"/>
    <w:rsid w:val="006F7BC1"/>
    <w:rsid w:val="007812E3"/>
    <w:rsid w:val="00814E39"/>
    <w:rsid w:val="008B5614"/>
    <w:rsid w:val="008C7CF4"/>
    <w:rsid w:val="00A02C66"/>
    <w:rsid w:val="00AB413B"/>
    <w:rsid w:val="00B02280"/>
    <w:rsid w:val="00B60E03"/>
    <w:rsid w:val="00D25A69"/>
    <w:rsid w:val="00D25CC3"/>
    <w:rsid w:val="00D3165F"/>
    <w:rsid w:val="00D471F4"/>
    <w:rsid w:val="00D5394A"/>
    <w:rsid w:val="00D9286F"/>
    <w:rsid w:val="00DB6DF3"/>
    <w:rsid w:val="00E30CAE"/>
    <w:rsid w:val="00E310A2"/>
    <w:rsid w:val="00EF2BA5"/>
    <w:rsid w:val="00EF6DA3"/>
    <w:rsid w:val="00FA340E"/>
    <w:rsid w:val="00FB795B"/>
    <w:rsid w:val="00FC2277"/>
    <w:rsid w:val="01B67D1F"/>
    <w:rsid w:val="01CA2AF2"/>
    <w:rsid w:val="03274687"/>
    <w:rsid w:val="04064A0C"/>
    <w:rsid w:val="04321BCD"/>
    <w:rsid w:val="04FF4482"/>
    <w:rsid w:val="057A0A50"/>
    <w:rsid w:val="064C4C17"/>
    <w:rsid w:val="06FF20F9"/>
    <w:rsid w:val="076C3175"/>
    <w:rsid w:val="07CC499B"/>
    <w:rsid w:val="0815567D"/>
    <w:rsid w:val="0909607F"/>
    <w:rsid w:val="09A64785"/>
    <w:rsid w:val="0A3B4E4B"/>
    <w:rsid w:val="0B601B06"/>
    <w:rsid w:val="0BEB58BF"/>
    <w:rsid w:val="0C15027B"/>
    <w:rsid w:val="0C3B2A49"/>
    <w:rsid w:val="0DAA4EE9"/>
    <w:rsid w:val="0E1F6B07"/>
    <w:rsid w:val="0E3117D9"/>
    <w:rsid w:val="102B0836"/>
    <w:rsid w:val="1064155D"/>
    <w:rsid w:val="1156122B"/>
    <w:rsid w:val="11F11891"/>
    <w:rsid w:val="12C35BB4"/>
    <w:rsid w:val="140849FA"/>
    <w:rsid w:val="14583EA3"/>
    <w:rsid w:val="151D09B5"/>
    <w:rsid w:val="157E3426"/>
    <w:rsid w:val="1689469A"/>
    <w:rsid w:val="16DB1E7D"/>
    <w:rsid w:val="178C6C5A"/>
    <w:rsid w:val="17CD646A"/>
    <w:rsid w:val="184F3049"/>
    <w:rsid w:val="1B3F225B"/>
    <w:rsid w:val="1B4269FF"/>
    <w:rsid w:val="1D4B3C83"/>
    <w:rsid w:val="1DBD7AB3"/>
    <w:rsid w:val="1E0B387E"/>
    <w:rsid w:val="21460607"/>
    <w:rsid w:val="21FF1E9B"/>
    <w:rsid w:val="221C4868"/>
    <w:rsid w:val="229A3192"/>
    <w:rsid w:val="23C1122C"/>
    <w:rsid w:val="243D751D"/>
    <w:rsid w:val="24522B03"/>
    <w:rsid w:val="25ED2FD4"/>
    <w:rsid w:val="264A346A"/>
    <w:rsid w:val="270A41B9"/>
    <w:rsid w:val="274B3C4E"/>
    <w:rsid w:val="285356FD"/>
    <w:rsid w:val="288E37E0"/>
    <w:rsid w:val="28CE1110"/>
    <w:rsid w:val="290243B4"/>
    <w:rsid w:val="2A5C748F"/>
    <w:rsid w:val="2B10000E"/>
    <w:rsid w:val="2B2D56DA"/>
    <w:rsid w:val="2C624D21"/>
    <w:rsid w:val="2D391E20"/>
    <w:rsid w:val="30785FD3"/>
    <w:rsid w:val="31702E0D"/>
    <w:rsid w:val="33C32B3C"/>
    <w:rsid w:val="34E52524"/>
    <w:rsid w:val="35CA4ECD"/>
    <w:rsid w:val="35CE5164"/>
    <w:rsid w:val="35F07825"/>
    <w:rsid w:val="360C2FBA"/>
    <w:rsid w:val="363913FE"/>
    <w:rsid w:val="36D6548C"/>
    <w:rsid w:val="376918C7"/>
    <w:rsid w:val="37832AC7"/>
    <w:rsid w:val="38195BED"/>
    <w:rsid w:val="38EC3D6B"/>
    <w:rsid w:val="39B23A02"/>
    <w:rsid w:val="3A4766ED"/>
    <w:rsid w:val="3A713A3B"/>
    <w:rsid w:val="3AAB2217"/>
    <w:rsid w:val="3B8C756F"/>
    <w:rsid w:val="3CAE49E3"/>
    <w:rsid w:val="3DAE40CB"/>
    <w:rsid w:val="3E7103A9"/>
    <w:rsid w:val="3E7E746E"/>
    <w:rsid w:val="3EBE2184"/>
    <w:rsid w:val="3F5912F8"/>
    <w:rsid w:val="3F9B4FC0"/>
    <w:rsid w:val="41B74B09"/>
    <w:rsid w:val="43DC781A"/>
    <w:rsid w:val="441C7555"/>
    <w:rsid w:val="450A0AA4"/>
    <w:rsid w:val="45236574"/>
    <w:rsid w:val="46434BE2"/>
    <w:rsid w:val="46AA6AA7"/>
    <w:rsid w:val="478E0E32"/>
    <w:rsid w:val="48A2447B"/>
    <w:rsid w:val="49430BD9"/>
    <w:rsid w:val="494625CA"/>
    <w:rsid w:val="4B301A3F"/>
    <w:rsid w:val="4BD23ED8"/>
    <w:rsid w:val="4C2846CD"/>
    <w:rsid w:val="4C7A4C55"/>
    <w:rsid w:val="4F6A54EE"/>
    <w:rsid w:val="4FDF6ED1"/>
    <w:rsid w:val="514C0EC5"/>
    <w:rsid w:val="51F50157"/>
    <w:rsid w:val="525766D1"/>
    <w:rsid w:val="52866F20"/>
    <w:rsid w:val="52EE7A8B"/>
    <w:rsid w:val="535B290E"/>
    <w:rsid w:val="53F1208F"/>
    <w:rsid w:val="54B164CE"/>
    <w:rsid w:val="54DE5250"/>
    <w:rsid w:val="552D264C"/>
    <w:rsid w:val="55495194"/>
    <w:rsid w:val="56115CEE"/>
    <w:rsid w:val="56D42516"/>
    <w:rsid w:val="56FE5044"/>
    <w:rsid w:val="57E03285"/>
    <w:rsid w:val="585A2996"/>
    <w:rsid w:val="589B2BBF"/>
    <w:rsid w:val="5AE71036"/>
    <w:rsid w:val="5B5F30DA"/>
    <w:rsid w:val="5BAF6F84"/>
    <w:rsid w:val="5BE03A0F"/>
    <w:rsid w:val="5D5C7CBD"/>
    <w:rsid w:val="5DCB1D21"/>
    <w:rsid w:val="5DF86B3F"/>
    <w:rsid w:val="5F1C1ADB"/>
    <w:rsid w:val="60134031"/>
    <w:rsid w:val="60C120AA"/>
    <w:rsid w:val="6304094B"/>
    <w:rsid w:val="64165E4C"/>
    <w:rsid w:val="6536013A"/>
    <w:rsid w:val="68DA698B"/>
    <w:rsid w:val="6A3E1F45"/>
    <w:rsid w:val="6CCC6D4C"/>
    <w:rsid w:val="6D5F4EC3"/>
    <w:rsid w:val="6E3F5A2C"/>
    <w:rsid w:val="7008088F"/>
    <w:rsid w:val="70547015"/>
    <w:rsid w:val="712634CC"/>
    <w:rsid w:val="71A3781D"/>
    <w:rsid w:val="724E698E"/>
    <w:rsid w:val="756501CF"/>
    <w:rsid w:val="762F65D1"/>
    <w:rsid w:val="778F438E"/>
    <w:rsid w:val="7A055146"/>
    <w:rsid w:val="7A757A3F"/>
    <w:rsid w:val="7C647BFE"/>
    <w:rsid w:val="7D9B64C3"/>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paragraph" w:customStyle="1" w:styleId="9">
    <w:name w:val="WPSOffice手动目录 1"/>
    <w:qFormat/>
    <w:uiPriority w:val="0"/>
    <w:rPr>
      <w:rFonts w:ascii="Times New Roman" w:hAnsi="Times New Roman" w:eastAsia="宋体" w:cs="Times New Roman"/>
      <w:lang w:val="en-US" w:eastAsia="zh-CN" w:bidi="ar-SA"/>
    </w:rPr>
  </w:style>
  <w:style w:type="paragraph" w:customStyle="1" w:styleId="10">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1">
    <w:name w:val="页眉 Char"/>
    <w:basedOn w:val="8"/>
    <w:link w:val="5"/>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2040</Words>
  <Characters>2128</Characters>
  <Lines>16</Lines>
  <Paragraphs>4</Paragraphs>
  <TotalTime>42</TotalTime>
  <ScaleCrop>false</ScaleCrop>
  <LinksUpToDate>false</LinksUpToDate>
  <CharactersWithSpaces>2203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Administrator</cp:lastModifiedBy>
  <dcterms:modified xsi:type="dcterms:W3CDTF">2023-04-03T06:07:51Z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706D0927467A4601979B5623CD07EAF2</vt:lpwstr>
  </property>
</Properties>
</file>