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textAlignment w:val="bottom"/>
        <w:rPr>
          <w:rFonts w:ascii="仿宋_GB2312" w:hAnsi="仿宋_GB2312" w:eastAsia="仿宋_GB2312" w:cs="仿宋_GB2312"/>
          <w:color w:val="000000"/>
          <w:sz w:val="24"/>
        </w:rPr>
      </w:pPr>
      <w:r>
        <w:rPr>
          <w:rFonts w:hint="eastAsia" w:ascii="仿宋_GB2312" w:hAnsi="仿宋_GB2312" w:eastAsia="仿宋_GB2312" w:cs="仿宋_GB2312"/>
          <w:color w:val="000000"/>
          <w:sz w:val="24"/>
        </w:rPr>
        <w:t>附件5：</w:t>
      </w:r>
    </w:p>
    <w:p>
      <w:pPr>
        <w:spacing w:line="580" w:lineRule="exact"/>
        <w:jc w:val="center"/>
        <w:rPr>
          <w:rFonts w:ascii="仿宋_GB2312" w:hAnsi="仿宋_GB2312" w:eastAsia="仿宋_GB2312" w:cs="仿宋_GB2312"/>
          <w:b/>
          <w:bCs/>
          <w:sz w:val="40"/>
          <w:szCs w:val="48"/>
        </w:rPr>
      </w:pPr>
      <w:r>
        <w:rPr>
          <w:rFonts w:hint="eastAsia" w:ascii="仿宋_GB2312" w:hAnsi="仿宋_GB2312" w:eastAsia="仿宋_GB2312" w:cs="仿宋_GB2312"/>
          <w:b/>
          <w:bCs/>
          <w:sz w:val="40"/>
          <w:szCs w:val="48"/>
        </w:rPr>
        <w:t>隆尧县农业农村局</w:t>
      </w:r>
    </w:p>
    <w:p>
      <w:pPr>
        <w:spacing w:line="580" w:lineRule="exact"/>
        <w:jc w:val="center"/>
        <w:rPr>
          <w:rFonts w:ascii="仿宋_GB2312" w:hAnsi="仿宋_GB2312" w:eastAsia="仿宋_GB2312" w:cs="仿宋_GB2312"/>
          <w:b/>
          <w:bCs/>
          <w:sz w:val="40"/>
          <w:szCs w:val="48"/>
        </w:rPr>
      </w:pPr>
      <w:r>
        <w:rPr>
          <w:rFonts w:hint="eastAsia" w:ascii="仿宋_GB2312" w:hAnsi="仿宋_GB2312" w:eastAsia="仿宋_GB2312" w:cs="仿宋_GB2312"/>
          <w:b/>
          <w:bCs/>
          <w:sz w:val="40"/>
          <w:szCs w:val="48"/>
        </w:rPr>
        <w:t>2022年省级美丽乡村精品村</w:t>
      </w:r>
    </w:p>
    <w:p>
      <w:pPr>
        <w:spacing w:line="580" w:lineRule="exact"/>
        <w:jc w:val="center"/>
        <w:rPr>
          <w:rFonts w:ascii="仿宋_GB2312" w:hAnsi="仿宋_GB2312" w:eastAsia="仿宋_GB2312" w:cs="仿宋_GB2312"/>
          <w:b/>
          <w:bCs/>
          <w:sz w:val="40"/>
          <w:szCs w:val="48"/>
        </w:rPr>
      </w:pPr>
      <w:r>
        <w:rPr>
          <w:rFonts w:hint="eastAsia" w:ascii="仿宋_GB2312" w:hAnsi="仿宋_GB2312" w:eastAsia="仿宋_GB2312" w:cs="仿宋_GB2312"/>
          <w:b/>
          <w:bCs/>
          <w:sz w:val="40"/>
          <w:szCs w:val="48"/>
        </w:rPr>
        <w:t>示范奖补项目</w:t>
      </w:r>
    </w:p>
    <w:p>
      <w:pPr>
        <w:spacing w:line="580" w:lineRule="exact"/>
        <w:jc w:val="center"/>
        <w:rPr>
          <w:rFonts w:ascii="仿宋_GB2312" w:hAnsi="仿宋_GB2312" w:eastAsia="仿宋_GB2312" w:cs="仿宋_GB2312"/>
          <w:b/>
          <w:bCs/>
          <w:sz w:val="40"/>
          <w:szCs w:val="48"/>
        </w:rPr>
      </w:pPr>
      <w:r>
        <w:rPr>
          <w:rFonts w:hint="eastAsia" w:ascii="仿宋_GB2312" w:hAnsi="仿宋_GB2312" w:eastAsia="仿宋_GB2312" w:cs="仿宋_GB2312"/>
          <w:b/>
          <w:bCs/>
          <w:sz w:val="40"/>
          <w:szCs w:val="48"/>
        </w:rPr>
        <w:t>重点自评绩效报告</w:t>
      </w:r>
    </w:p>
    <w:p>
      <w:pPr>
        <w:rPr>
          <w:rFonts w:ascii="仿宋_GB2312" w:hAnsi="仿宋_GB2312" w:eastAsia="仿宋_GB2312" w:cs="仿宋_GB2312"/>
        </w:rPr>
      </w:pPr>
    </w:p>
    <w:p>
      <w:pPr>
        <w:rPr>
          <w:rFonts w:ascii="仿宋_GB2312" w:hAnsi="仿宋_GB2312" w:eastAsia="仿宋_GB2312" w:cs="仿宋_GB2312"/>
        </w:rPr>
      </w:pPr>
    </w:p>
    <w:p>
      <w:pPr>
        <w:rPr>
          <w:rFonts w:ascii="仿宋_GB2312" w:hAnsi="仿宋_GB2312" w:eastAsia="仿宋_GB2312" w:cs="仿宋_GB2312"/>
        </w:rPr>
      </w:pPr>
    </w:p>
    <w:p>
      <w:pPr>
        <w:rPr>
          <w:rFonts w:ascii="仿宋_GB2312" w:hAnsi="仿宋_GB2312" w:eastAsia="仿宋_GB2312" w:cs="仿宋_GB2312"/>
        </w:rPr>
      </w:pPr>
    </w:p>
    <w:p>
      <w:pPr>
        <w:rPr>
          <w:rFonts w:ascii="仿宋_GB2312" w:hAnsi="仿宋_GB2312" w:eastAsia="仿宋_GB2312" w:cs="仿宋_GB2312"/>
        </w:rPr>
      </w:pPr>
    </w:p>
    <w:p>
      <w:pPr>
        <w:rPr>
          <w:rFonts w:ascii="仿宋_GB2312" w:hAnsi="仿宋_GB2312" w:eastAsia="仿宋_GB2312" w:cs="仿宋_GB2312"/>
        </w:rPr>
      </w:pPr>
    </w:p>
    <w:p>
      <w:pPr>
        <w:rPr>
          <w:rFonts w:ascii="仿宋_GB2312" w:hAnsi="仿宋_GB2312" w:eastAsia="仿宋_GB2312" w:cs="仿宋_GB2312"/>
        </w:rPr>
      </w:pPr>
    </w:p>
    <w:p>
      <w:pPr>
        <w:rPr>
          <w:rFonts w:ascii="仿宋_GB2312" w:hAnsi="仿宋_GB2312" w:eastAsia="仿宋_GB2312" w:cs="仿宋_GB2312"/>
        </w:rPr>
      </w:pPr>
    </w:p>
    <w:p>
      <w:pPr>
        <w:spacing w:line="760" w:lineRule="exact"/>
        <w:rPr>
          <w:rFonts w:hint="eastAsia" w:ascii="仿宋_GB2312" w:hAnsi="仿宋_GB2312" w:eastAsia="仿宋_GB2312" w:cs="仿宋_GB2312"/>
          <w:spacing w:val="11"/>
          <w:sz w:val="28"/>
          <w:szCs w:val="28"/>
        </w:rPr>
      </w:pPr>
    </w:p>
    <w:p>
      <w:pPr>
        <w:spacing w:line="760" w:lineRule="exact"/>
        <w:rPr>
          <w:rFonts w:hint="eastAsia" w:ascii="仿宋_GB2312" w:hAnsi="仿宋_GB2312" w:eastAsia="仿宋_GB2312" w:cs="仿宋_GB2312"/>
          <w:spacing w:val="11"/>
          <w:sz w:val="28"/>
          <w:szCs w:val="28"/>
        </w:rPr>
      </w:pPr>
    </w:p>
    <w:p>
      <w:pPr>
        <w:spacing w:line="760" w:lineRule="exact"/>
        <w:rPr>
          <w:rFonts w:hint="eastAsia" w:ascii="仿宋_GB2312" w:hAnsi="仿宋_GB2312" w:eastAsia="仿宋_GB2312" w:cs="仿宋_GB2312"/>
          <w:spacing w:val="11"/>
          <w:sz w:val="28"/>
          <w:szCs w:val="28"/>
        </w:rPr>
      </w:pPr>
    </w:p>
    <w:p>
      <w:pPr>
        <w:spacing w:line="760" w:lineRule="exact"/>
        <w:rPr>
          <w:rFonts w:ascii="仿宋_GB2312" w:hAnsi="仿宋_GB2312" w:eastAsia="仿宋_GB2312" w:cs="仿宋_GB2312"/>
          <w:spacing w:val="-20"/>
          <w:sz w:val="28"/>
          <w:szCs w:val="28"/>
          <w:u w:val="single"/>
        </w:rPr>
      </w:pPr>
      <w:bookmarkStart w:id="100" w:name="_GoBack"/>
      <w:bookmarkEnd w:id="100"/>
      <w:r>
        <w:rPr>
          <w:rFonts w:hint="eastAsia" w:ascii="仿宋_GB2312" w:hAnsi="仿宋_GB2312" w:eastAsia="仿宋_GB2312" w:cs="仿宋_GB2312"/>
          <w:spacing w:val="11"/>
          <w:sz w:val="28"/>
          <w:szCs w:val="28"/>
        </w:rPr>
        <w:t>项 目 名 称：</w:t>
      </w:r>
      <w:r>
        <w:rPr>
          <w:rFonts w:hint="eastAsia" w:ascii="仿宋_GB2312" w:hAnsi="仿宋_GB2312" w:eastAsia="仿宋_GB2312" w:cs="仿宋_GB2312"/>
          <w:sz w:val="28"/>
          <w:szCs w:val="28"/>
        </w:rPr>
        <w:t xml:space="preserve"> 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</w:rPr>
        <w:t xml:space="preserve">隆尧县2022年省级美丽乡村精品村示范奖补项目 </w:t>
      </w:r>
    </w:p>
    <w:p>
      <w:pPr>
        <w:spacing w:line="760" w:lineRule="exact"/>
        <w:rPr>
          <w:rFonts w:ascii="仿宋_GB2312" w:hAnsi="仿宋_GB2312" w:eastAsia="仿宋_GB2312" w:cs="仿宋_GB2312"/>
          <w:sz w:val="28"/>
          <w:szCs w:val="28"/>
          <w:u w:val="single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项目实施单位：</w:t>
      </w:r>
      <w:r>
        <w:rPr>
          <w:rFonts w:hint="eastAsia" w:ascii="仿宋_GB2312" w:hAnsi="仿宋_GB2312" w:eastAsia="仿宋_GB2312" w:cs="仿宋_GB2312"/>
          <w:spacing w:val="-20"/>
          <w:sz w:val="28"/>
          <w:szCs w:val="28"/>
        </w:rPr>
        <w:t xml:space="preserve">  </w:t>
      </w:r>
      <w:r>
        <w:rPr>
          <w:rFonts w:hint="eastAsia" w:ascii="仿宋_GB2312" w:hAnsi="仿宋_GB2312" w:eastAsia="仿宋_GB2312" w:cs="仿宋_GB2312"/>
          <w:spacing w:val="-20"/>
          <w:sz w:val="28"/>
          <w:szCs w:val="28"/>
          <w:u w:val="single"/>
        </w:rPr>
        <w:t xml:space="preserve">             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</w:rPr>
        <w:t>隆尧县农业农村局</w:t>
      </w:r>
      <w:r>
        <w:rPr>
          <w:rFonts w:hint="eastAsia" w:ascii="仿宋_GB2312" w:hAnsi="仿宋_GB2312" w:eastAsia="仿宋_GB2312" w:cs="仿宋_GB2312"/>
          <w:spacing w:val="-20"/>
          <w:sz w:val="28"/>
          <w:szCs w:val="28"/>
          <w:u w:val="single"/>
        </w:rPr>
        <w:t xml:space="preserve"> 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</w:rPr>
        <w:t xml:space="preserve">  </w:t>
      </w:r>
    </w:p>
    <w:p>
      <w:pPr>
        <w:spacing w:line="760" w:lineRule="exact"/>
        <w:rPr>
          <w:rFonts w:ascii="仿宋_GB2312" w:hAnsi="仿宋_GB2312" w:eastAsia="仿宋_GB2312" w:cs="仿宋_GB2312"/>
          <w:sz w:val="28"/>
          <w:szCs w:val="28"/>
          <w:u w:val="single"/>
        </w:rPr>
      </w:pPr>
      <w:r>
        <w:rPr>
          <w:rFonts w:hint="eastAsia" w:ascii="仿宋_GB2312" w:hAnsi="仿宋_GB2312" w:eastAsia="仿宋_GB2312" w:cs="仿宋_GB2312"/>
          <w:spacing w:val="28"/>
          <w:sz w:val="28"/>
          <w:szCs w:val="28"/>
        </w:rPr>
        <w:t>项目总金额：</w:t>
      </w:r>
      <w:r>
        <w:rPr>
          <w:rFonts w:hint="eastAsia" w:ascii="仿宋_GB2312" w:hAnsi="仿宋_GB2312" w:eastAsia="仿宋_GB2312" w:cs="仿宋_GB2312"/>
          <w:sz w:val="28"/>
          <w:szCs w:val="28"/>
        </w:rPr>
        <w:t xml:space="preserve"> 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</w:rPr>
        <w:t xml:space="preserve">       200万元               </w:t>
      </w:r>
    </w:p>
    <w:p>
      <w:pPr>
        <w:spacing w:line="760" w:lineRule="exact"/>
        <w:rPr>
          <w:rFonts w:ascii="仿宋_GB2312" w:hAnsi="仿宋_GB2312" w:eastAsia="仿宋_GB2312" w:cs="仿宋_GB2312"/>
          <w:sz w:val="28"/>
          <w:szCs w:val="28"/>
          <w:u w:val="single"/>
        </w:rPr>
      </w:pPr>
      <w:r>
        <w:rPr>
          <w:rFonts w:hint="eastAsia" w:ascii="仿宋_GB2312" w:hAnsi="仿宋_GB2312" w:eastAsia="仿宋_GB2312" w:cs="仿宋_GB2312"/>
          <w:spacing w:val="11"/>
          <w:sz w:val="28"/>
          <w:szCs w:val="28"/>
        </w:rPr>
        <w:t>评 价 年 度：</w:t>
      </w:r>
      <w:r>
        <w:rPr>
          <w:rFonts w:hint="eastAsia" w:ascii="仿宋_GB2312" w:hAnsi="仿宋_GB2312" w:eastAsia="仿宋_GB2312" w:cs="仿宋_GB2312"/>
          <w:sz w:val="28"/>
          <w:szCs w:val="28"/>
        </w:rPr>
        <w:t xml:space="preserve"> 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</w:rPr>
        <w:t xml:space="preserve">           2022年度            </w:t>
      </w:r>
    </w:p>
    <w:p>
      <w:pPr>
        <w:spacing w:line="760" w:lineRule="exact"/>
        <w:rPr>
          <w:rFonts w:ascii="仿宋_GB2312" w:hAnsi="仿宋_GB2312" w:eastAsia="仿宋_GB2312" w:cs="仿宋_GB2312"/>
          <w:sz w:val="28"/>
          <w:szCs w:val="28"/>
          <w:u w:val="single"/>
        </w:rPr>
      </w:pPr>
      <w:r>
        <w:rPr>
          <w:rFonts w:hint="eastAsia" w:ascii="仿宋_GB2312" w:hAnsi="仿宋_GB2312" w:eastAsia="仿宋_GB2312" w:cs="仿宋_GB2312"/>
          <w:spacing w:val="28"/>
          <w:sz w:val="28"/>
          <w:szCs w:val="28"/>
        </w:rPr>
        <w:t>评价组组长：</w:t>
      </w:r>
      <w:r>
        <w:rPr>
          <w:rFonts w:hint="eastAsia" w:ascii="仿宋_GB2312" w:hAnsi="仿宋_GB2312" w:eastAsia="仿宋_GB2312" w:cs="仿宋_GB2312"/>
          <w:sz w:val="28"/>
          <w:szCs w:val="28"/>
        </w:rPr>
        <w:t xml:space="preserve"> 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</w:rPr>
        <w:t xml:space="preserve">       李现国                </w:t>
      </w:r>
    </w:p>
    <w:p>
      <w:pPr>
        <w:spacing w:line="760" w:lineRule="exact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  <w:spacing w:val="28"/>
          <w:sz w:val="28"/>
          <w:szCs w:val="28"/>
        </w:rPr>
        <w:t>评价组成员：</w:t>
      </w:r>
      <w:r>
        <w:rPr>
          <w:rFonts w:hint="eastAsia" w:ascii="仿宋_GB2312" w:hAnsi="仿宋_GB2312" w:eastAsia="仿宋_GB2312" w:cs="仿宋_GB2312"/>
          <w:sz w:val="28"/>
          <w:szCs w:val="28"/>
        </w:rPr>
        <w:t xml:space="preserve"> 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</w:rPr>
        <w:t xml:space="preserve"> 韩现华、李青                   </w:t>
      </w:r>
      <w:bookmarkStart w:id="0" w:name="_Toc16913"/>
      <w:bookmarkStart w:id="1" w:name="_Toc13153"/>
      <w:bookmarkStart w:id="2" w:name="_Toc18334"/>
      <w:bookmarkStart w:id="3" w:name="_Toc11301"/>
      <w:bookmarkStart w:id="4" w:name="_Toc6314"/>
      <w:bookmarkStart w:id="5" w:name="_Toc2245"/>
      <w:bookmarkStart w:id="6" w:name="_Toc23411"/>
      <w:bookmarkStart w:id="7" w:name="_Toc30335"/>
      <w:bookmarkStart w:id="8" w:name="_Toc4013"/>
      <w:bookmarkStart w:id="9" w:name="_Toc9525"/>
    </w:p>
    <w:p>
      <w:pPr>
        <w:spacing w:line="760" w:lineRule="exact"/>
        <w:ind w:firstLine="1124" w:firstLineChars="350"/>
        <w:rPr>
          <w:rFonts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40"/>
        </w:rPr>
        <w:t>一、项目概况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>
      <w:pPr>
        <w:spacing w:line="580" w:lineRule="exact"/>
        <w:ind w:firstLine="640" w:firstLineChars="200"/>
        <w:outlineLvl w:val="1"/>
        <w:rPr>
          <w:rFonts w:ascii="仿宋_GB2312" w:hAnsi="仿宋_GB2312" w:eastAsia="仿宋_GB2312" w:cs="仿宋_GB2312"/>
          <w:sz w:val="32"/>
          <w:szCs w:val="40"/>
        </w:rPr>
      </w:pPr>
      <w:bookmarkStart w:id="10" w:name="_Toc937"/>
      <w:bookmarkStart w:id="11" w:name="_Toc19370"/>
      <w:bookmarkStart w:id="12" w:name="_Toc30895"/>
      <w:bookmarkStart w:id="13" w:name="_Toc22285"/>
      <w:bookmarkStart w:id="14" w:name="_Toc22453"/>
      <w:bookmarkStart w:id="15" w:name="_Toc32742"/>
      <w:bookmarkStart w:id="16" w:name="_Toc23957"/>
      <w:bookmarkStart w:id="17" w:name="_Toc19963"/>
      <w:bookmarkStart w:id="18" w:name="_Toc24784"/>
      <w:bookmarkStart w:id="19" w:name="_Toc15831"/>
      <w:r>
        <w:rPr>
          <w:rFonts w:hint="eastAsia" w:ascii="仿宋_GB2312" w:hAnsi="仿宋_GB2312" w:eastAsia="仿宋_GB2312" w:cs="仿宋_GB2312"/>
          <w:sz w:val="32"/>
          <w:szCs w:val="40"/>
        </w:rPr>
        <w:t>（一）项目单位基本情况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>
      <w:pPr>
        <w:spacing w:line="580" w:lineRule="exact"/>
        <w:ind w:firstLine="640" w:firstLineChars="200"/>
        <w:outlineLvl w:val="1"/>
        <w:rPr>
          <w:rFonts w:ascii="仿宋_GB2312" w:hAnsi="仿宋_GB2312" w:eastAsia="仿宋_GB2312" w:cs="仿宋_GB2312"/>
          <w:sz w:val="32"/>
          <w:szCs w:val="40"/>
        </w:rPr>
      </w:pPr>
      <w:bookmarkStart w:id="20" w:name="_Toc15167"/>
      <w:bookmarkStart w:id="21" w:name="_Toc29308"/>
      <w:bookmarkStart w:id="22" w:name="_Toc8843"/>
      <w:r>
        <w:rPr>
          <w:rFonts w:hint="eastAsia" w:ascii="仿宋_GB2312" w:hAnsi="仿宋_GB2312" w:eastAsia="仿宋_GB2312" w:cs="仿宋_GB2312"/>
          <w:sz w:val="32"/>
          <w:szCs w:val="40"/>
        </w:rPr>
        <w:t>项目单位为隆尧县农业农村局，地址隆尧县德仁路4号。行政事业单位。承担2022年省级美丽乡村精品村示范奖补项目。</w:t>
      </w:r>
    </w:p>
    <w:p>
      <w:pPr>
        <w:spacing w:line="580" w:lineRule="exact"/>
        <w:ind w:firstLine="640" w:firstLineChars="200"/>
        <w:outlineLvl w:val="1"/>
        <w:rPr>
          <w:rFonts w:ascii="仿宋_GB2312" w:hAnsi="仿宋_GB2312" w:eastAsia="仿宋_GB2312" w:cs="仿宋_GB2312"/>
          <w:sz w:val="32"/>
          <w:szCs w:val="40"/>
        </w:rPr>
      </w:pPr>
      <w:r>
        <w:rPr>
          <w:rFonts w:hint="eastAsia" w:ascii="仿宋_GB2312" w:hAnsi="仿宋_GB2312" w:eastAsia="仿宋_GB2312" w:cs="仿宋_GB2312"/>
          <w:sz w:val="32"/>
          <w:szCs w:val="40"/>
        </w:rPr>
        <w:t>（二）项目基本情况</w:t>
      </w:r>
      <w:bookmarkEnd w:id="20"/>
      <w:bookmarkEnd w:id="21"/>
      <w:bookmarkEnd w:id="22"/>
    </w:p>
    <w:p>
      <w:pPr>
        <w:spacing w:line="580" w:lineRule="exact"/>
        <w:ind w:firstLine="640" w:firstLineChars="200"/>
        <w:outlineLvl w:val="1"/>
        <w:rPr>
          <w:rFonts w:ascii="仿宋_GB2312" w:hAnsi="仿宋_GB2312" w:eastAsia="仿宋_GB2312" w:cs="仿宋_GB2312"/>
          <w:sz w:val="32"/>
          <w:szCs w:val="40"/>
        </w:rPr>
      </w:pPr>
      <w:bookmarkStart w:id="23" w:name="_Toc27552"/>
      <w:bookmarkStart w:id="24" w:name="_Toc24191"/>
      <w:bookmarkStart w:id="25" w:name="_Toc32656"/>
      <w:bookmarkStart w:id="26" w:name="_Toc26594"/>
      <w:r>
        <w:rPr>
          <w:rFonts w:hint="eastAsia" w:ascii="仿宋_GB2312" w:hAnsi="仿宋_GB2312" w:eastAsia="仿宋_GB2312" w:cs="仿宋_GB2312"/>
          <w:sz w:val="32"/>
          <w:szCs w:val="40"/>
        </w:rPr>
        <w:t>本项目资金200万元，具体项目1个，工程量为:</w:t>
      </w:r>
    </w:p>
    <w:p>
      <w:pPr>
        <w:spacing w:line="580" w:lineRule="exact"/>
        <w:ind w:firstLine="640" w:firstLineChars="200"/>
        <w:outlineLvl w:val="1"/>
        <w:rPr>
          <w:rFonts w:ascii="仿宋_GB2312" w:hAnsi="仿宋_GB2312" w:eastAsia="仿宋_GB2312" w:cs="仿宋_GB2312"/>
          <w:sz w:val="32"/>
          <w:szCs w:val="40"/>
        </w:rPr>
      </w:pPr>
      <w:r>
        <w:rPr>
          <w:rFonts w:hint="eastAsia" w:ascii="仿宋_GB2312" w:hAnsi="仿宋_GB2312" w:eastAsia="仿宋_GB2312" w:cs="仿宋_GB2312"/>
          <w:sz w:val="32"/>
          <w:szCs w:val="40"/>
        </w:rPr>
        <w:t>1.东范村</w:t>
      </w:r>
      <w:r>
        <w:rPr>
          <w:rFonts w:ascii="仿宋_GB2312" w:hAnsi="仿宋_GB2312" w:eastAsia="仿宋_GB2312" w:cs="仿宋_GB2312"/>
          <w:sz w:val="32"/>
          <w:szCs w:val="40"/>
        </w:rPr>
        <w:t>翻建柏油路进村道路470米(合4700平方米)</w:t>
      </w:r>
      <w:r>
        <w:rPr>
          <w:rFonts w:hint="eastAsia" w:ascii="仿宋_GB2312" w:hAnsi="仿宋_GB2312" w:eastAsia="仿宋_GB2312" w:cs="仿宋_GB2312"/>
          <w:sz w:val="32"/>
          <w:szCs w:val="40"/>
        </w:rPr>
        <w:t>，</w:t>
      </w:r>
      <w:r>
        <w:rPr>
          <w:rFonts w:ascii="仿宋_GB2312" w:hAnsi="仿宋_GB2312" w:eastAsia="仿宋_GB2312" w:cs="仿宋_GB2312"/>
          <w:sz w:val="32"/>
          <w:szCs w:val="40"/>
        </w:rPr>
        <w:t>铺设路沿石900米，铺设便道砖1260平方米；更新进村路绿化带长度900米计3600平方米。</w:t>
      </w:r>
    </w:p>
    <w:p>
      <w:pPr>
        <w:spacing w:line="580" w:lineRule="exact"/>
        <w:ind w:firstLine="640" w:firstLineChars="200"/>
        <w:outlineLvl w:val="1"/>
        <w:rPr>
          <w:rFonts w:ascii="仿宋_GB2312" w:hAnsi="仿宋_GB2312" w:eastAsia="仿宋_GB2312" w:cs="仿宋_GB2312"/>
          <w:sz w:val="32"/>
          <w:szCs w:val="40"/>
        </w:rPr>
      </w:pPr>
      <w:r>
        <w:rPr>
          <w:rFonts w:hint="eastAsia" w:ascii="仿宋_GB2312" w:hAnsi="仿宋_GB2312" w:eastAsia="仿宋_GB2312" w:cs="仿宋_GB2312"/>
          <w:sz w:val="32"/>
          <w:szCs w:val="40"/>
        </w:rPr>
        <w:t>2.西良前村</w:t>
      </w:r>
      <w:r>
        <w:rPr>
          <w:rFonts w:ascii="仿宋_GB2312" w:hAnsi="仿宋_GB2312" w:eastAsia="仿宋_GB2312" w:cs="仿宋_GB2312"/>
          <w:sz w:val="32"/>
          <w:szCs w:val="40"/>
        </w:rPr>
        <w:t>村内道路硬化7000平</w:t>
      </w:r>
      <w:r>
        <w:rPr>
          <w:rFonts w:hint="eastAsia" w:ascii="仿宋_GB2312" w:hAnsi="仿宋_GB2312" w:eastAsia="仿宋_GB2312" w:cs="仿宋_GB2312"/>
          <w:sz w:val="32"/>
          <w:szCs w:val="40"/>
        </w:rPr>
        <w:t>方</w:t>
      </w:r>
      <w:r>
        <w:rPr>
          <w:rFonts w:ascii="仿宋_GB2312" w:hAnsi="仿宋_GB2312" w:eastAsia="仿宋_GB2312" w:cs="仿宋_GB2312"/>
          <w:sz w:val="32"/>
          <w:szCs w:val="40"/>
        </w:rPr>
        <w:t>米</w:t>
      </w:r>
      <w:r>
        <w:rPr>
          <w:rFonts w:hint="eastAsia" w:ascii="仿宋_GB2312" w:hAnsi="仿宋_GB2312" w:eastAsia="仿宋_GB2312" w:cs="仿宋_GB2312"/>
          <w:sz w:val="32"/>
          <w:szCs w:val="40"/>
        </w:rPr>
        <w:t>，</w:t>
      </w:r>
      <w:r>
        <w:rPr>
          <w:rFonts w:ascii="仿宋_GB2312" w:hAnsi="仿宋_GB2312" w:eastAsia="仿宋_GB2312" w:cs="仿宋_GB2312"/>
          <w:sz w:val="32"/>
          <w:szCs w:val="40"/>
        </w:rPr>
        <w:t>升级改造和新安装太阳能路灯160盏</w:t>
      </w:r>
      <w:r>
        <w:rPr>
          <w:rFonts w:hint="eastAsia" w:ascii="仿宋_GB2312" w:hAnsi="仿宋_GB2312" w:eastAsia="仿宋_GB2312" w:cs="仿宋_GB2312"/>
          <w:sz w:val="32"/>
          <w:szCs w:val="40"/>
        </w:rPr>
        <w:t>，</w:t>
      </w:r>
      <w:r>
        <w:rPr>
          <w:rFonts w:ascii="仿宋_GB2312" w:hAnsi="仿宋_GB2312" w:eastAsia="仿宋_GB2312" w:cs="仿宋_GB2312"/>
          <w:sz w:val="32"/>
          <w:szCs w:val="40"/>
        </w:rPr>
        <w:t>新建文化广场1500平方米。</w:t>
      </w:r>
    </w:p>
    <w:p>
      <w:pPr>
        <w:spacing w:line="580" w:lineRule="exact"/>
        <w:ind w:firstLine="640" w:firstLineChars="200"/>
        <w:outlineLvl w:val="1"/>
        <w:rPr>
          <w:rFonts w:ascii="仿宋_GB2312" w:hAnsi="仿宋_GB2312" w:eastAsia="仿宋_GB2312" w:cs="仿宋_GB2312"/>
          <w:sz w:val="32"/>
          <w:szCs w:val="40"/>
        </w:rPr>
      </w:pPr>
      <w:r>
        <w:rPr>
          <w:rFonts w:hint="eastAsia" w:ascii="仿宋_GB2312" w:hAnsi="仿宋_GB2312" w:eastAsia="仿宋_GB2312" w:cs="仿宋_GB2312"/>
          <w:sz w:val="32"/>
          <w:szCs w:val="40"/>
        </w:rPr>
        <w:t>资金未支付到位。</w:t>
      </w:r>
    </w:p>
    <w:bookmarkEnd w:id="23"/>
    <w:bookmarkEnd w:id="24"/>
    <w:bookmarkEnd w:id="25"/>
    <w:bookmarkEnd w:id="26"/>
    <w:p>
      <w:pPr>
        <w:spacing w:line="580" w:lineRule="exact"/>
        <w:ind w:firstLine="643" w:firstLineChars="200"/>
        <w:outlineLvl w:val="0"/>
        <w:rPr>
          <w:rFonts w:ascii="仿宋_GB2312" w:hAnsi="仿宋_GB2312" w:eastAsia="仿宋_GB2312" w:cs="仿宋_GB2312"/>
          <w:b/>
          <w:bCs/>
          <w:sz w:val="32"/>
          <w:szCs w:val="40"/>
        </w:rPr>
      </w:pPr>
      <w:bookmarkStart w:id="27" w:name="_Toc2988"/>
      <w:bookmarkStart w:id="28" w:name="_Toc28908"/>
      <w:bookmarkStart w:id="29" w:name="_Toc17782"/>
      <w:bookmarkStart w:id="30" w:name="_Toc18992"/>
      <w:bookmarkStart w:id="31" w:name="_Toc12860"/>
      <w:bookmarkStart w:id="32" w:name="_Toc4859"/>
      <w:bookmarkStart w:id="33" w:name="_Toc14644"/>
      <w:bookmarkStart w:id="34" w:name="_Toc26109"/>
      <w:bookmarkStart w:id="35" w:name="_Toc6781"/>
      <w:bookmarkStart w:id="36" w:name="_Toc7839"/>
      <w:r>
        <w:rPr>
          <w:rFonts w:hint="eastAsia" w:ascii="仿宋_GB2312" w:hAnsi="仿宋_GB2312" w:eastAsia="仿宋_GB2312" w:cs="仿宋_GB2312"/>
          <w:b/>
          <w:bCs/>
          <w:sz w:val="32"/>
          <w:szCs w:val="40"/>
        </w:rPr>
        <w:t>二、项目实施情况</w:t>
      </w:r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</w:p>
    <w:p>
      <w:pPr>
        <w:spacing w:line="580" w:lineRule="exact"/>
        <w:ind w:firstLine="640" w:firstLineChars="200"/>
        <w:outlineLvl w:val="1"/>
        <w:rPr>
          <w:rFonts w:ascii="仿宋_GB2312" w:hAnsi="仿宋_GB2312" w:eastAsia="仿宋_GB2312" w:cs="仿宋_GB2312"/>
          <w:sz w:val="32"/>
          <w:szCs w:val="40"/>
        </w:rPr>
      </w:pPr>
      <w:r>
        <w:rPr>
          <w:rFonts w:hint="eastAsia" w:ascii="仿宋_GB2312" w:hAnsi="仿宋_GB2312" w:eastAsia="仿宋_GB2312" w:cs="仿宋_GB2312"/>
          <w:sz w:val="32"/>
          <w:szCs w:val="40"/>
        </w:rPr>
        <w:t>根据河北省农村人居环境整治提升工作领导小组办公室《关于印发&lt;2022年省级乡村振兴（农村人居环境整治）专项资金项目实施方案&gt;的通知》（冀农居办[2022]8号）精神，安排我县2022年省级美丽乡村精品村示范奖补项目资金省级投资200万元。我县根据省级总体要求，结合我县实际，制定完善了县级项目实施方案。县级实施方案要求，本项目</w:t>
      </w:r>
      <w:r>
        <w:rPr>
          <w:rFonts w:ascii="仿宋_GB2312" w:hAnsi="仿宋_GB2312" w:eastAsia="仿宋_GB2312" w:cs="仿宋_GB2312"/>
          <w:sz w:val="32"/>
          <w:szCs w:val="40"/>
        </w:rPr>
        <w:t>9月底前完成项目施工</w:t>
      </w:r>
      <w:r>
        <w:rPr>
          <w:rFonts w:hint="eastAsia" w:ascii="仿宋_GB2312" w:hAnsi="仿宋_GB2312" w:eastAsia="仿宋_GB2312" w:cs="仿宋_GB2312"/>
          <w:sz w:val="32"/>
          <w:szCs w:val="40"/>
        </w:rPr>
        <w:t>，</w:t>
      </w:r>
      <w:r>
        <w:rPr>
          <w:rFonts w:ascii="仿宋_GB2312" w:hAnsi="仿宋_GB2312" w:eastAsia="仿宋_GB2312" w:cs="仿宋_GB2312"/>
          <w:sz w:val="32"/>
          <w:szCs w:val="40"/>
        </w:rPr>
        <w:t>10月底完成验收</w:t>
      </w:r>
      <w:r>
        <w:rPr>
          <w:rFonts w:hint="eastAsia" w:ascii="仿宋_GB2312" w:hAnsi="仿宋_GB2312" w:eastAsia="仿宋_GB2312" w:cs="仿宋_GB2312"/>
          <w:sz w:val="32"/>
          <w:szCs w:val="40"/>
        </w:rPr>
        <w:t>，12月底前完成资金拨付、资产移交等后续工作</w:t>
      </w:r>
      <w:r>
        <w:rPr>
          <w:rFonts w:ascii="仿宋_GB2312" w:hAnsi="仿宋_GB2312" w:eastAsia="仿宋_GB2312" w:cs="仿宋_GB2312"/>
          <w:sz w:val="32"/>
          <w:szCs w:val="40"/>
        </w:rPr>
        <w:t>。</w:t>
      </w:r>
      <w:r>
        <w:rPr>
          <w:rFonts w:hint="eastAsia" w:ascii="仿宋_GB2312" w:hAnsi="仿宋_GB2312" w:eastAsia="仿宋_GB2312" w:cs="仿宋_GB2312"/>
          <w:sz w:val="32"/>
          <w:szCs w:val="40"/>
        </w:rPr>
        <w:t>该项目正在进行中，</w:t>
      </w:r>
    </w:p>
    <w:p>
      <w:pPr>
        <w:spacing w:line="580" w:lineRule="exact"/>
        <w:ind w:firstLine="643" w:firstLineChars="200"/>
        <w:outlineLvl w:val="0"/>
        <w:rPr>
          <w:rFonts w:ascii="仿宋_GB2312" w:hAnsi="仿宋_GB2312" w:eastAsia="仿宋_GB2312" w:cs="仿宋_GB2312"/>
          <w:b/>
          <w:bCs/>
          <w:sz w:val="32"/>
          <w:szCs w:val="40"/>
        </w:rPr>
      </w:pPr>
      <w:bookmarkStart w:id="37" w:name="_Toc10651"/>
      <w:bookmarkStart w:id="38" w:name="_Toc5317"/>
      <w:bookmarkStart w:id="39" w:name="_Toc21501"/>
      <w:bookmarkStart w:id="40" w:name="_Toc6451"/>
      <w:bookmarkStart w:id="41" w:name="_Toc12150"/>
      <w:bookmarkStart w:id="42" w:name="_Toc20904"/>
      <w:bookmarkStart w:id="43" w:name="_Toc29800"/>
      <w:bookmarkStart w:id="44" w:name="_Toc5215"/>
      <w:bookmarkStart w:id="45" w:name="_Toc18915"/>
      <w:bookmarkStart w:id="46" w:name="_Toc26855"/>
      <w:r>
        <w:rPr>
          <w:rFonts w:hint="eastAsia" w:ascii="仿宋_GB2312" w:hAnsi="仿宋_GB2312" w:eastAsia="仿宋_GB2312" w:cs="仿宋_GB2312"/>
          <w:b/>
          <w:bCs/>
          <w:sz w:val="32"/>
          <w:szCs w:val="40"/>
        </w:rPr>
        <w:t>三、绩效评价工作情况</w:t>
      </w:r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</w:p>
    <w:p>
      <w:pPr>
        <w:spacing w:line="580" w:lineRule="exact"/>
        <w:ind w:firstLine="640" w:firstLineChars="200"/>
        <w:outlineLvl w:val="1"/>
        <w:rPr>
          <w:rFonts w:ascii="仿宋_GB2312" w:hAnsi="仿宋_GB2312" w:eastAsia="仿宋_GB2312" w:cs="仿宋_GB2312"/>
          <w:sz w:val="32"/>
          <w:szCs w:val="40"/>
        </w:rPr>
      </w:pPr>
      <w:bookmarkStart w:id="47" w:name="_Toc22771"/>
      <w:bookmarkStart w:id="48" w:name="_Toc14742"/>
      <w:bookmarkStart w:id="49" w:name="_Toc7570"/>
      <w:bookmarkStart w:id="50" w:name="_Toc23608"/>
      <w:bookmarkStart w:id="51" w:name="_Toc17355"/>
      <w:bookmarkStart w:id="52" w:name="_Toc8077"/>
      <w:bookmarkStart w:id="53" w:name="_Toc15730"/>
      <w:bookmarkStart w:id="54" w:name="_Toc4056"/>
      <w:bookmarkStart w:id="55" w:name="_Toc5105"/>
      <w:bookmarkStart w:id="56" w:name="_Toc25600"/>
      <w:r>
        <w:rPr>
          <w:rFonts w:hint="eastAsia" w:ascii="仿宋_GB2312" w:hAnsi="仿宋_GB2312" w:eastAsia="仿宋_GB2312" w:cs="仿宋_GB2312"/>
          <w:sz w:val="32"/>
          <w:szCs w:val="40"/>
        </w:rPr>
        <w:t>（一）评价目的</w:t>
      </w:r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</w:p>
    <w:p>
      <w:pPr>
        <w:pStyle w:val="2"/>
        <w:ind w:firstLine="640"/>
        <w:rPr>
          <w:rFonts w:ascii="仿宋_GB2312" w:hAnsi="仿宋_GB2312" w:eastAsia="仿宋_GB2312" w:cs="仿宋_GB2312"/>
          <w:sz w:val="32"/>
          <w:szCs w:val="40"/>
        </w:rPr>
      </w:pPr>
      <w:r>
        <w:rPr>
          <w:rFonts w:hint="eastAsia" w:ascii="仿宋_GB2312" w:hAnsi="仿宋_GB2312" w:eastAsia="仿宋_GB2312" w:cs="仿宋_GB2312"/>
          <w:sz w:val="32"/>
          <w:szCs w:val="40"/>
        </w:rPr>
        <w:t>通过绩效自评结果对比倒查的年初绩效目标设定质量情况，全面总结绩效目标设定是否清晰准确，绩效指标是否全面完整、科学合理，绩效标准是否恰当适宜、易于评价，深入分析原因，逐项查找差距。</w:t>
      </w:r>
    </w:p>
    <w:p>
      <w:pPr>
        <w:spacing w:line="580" w:lineRule="exact"/>
        <w:ind w:firstLine="640" w:firstLineChars="200"/>
        <w:outlineLvl w:val="1"/>
        <w:rPr>
          <w:rFonts w:ascii="仿宋_GB2312" w:hAnsi="仿宋_GB2312" w:eastAsia="仿宋_GB2312" w:cs="仿宋_GB2312"/>
          <w:sz w:val="32"/>
          <w:szCs w:val="40"/>
        </w:rPr>
      </w:pPr>
      <w:bookmarkStart w:id="57" w:name="_Toc22727"/>
      <w:bookmarkStart w:id="58" w:name="_Toc3910"/>
      <w:bookmarkStart w:id="59" w:name="_Toc8288"/>
      <w:bookmarkStart w:id="60" w:name="_Toc30351"/>
      <w:bookmarkStart w:id="61" w:name="_Toc27346"/>
      <w:bookmarkStart w:id="62" w:name="_Toc16121"/>
      <w:bookmarkStart w:id="63" w:name="_Toc18502"/>
      <w:bookmarkStart w:id="64" w:name="_Toc27199"/>
      <w:bookmarkStart w:id="65" w:name="_Toc16971"/>
      <w:bookmarkStart w:id="66" w:name="_Toc25746"/>
      <w:r>
        <w:rPr>
          <w:rFonts w:hint="eastAsia" w:ascii="仿宋_GB2312" w:hAnsi="仿宋_GB2312" w:eastAsia="仿宋_GB2312" w:cs="仿宋_GB2312"/>
          <w:sz w:val="32"/>
          <w:szCs w:val="40"/>
        </w:rPr>
        <w:t>（二）评价指标</w:t>
      </w:r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</w:p>
    <w:p>
      <w:pPr>
        <w:pStyle w:val="7"/>
        <w:ind w:firstLine="640"/>
        <w:rPr>
          <w:rFonts w:ascii="仿宋_GB2312" w:hAnsi="仿宋_GB2312" w:eastAsia="仿宋_GB2312" w:cs="仿宋_GB2312"/>
          <w:color w:val="auto"/>
          <w:sz w:val="32"/>
          <w:szCs w:val="40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40"/>
        </w:rPr>
        <w:t>评价指标。绩效评价指标共 100 分。具体为:“工作活动”设置 20分，工作活动”管理 20分，“工作活动”产出50分，“工作活动”效果10分。</w:t>
      </w:r>
    </w:p>
    <w:p>
      <w:pPr>
        <w:spacing w:line="580" w:lineRule="exact"/>
        <w:ind w:firstLine="640" w:firstLineChars="200"/>
        <w:outlineLvl w:val="1"/>
        <w:rPr>
          <w:rFonts w:ascii="仿宋_GB2312" w:hAnsi="仿宋_GB2312" w:eastAsia="仿宋_GB2312" w:cs="仿宋_GB2312"/>
          <w:sz w:val="32"/>
          <w:szCs w:val="40"/>
        </w:rPr>
      </w:pPr>
      <w:bookmarkStart w:id="67" w:name="_Toc23270"/>
      <w:bookmarkStart w:id="68" w:name="_Toc19068"/>
      <w:bookmarkStart w:id="69" w:name="_Toc11684"/>
      <w:bookmarkStart w:id="70" w:name="_Toc5304"/>
      <w:bookmarkStart w:id="71" w:name="_Toc19154"/>
      <w:bookmarkStart w:id="72" w:name="_Toc12572"/>
      <w:bookmarkStart w:id="73" w:name="_Toc25343"/>
      <w:bookmarkStart w:id="74" w:name="_Toc5587"/>
      <w:bookmarkStart w:id="75" w:name="_Toc32241"/>
      <w:bookmarkStart w:id="76" w:name="_Toc32306"/>
      <w:r>
        <w:rPr>
          <w:rFonts w:hint="eastAsia" w:ascii="仿宋_GB2312" w:hAnsi="仿宋_GB2312" w:eastAsia="仿宋_GB2312" w:cs="仿宋_GB2312"/>
          <w:sz w:val="32"/>
          <w:szCs w:val="40"/>
        </w:rPr>
        <w:t>（三）评价依据</w:t>
      </w:r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</w:p>
    <w:p>
      <w:pPr>
        <w:pStyle w:val="2"/>
        <w:ind w:firstLine="640"/>
        <w:rPr>
          <w:rFonts w:ascii="仿宋_GB2312" w:hAnsi="仿宋_GB2312" w:eastAsia="仿宋_GB2312" w:cs="仿宋_GB2312"/>
          <w:sz w:val="32"/>
          <w:szCs w:val="40"/>
        </w:rPr>
      </w:pPr>
      <w:r>
        <w:rPr>
          <w:rFonts w:hint="eastAsia" w:ascii="仿宋_GB2312" w:hAnsi="仿宋_GB2312" w:eastAsia="仿宋_GB2312" w:cs="仿宋_GB2312"/>
          <w:sz w:val="32"/>
          <w:szCs w:val="40"/>
        </w:rPr>
        <w:t>依据:《隆尧县2022年省级美丽乡村精品村示范奖补项目实施方案》</w:t>
      </w:r>
    </w:p>
    <w:p>
      <w:pPr>
        <w:spacing w:line="580" w:lineRule="exact"/>
        <w:ind w:firstLine="640" w:firstLineChars="200"/>
        <w:outlineLvl w:val="1"/>
        <w:rPr>
          <w:rFonts w:ascii="仿宋_GB2312" w:hAnsi="仿宋_GB2312" w:eastAsia="仿宋_GB2312" w:cs="仿宋_GB2312"/>
          <w:sz w:val="32"/>
          <w:szCs w:val="40"/>
        </w:rPr>
      </w:pPr>
      <w:bookmarkStart w:id="77" w:name="_Toc6747"/>
      <w:bookmarkStart w:id="78" w:name="_Toc12940"/>
      <w:bookmarkStart w:id="79" w:name="_Toc13179"/>
      <w:bookmarkStart w:id="80" w:name="_Toc24302"/>
      <w:bookmarkStart w:id="81" w:name="_Toc11243"/>
      <w:bookmarkStart w:id="82" w:name="_Toc1868"/>
      <w:bookmarkStart w:id="83" w:name="_Toc22038"/>
      <w:bookmarkStart w:id="84" w:name="_Toc9401"/>
      <w:bookmarkStart w:id="85" w:name="_Toc7393"/>
      <w:bookmarkStart w:id="86" w:name="_Toc26780"/>
      <w:r>
        <w:rPr>
          <w:rFonts w:hint="eastAsia" w:ascii="仿宋_GB2312" w:hAnsi="仿宋_GB2312" w:eastAsia="仿宋_GB2312" w:cs="仿宋_GB2312"/>
          <w:sz w:val="32"/>
          <w:szCs w:val="40"/>
        </w:rPr>
        <w:t>（四）评价的主要方法及等级设定</w:t>
      </w:r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</w:p>
    <w:p>
      <w:pPr>
        <w:pStyle w:val="2"/>
        <w:ind w:firstLine="640"/>
        <w:rPr>
          <w:rFonts w:ascii="仿宋_GB2312" w:hAnsi="仿宋_GB2312" w:eastAsia="仿宋_GB2312" w:cs="仿宋_GB2312"/>
          <w:sz w:val="32"/>
          <w:szCs w:val="40"/>
        </w:rPr>
      </w:pPr>
      <w:r>
        <w:rPr>
          <w:rFonts w:hint="eastAsia" w:ascii="仿宋_GB2312" w:hAnsi="仿宋_GB2312" w:eastAsia="仿宋_GB2312" w:cs="仿宋_GB2312"/>
          <w:sz w:val="32"/>
          <w:szCs w:val="40"/>
        </w:rPr>
        <w:t>绩效评价想、采取自评的方式，结果采取评分和评级相结合的方式，总分设置为 100 分，等级划分为四档:90(含)-100分为优、80(含)-90分为良、60(含)-80分为中、60分以下为差。</w:t>
      </w:r>
    </w:p>
    <w:p>
      <w:pPr>
        <w:spacing w:line="580" w:lineRule="exact"/>
        <w:ind w:firstLine="643" w:firstLineChars="200"/>
        <w:outlineLvl w:val="0"/>
        <w:rPr>
          <w:rFonts w:ascii="仿宋_GB2312" w:hAnsi="仿宋_GB2312" w:eastAsia="仿宋_GB2312" w:cs="仿宋_GB2312"/>
        </w:rPr>
      </w:pPr>
      <w:bookmarkStart w:id="87" w:name="_Toc30508"/>
      <w:bookmarkStart w:id="88" w:name="_Toc5623"/>
      <w:bookmarkStart w:id="89" w:name="_Toc10113"/>
      <w:bookmarkStart w:id="90" w:name="_Toc21014"/>
      <w:bookmarkStart w:id="91" w:name="_Toc18842"/>
      <w:bookmarkStart w:id="92" w:name="_Toc22222"/>
      <w:bookmarkStart w:id="93" w:name="_Toc17025"/>
      <w:bookmarkStart w:id="94" w:name="_Toc28621"/>
      <w:bookmarkStart w:id="95" w:name="_Toc6105"/>
      <w:bookmarkStart w:id="96" w:name="_Toc20748"/>
      <w:r>
        <w:rPr>
          <w:rFonts w:hint="eastAsia" w:ascii="仿宋_GB2312" w:hAnsi="仿宋_GB2312" w:eastAsia="仿宋_GB2312" w:cs="仿宋_GB2312"/>
          <w:b/>
          <w:bCs/>
          <w:sz w:val="32"/>
          <w:szCs w:val="40"/>
        </w:rPr>
        <w:t>四、绩效评价指标体系及得分情况</w:t>
      </w:r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</w:p>
    <w:tbl>
      <w:tblPr>
        <w:tblStyle w:val="8"/>
        <w:tblW w:w="8330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58"/>
        <w:gridCol w:w="674"/>
        <w:gridCol w:w="2083"/>
        <w:gridCol w:w="545"/>
        <w:gridCol w:w="3557"/>
        <w:gridCol w:w="513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0" w:hRule="atLeast"/>
        </w:trPr>
        <w:tc>
          <w:tcPr>
            <w:tcW w:w="8330" w:type="dxa"/>
            <w:gridSpan w:val="6"/>
            <w:tcBorders>
              <w:bottom w:val="single" w:color="auto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28"/>
                <w:szCs w:val="28"/>
              </w:rPr>
              <w:t>隆尧县2022年省级美丽乡村精品村示范奖补项目</w:t>
            </w:r>
          </w:p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b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28"/>
                <w:szCs w:val="28"/>
              </w:rPr>
              <w:t>财政重点绩效评价指标表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5" w:hRule="atLeast"/>
        </w:trPr>
        <w:tc>
          <w:tcPr>
            <w:tcW w:w="9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b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24"/>
              </w:rPr>
              <w:t xml:space="preserve">一级指标  </w:t>
            </w:r>
          </w:p>
        </w:tc>
        <w:tc>
          <w:tcPr>
            <w:tcW w:w="6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b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24"/>
              </w:rPr>
              <w:t>二级指标</w:t>
            </w:r>
          </w:p>
        </w:tc>
        <w:tc>
          <w:tcPr>
            <w:tcW w:w="20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b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24"/>
              </w:rPr>
              <w:t xml:space="preserve"> 三级指标</w:t>
            </w:r>
          </w:p>
        </w:tc>
        <w:tc>
          <w:tcPr>
            <w:tcW w:w="54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b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24"/>
              </w:rPr>
              <w:t>分值</w:t>
            </w:r>
          </w:p>
        </w:tc>
        <w:tc>
          <w:tcPr>
            <w:tcW w:w="355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b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24"/>
              </w:rPr>
              <w:t>指标说明</w:t>
            </w:r>
          </w:p>
        </w:tc>
        <w:tc>
          <w:tcPr>
            <w:tcW w:w="51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b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24"/>
              </w:rPr>
              <w:t>得分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atLeast"/>
        </w:trPr>
        <w:tc>
          <w:tcPr>
            <w:tcW w:w="9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b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24"/>
              </w:rPr>
              <w:t>名称</w:t>
            </w:r>
          </w:p>
        </w:tc>
        <w:tc>
          <w:tcPr>
            <w:tcW w:w="6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b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24"/>
              </w:rPr>
              <w:t>名称</w:t>
            </w:r>
          </w:p>
        </w:tc>
        <w:tc>
          <w:tcPr>
            <w:tcW w:w="20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b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24"/>
              </w:rPr>
              <w:t>名称</w:t>
            </w:r>
          </w:p>
        </w:tc>
        <w:tc>
          <w:tcPr>
            <w:tcW w:w="5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color w:val="000000"/>
                <w:sz w:val="24"/>
              </w:rPr>
            </w:pPr>
          </w:p>
        </w:tc>
        <w:tc>
          <w:tcPr>
            <w:tcW w:w="355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color w:val="000000"/>
                <w:sz w:val="24"/>
              </w:rPr>
            </w:pPr>
          </w:p>
        </w:tc>
        <w:tc>
          <w:tcPr>
            <w:tcW w:w="51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color w:val="000000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0" w:hRule="atLeast"/>
        </w:trPr>
        <w:tc>
          <w:tcPr>
            <w:tcW w:w="95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“工作活动”设置（20分）</w:t>
            </w:r>
          </w:p>
        </w:tc>
        <w:tc>
          <w:tcPr>
            <w:tcW w:w="67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项目立项情况</w:t>
            </w:r>
          </w:p>
        </w:tc>
        <w:tc>
          <w:tcPr>
            <w:tcW w:w="20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是否符合政府经济和社会总体发展规划</w:t>
            </w:r>
          </w:p>
        </w:tc>
        <w:tc>
          <w:tcPr>
            <w:tcW w:w="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  <w:t>6</w:t>
            </w:r>
          </w:p>
        </w:tc>
        <w:tc>
          <w:tcPr>
            <w:tcW w:w="3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有政府相关政策、规划、任务等文件得2分；无不得分。</w:t>
            </w:r>
          </w:p>
        </w:tc>
        <w:tc>
          <w:tcPr>
            <w:tcW w:w="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 xml:space="preserve">6 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64" w:hRule="atLeast"/>
        </w:trPr>
        <w:tc>
          <w:tcPr>
            <w:tcW w:w="95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67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20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项目活动与职责相关性</w:t>
            </w:r>
          </w:p>
        </w:tc>
        <w:tc>
          <w:tcPr>
            <w:tcW w:w="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  <w:t>4</w:t>
            </w:r>
          </w:p>
        </w:tc>
        <w:tc>
          <w:tcPr>
            <w:tcW w:w="3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工作活动与部门职责、工作规划和重点工作相关，工作活动项下确定的预算项目合理，与工作活动密切相关，工作活动和项目预算安排合理，得4分；否则不得分。</w:t>
            </w:r>
          </w:p>
        </w:tc>
        <w:tc>
          <w:tcPr>
            <w:tcW w:w="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 xml:space="preserve">4 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4" w:hRule="atLeast"/>
        </w:trPr>
        <w:tc>
          <w:tcPr>
            <w:tcW w:w="95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67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绩效自评情况</w:t>
            </w:r>
          </w:p>
        </w:tc>
        <w:tc>
          <w:tcPr>
            <w:tcW w:w="20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项目设立绩效目标合理性</w:t>
            </w:r>
          </w:p>
        </w:tc>
        <w:tc>
          <w:tcPr>
            <w:tcW w:w="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  <w:t>4</w:t>
            </w:r>
          </w:p>
        </w:tc>
        <w:tc>
          <w:tcPr>
            <w:tcW w:w="3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①是否将项目绩效目标细化分解为具体的绩效指标；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②是否通过清晰、可衡量的指标值予以体现；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③是否与项目年度任务数或计划数相对应；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④是否与预算确定的项目投资额或资金量相匹配。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缺少一项扣1分,扣完为止。</w:t>
            </w:r>
          </w:p>
        </w:tc>
        <w:tc>
          <w:tcPr>
            <w:tcW w:w="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 xml:space="preserve">4 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60" w:hRule="atLeast"/>
        </w:trPr>
        <w:tc>
          <w:tcPr>
            <w:tcW w:w="95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67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20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自评报告情况</w:t>
            </w:r>
          </w:p>
        </w:tc>
        <w:tc>
          <w:tcPr>
            <w:tcW w:w="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  <w:t>6</w:t>
            </w:r>
          </w:p>
        </w:tc>
        <w:tc>
          <w:tcPr>
            <w:tcW w:w="3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是否有绩效评价报告，报告是否依据充分、内容真实完整；数据准确、分析透彻。每存在一项问题扣2分，扣完为止。</w:t>
            </w:r>
          </w:p>
        </w:tc>
        <w:tc>
          <w:tcPr>
            <w:tcW w:w="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 xml:space="preserve">6 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20" w:hRule="atLeast"/>
        </w:trPr>
        <w:tc>
          <w:tcPr>
            <w:tcW w:w="95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“工作活动”管理（20分）</w:t>
            </w:r>
          </w:p>
        </w:tc>
        <w:tc>
          <w:tcPr>
            <w:tcW w:w="67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资金管理</w:t>
            </w:r>
          </w:p>
        </w:tc>
        <w:tc>
          <w:tcPr>
            <w:tcW w:w="20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预算调整率</w:t>
            </w:r>
          </w:p>
        </w:tc>
        <w:tc>
          <w:tcPr>
            <w:tcW w:w="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  <w:t>4</w:t>
            </w:r>
          </w:p>
        </w:tc>
        <w:tc>
          <w:tcPr>
            <w:tcW w:w="3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预算调整率=（预算调整数/预算数）×100%。预算调整率每大于1%扣1分，扣完为止。</w:t>
            </w:r>
          </w:p>
        </w:tc>
        <w:tc>
          <w:tcPr>
            <w:tcW w:w="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  <w:t>4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20" w:hRule="atLeast"/>
        </w:trPr>
        <w:tc>
          <w:tcPr>
            <w:tcW w:w="95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67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20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资金使用合规性</w:t>
            </w:r>
          </w:p>
        </w:tc>
        <w:tc>
          <w:tcPr>
            <w:tcW w:w="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  <w:t>4</w:t>
            </w:r>
          </w:p>
        </w:tc>
        <w:tc>
          <w:tcPr>
            <w:tcW w:w="3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项目资金使用是否符合国家财经法规及相关的财务管理制度规定，资金支出程序是否规范,报账手续是否齐全。每存在一项不合规问题扣2分，扣完为止。</w:t>
            </w:r>
          </w:p>
        </w:tc>
        <w:tc>
          <w:tcPr>
            <w:tcW w:w="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  <w:t>4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20" w:hRule="atLeast"/>
        </w:trPr>
        <w:tc>
          <w:tcPr>
            <w:tcW w:w="95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67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20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会计核算规范性</w:t>
            </w:r>
          </w:p>
        </w:tc>
        <w:tc>
          <w:tcPr>
            <w:tcW w:w="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  <w:t>4</w:t>
            </w:r>
          </w:p>
        </w:tc>
        <w:tc>
          <w:tcPr>
            <w:tcW w:w="3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会计核算是否符合《会计法》、《政府会计制度》、《会计基础工作规范》等法律法规和相关制度规定。每存在一项不合规问题扣1分，扣完为止。</w:t>
            </w:r>
          </w:p>
        </w:tc>
        <w:tc>
          <w:tcPr>
            <w:tcW w:w="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 xml:space="preserve">4 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0" w:hRule="atLeast"/>
        </w:trPr>
        <w:tc>
          <w:tcPr>
            <w:tcW w:w="95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67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项目管理</w:t>
            </w:r>
          </w:p>
        </w:tc>
        <w:tc>
          <w:tcPr>
            <w:tcW w:w="20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项目责任机制是否健全</w:t>
            </w:r>
          </w:p>
        </w:tc>
        <w:tc>
          <w:tcPr>
            <w:tcW w:w="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  <w:t>4</w:t>
            </w:r>
          </w:p>
        </w:tc>
        <w:tc>
          <w:tcPr>
            <w:tcW w:w="3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是否建立责任机制，项目管理和责任落实到有关人。每存在一项问题扣1分，扣完为止。</w:t>
            </w:r>
          </w:p>
        </w:tc>
        <w:tc>
          <w:tcPr>
            <w:tcW w:w="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 xml:space="preserve">4 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6" w:hRule="atLeast"/>
        </w:trPr>
        <w:tc>
          <w:tcPr>
            <w:tcW w:w="95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67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20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管理制度健全性</w:t>
            </w:r>
          </w:p>
        </w:tc>
        <w:tc>
          <w:tcPr>
            <w:tcW w:w="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  <w:t>4</w:t>
            </w:r>
          </w:p>
        </w:tc>
        <w:tc>
          <w:tcPr>
            <w:tcW w:w="3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制定管理制度和措施（包括财务制度）是否明确、清晰、具有可操作性，能否保障工作活动顺利实施。每缺少一项制度扣1分，扣完为止。</w:t>
            </w:r>
          </w:p>
        </w:tc>
        <w:tc>
          <w:tcPr>
            <w:tcW w:w="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 xml:space="preserve"> 4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95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“工作活动”产出（50分）</w:t>
            </w:r>
          </w:p>
        </w:tc>
        <w:tc>
          <w:tcPr>
            <w:tcW w:w="67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数量指标</w:t>
            </w:r>
          </w:p>
        </w:tc>
        <w:tc>
          <w:tcPr>
            <w:tcW w:w="20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年度建设任务完成数量占总任务的比率</w:t>
            </w:r>
          </w:p>
        </w:tc>
        <w:tc>
          <w:tcPr>
            <w:tcW w:w="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3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  <w:t>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8" w:hRule="atLeast"/>
        </w:trPr>
        <w:tc>
          <w:tcPr>
            <w:tcW w:w="95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67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20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指标2</w:t>
            </w:r>
          </w:p>
        </w:tc>
        <w:tc>
          <w:tcPr>
            <w:tcW w:w="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3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8" w:hRule="atLeast"/>
        </w:trPr>
        <w:tc>
          <w:tcPr>
            <w:tcW w:w="95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67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20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指标3</w:t>
            </w:r>
          </w:p>
        </w:tc>
        <w:tc>
          <w:tcPr>
            <w:tcW w:w="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3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 xml:space="preserve"> 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2" w:hRule="atLeast"/>
        </w:trPr>
        <w:tc>
          <w:tcPr>
            <w:tcW w:w="95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67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质量指标</w:t>
            </w:r>
          </w:p>
        </w:tc>
        <w:tc>
          <w:tcPr>
            <w:tcW w:w="20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本项目验收标准</w:t>
            </w:r>
          </w:p>
        </w:tc>
        <w:tc>
          <w:tcPr>
            <w:tcW w:w="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3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 xml:space="preserve">0 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8" w:hRule="atLeast"/>
        </w:trPr>
        <w:tc>
          <w:tcPr>
            <w:tcW w:w="95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67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20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指标2</w:t>
            </w:r>
          </w:p>
        </w:tc>
        <w:tc>
          <w:tcPr>
            <w:tcW w:w="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3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 xml:space="preserve"> 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2" w:hRule="atLeast"/>
        </w:trPr>
        <w:tc>
          <w:tcPr>
            <w:tcW w:w="95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67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20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指标3</w:t>
            </w:r>
          </w:p>
        </w:tc>
        <w:tc>
          <w:tcPr>
            <w:tcW w:w="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3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4" w:hRule="atLeast"/>
        </w:trPr>
        <w:tc>
          <w:tcPr>
            <w:tcW w:w="95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67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20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指标4</w:t>
            </w:r>
          </w:p>
        </w:tc>
        <w:tc>
          <w:tcPr>
            <w:tcW w:w="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3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 xml:space="preserve"> 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6" w:hRule="atLeast"/>
        </w:trPr>
        <w:tc>
          <w:tcPr>
            <w:tcW w:w="95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67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时效指标</w:t>
            </w:r>
          </w:p>
        </w:tc>
        <w:tc>
          <w:tcPr>
            <w:tcW w:w="20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支付时限</w:t>
            </w:r>
          </w:p>
        </w:tc>
        <w:tc>
          <w:tcPr>
            <w:tcW w:w="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3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 xml:space="preserve"> 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0" w:hRule="atLeast"/>
        </w:trPr>
        <w:tc>
          <w:tcPr>
            <w:tcW w:w="95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67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</w:rPr>
            </w:pPr>
          </w:p>
        </w:tc>
        <w:tc>
          <w:tcPr>
            <w:tcW w:w="20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指标2</w:t>
            </w:r>
          </w:p>
        </w:tc>
        <w:tc>
          <w:tcPr>
            <w:tcW w:w="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3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仿宋_GB2312" w:hAnsi="仿宋_GB2312" w:eastAsia="仿宋_GB2312" w:cs="仿宋_GB2312"/>
              </w:rPr>
            </w:pPr>
          </w:p>
        </w:tc>
        <w:tc>
          <w:tcPr>
            <w:tcW w:w="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 xml:space="preserve"> 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5" w:hRule="atLeast"/>
        </w:trPr>
        <w:tc>
          <w:tcPr>
            <w:tcW w:w="95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  <w:t>“工作活动”效果（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10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  <w:t>分）</w:t>
            </w:r>
          </w:p>
        </w:tc>
        <w:tc>
          <w:tcPr>
            <w:tcW w:w="67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>满意度</w:t>
            </w:r>
          </w:p>
        </w:tc>
        <w:tc>
          <w:tcPr>
            <w:tcW w:w="20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群众满意度1</w:t>
            </w:r>
          </w:p>
        </w:tc>
        <w:tc>
          <w:tcPr>
            <w:tcW w:w="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3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8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5" w:hRule="atLeast"/>
        </w:trPr>
        <w:tc>
          <w:tcPr>
            <w:tcW w:w="95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67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</w:rPr>
            </w:pPr>
          </w:p>
        </w:tc>
        <w:tc>
          <w:tcPr>
            <w:tcW w:w="20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指标2</w:t>
            </w:r>
          </w:p>
        </w:tc>
        <w:tc>
          <w:tcPr>
            <w:tcW w:w="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3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5" w:hRule="atLeast"/>
        </w:trPr>
        <w:tc>
          <w:tcPr>
            <w:tcW w:w="9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ind w:firstLine="220" w:firstLineChars="100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  <w:t>合计</w:t>
            </w:r>
          </w:p>
        </w:tc>
        <w:tc>
          <w:tcPr>
            <w:tcW w:w="6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</w:rPr>
            </w:pPr>
          </w:p>
        </w:tc>
        <w:tc>
          <w:tcPr>
            <w:tcW w:w="20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100</w:t>
            </w:r>
          </w:p>
        </w:tc>
        <w:tc>
          <w:tcPr>
            <w:tcW w:w="3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48</w:t>
            </w:r>
          </w:p>
        </w:tc>
      </w:tr>
    </w:tbl>
    <w:p>
      <w:pPr>
        <w:pStyle w:val="7"/>
        <w:spacing w:line="560" w:lineRule="exact"/>
        <w:ind w:left="420" w:leftChars="200" w:firstLine="321" w:firstLineChars="100"/>
        <w:outlineLvl w:val="0"/>
        <w:rPr>
          <w:rFonts w:ascii="仿宋_GB2312" w:hAnsi="仿宋_GB2312" w:eastAsia="仿宋_GB2312" w:cs="仿宋_GB2312"/>
          <w:color w:val="000000"/>
          <w:sz w:val="32"/>
          <w:szCs w:val="32"/>
        </w:rPr>
      </w:pPr>
      <w:bookmarkStart w:id="97" w:name="_Toc2634_WPSOffice_Level1"/>
      <w:r>
        <w:rPr>
          <w:rFonts w:hint="eastAsia" w:ascii="仿宋_GB2312" w:hAnsi="仿宋_GB2312" w:eastAsia="仿宋_GB2312" w:cs="仿宋_GB2312"/>
          <w:b/>
          <w:bCs/>
          <w:color w:val="000000"/>
          <w:sz w:val="32"/>
          <w:szCs w:val="32"/>
        </w:rPr>
        <w:t>五、评价分析</w:t>
      </w:r>
      <w:bookmarkEnd w:id="97"/>
    </w:p>
    <w:p>
      <w:pPr>
        <w:spacing w:line="560" w:lineRule="exact"/>
        <w:ind w:firstLine="640" w:firstLineChars="200"/>
        <w:outlineLvl w:val="1"/>
        <w:rPr>
          <w:rFonts w:ascii="仿宋_GB2312" w:hAnsi="仿宋_GB2312" w:eastAsia="仿宋_GB2312" w:cs="仿宋_GB2312"/>
          <w:color w:val="000000"/>
          <w:sz w:val="32"/>
          <w:szCs w:val="40"/>
        </w:rPr>
      </w:pPr>
      <w:bookmarkStart w:id="98" w:name="_Toc18513_WPSOffice_Level2"/>
      <w:r>
        <w:rPr>
          <w:rFonts w:hint="eastAsia" w:ascii="仿宋_GB2312" w:hAnsi="仿宋_GB2312" w:eastAsia="仿宋_GB2312" w:cs="仿宋_GB2312"/>
          <w:color w:val="000000"/>
          <w:sz w:val="32"/>
          <w:szCs w:val="40"/>
        </w:rPr>
        <w:t>（一）主要扣分事项及原因分析</w:t>
      </w:r>
      <w:bookmarkEnd w:id="98"/>
    </w:p>
    <w:p>
      <w:pPr>
        <w:spacing w:line="580" w:lineRule="exact"/>
        <w:ind w:firstLine="640" w:firstLineChars="200"/>
        <w:outlineLvl w:val="1"/>
        <w:rPr>
          <w:rFonts w:ascii="仿宋_GB2312" w:hAnsi="仿宋_GB2312" w:eastAsia="仿宋_GB2312" w:cs="仿宋_GB2312"/>
          <w:sz w:val="32"/>
          <w:szCs w:val="40"/>
        </w:rPr>
      </w:pPr>
      <w:r>
        <w:rPr>
          <w:rFonts w:hint="eastAsia" w:ascii="仿宋_GB2312" w:hAnsi="仿宋_GB2312" w:eastAsia="仿宋_GB2312" w:cs="仿宋_GB2312"/>
          <w:sz w:val="32"/>
          <w:szCs w:val="40"/>
        </w:rPr>
        <w:t>我县美丽乡村精品村建设涉及西良前村和东范村，每个村补助100万元，其中西良前村在项目申报时提出自筹资金20万元。在今年的项目实施中，西良前村自筹资金迟迟不能到位，致使该项目不能按时实施。</w:t>
      </w:r>
    </w:p>
    <w:p>
      <w:pPr>
        <w:pStyle w:val="7"/>
        <w:spacing w:line="560" w:lineRule="exact"/>
        <w:ind w:left="420" w:leftChars="200" w:firstLine="321" w:firstLineChars="100"/>
        <w:outlineLvl w:val="0"/>
        <w:rPr>
          <w:rFonts w:ascii="仿宋_GB2312" w:hAnsi="仿宋_GB2312" w:eastAsia="仿宋_GB2312" w:cs="仿宋_GB2312"/>
          <w:color w:val="000000"/>
          <w:sz w:val="32"/>
          <w:szCs w:val="32"/>
        </w:rPr>
      </w:pPr>
      <w:bookmarkStart w:id="99" w:name="_Toc11279_WPSOffice_Level1"/>
      <w:r>
        <w:rPr>
          <w:rFonts w:hint="eastAsia" w:ascii="仿宋_GB2312" w:hAnsi="仿宋_GB2312" w:eastAsia="仿宋_GB2312" w:cs="仿宋_GB2312"/>
          <w:b/>
          <w:bCs/>
          <w:color w:val="000000"/>
          <w:sz w:val="32"/>
          <w:szCs w:val="32"/>
        </w:rPr>
        <w:t>六、意见及建议</w:t>
      </w:r>
      <w:bookmarkEnd w:id="99"/>
    </w:p>
    <w:p>
      <w:pPr>
        <w:pStyle w:val="7"/>
        <w:spacing w:line="560" w:lineRule="exact"/>
        <w:ind w:firstLine="640"/>
        <w:outlineLvl w:val="0"/>
        <w:rPr>
          <w:rFonts w:ascii="仿宋_GB2312" w:hAnsi="仿宋_GB2312" w:eastAsia="仿宋_GB2312" w:cs="仿宋_GB2312"/>
          <w:color w:val="auto"/>
          <w:sz w:val="32"/>
          <w:szCs w:val="40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40"/>
        </w:rPr>
        <w:t>通过认真协调，目前该项目已确定省级投资200万元由农业农村局招标实施，目前已完成了项目的实施方案、项目设计、预算，西良前村自筹资金20万元由双碑乡和西良前村实施。下一步我们将加大工作力度，尽快通过招标确定施工单位，督促施工单位抓紧施工。力争上半年完成项目建设。</w:t>
      </w:r>
    </w:p>
    <w:p>
      <w:pPr>
        <w:spacing w:line="560" w:lineRule="exact"/>
        <w:rPr>
          <w:rFonts w:ascii="仿宋_GB2312" w:hAnsi="仿宋_GB2312" w:eastAsia="仿宋_GB2312" w:cs="仿宋_GB2312"/>
          <w:color w:val="000000"/>
          <w:sz w:val="32"/>
          <w:szCs w:val="32"/>
        </w:rPr>
      </w:pPr>
    </w:p>
    <w:p>
      <w:pPr>
        <w:spacing w:line="560" w:lineRule="exact"/>
        <w:ind w:firstLine="5760" w:firstLineChars="1800"/>
        <w:rPr>
          <w:rFonts w:ascii="仿宋_GB2312" w:hAnsi="仿宋_GB2312" w:eastAsia="仿宋_GB2312" w:cs="仿宋_GB2312"/>
          <w:color w:val="000000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2023年3月14日</w:t>
      </w:r>
    </w:p>
    <w:p>
      <w:pPr>
        <w:rPr>
          <w:rFonts w:ascii="仿宋_GB2312" w:hAnsi="仿宋_GB2312" w:eastAsia="仿宋_GB2312" w:cs="仿宋_GB2312"/>
        </w:rPr>
      </w:pPr>
    </w:p>
    <w:sectPr>
      <w:footerReference r:id="rId3" w:type="default"/>
      <w:pgSz w:w="11906" w:h="16838"/>
      <w:pgMar w:top="2154" w:right="1474" w:bottom="1984" w:left="1587" w:header="851" w:footer="992" w:gutter="0"/>
      <w:pgNumType w:start="1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pict>
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">
          <v:path/>
          <v:fill on="f" focussize="0,0"/>
          <v:stroke on="f" joinstyle="miter"/>
          <v:imagedata o:title=""/>
          <o:lock v:ext="edit"/>
          <v:textbox inset="0mm,0mm,0mm,0mm" style="mso-fit-shape-to-text:t;">
            <w:txbxContent>
              <w:p>
                <w:pPr>
                  <w:pStyle w:val="4"/>
                </w:pPr>
                <w:r>
                  <w:rPr>
                    <w:rFonts w:hint="eastAsia"/>
                  </w:rPr>
                  <w:fldChar w:fldCharType="begin"/>
                </w:r>
                <w:r>
                  <w:rPr>
                    <w:rFonts w:hint="eastAsia"/>
                  </w:rPr>
                  <w:instrText xml:space="preserve"> PAGE  \* MERGEFORMAT </w:instrText>
                </w:r>
                <w:r>
                  <w:rPr>
                    <w:rFonts w:hint="eastAsia"/>
                  </w:rPr>
                  <w:fldChar w:fldCharType="separate"/>
                </w:r>
                <w:r>
                  <w:t>2</w:t>
                </w:r>
                <w:r>
                  <w:rPr>
                    <w:rFonts w:hint="eastAsia"/>
                  </w:rPr>
                  <w:fldChar w:fldCharType="end"/>
                </w:r>
              </w:p>
            </w:txbxContent>
          </v:textbox>
        </v:shape>
      </w:pic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documentProtection w:enforcement="0"/>
  <w:defaultTabStop w:val="420"/>
  <w:drawingGridVerticalSpacing w:val="156"/>
  <w:noPunctuationKerning w:val="1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docVars>
    <w:docVar w:name="commondata" w:val="eyJoZGlkIjoiYjkwNGIzMTM3NzcyODk5Y2IxNWVlMTgzMjllODBkNGUifQ=="/>
  </w:docVars>
  <w:rsids>
    <w:rsidRoot w:val="07CC499B"/>
    <w:rsid w:val="00620795"/>
    <w:rsid w:val="009503C5"/>
    <w:rsid w:val="00B60E03"/>
    <w:rsid w:val="00C72846"/>
    <w:rsid w:val="01B67D1F"/>
    <w:rsid w:val="01CA2AF2"/>
    <w:rsid w:val="03274687"/>
    <w:rsid w:val="04064A0C"/>
    <w:rsid w:val="04321BCD"/>
    <w:rsid w:val="04FF4482"/>
    <w:rsid w:val="057A0A50"/>
    <w:rsid w:val="064C4C17"/>
    <w:rsid w:val="06F103EA"/>
    <w:rsid w:val="076C3175"/>
    <w:rsid w:val="07CC499B"/>
    <w:rsid w:val="0815567D"/>
    <w:rsid w:val="0909607F"/>
    <w:rsid w:val="09A64785"/>
    <w:rsid w:val="0A3B4E4B"/>
    <w:rsid w:val="0B601B06"/>
    <w:rsid w:val="0BEB58BF"/>
    <w:rsid w:val="0C15027B"/>
    <w:rsid w:val="0C3B2A49"/>
    <w:rsid w:val="0DAA4EE9"/>
    <w:rsid w:val="0E3117D9"/>
    <w:rsid w:val="102B0836"/>
    <w:rsid w:val="1064155D"/>
    <w:rsid w:val="1156122B"/>
    <w:rsid w:val="11F11891"/>
    <w:rsid w:val="12B801F2"/>
    <w:rsid w:val="12C35BB4"/>
    <w:rsid w:val="140849FA"/>
    <w:rsid w:val="14583EA3"/>
    <w:rsid w:val="151D09B5"/>
    <w:rsid w:val="1689469A"/>
    <w:rsid w:val="16DB1E7D"/>
    <w:rsid w:val="178C6C5A"/>
    <w:rsid w:val="17CD646A"/>
    <w:rsid w:val="1813368B"/>
    <w:rsid w:val="184F3049"/>
    <w:rsid w:val="1B3F225B"/>
    <w:rsid w:val="1B4269FF"/>
    <w:rsid w:val="1C2B1714"/>
    <w:rsid w:val="1D4B3C83"/>
    <w:rsid w:val="1DBD7AB3"/>
    <w:rsid w:val="1E0B387E"/>
    <w:rsid w:val="21460607"/>
    <w:rsid w:val="21F32001"/>
    <w:rsid w:val="21FF1E9B"/>
    <w:rsid w:val="23C1122C"/>
    <w:rsid w:val="243D751D"/>
    <w:rsid w:val="24522B03"/>
    <w:rsid w:val="25ED2FD4"/>
    <w:rsid w:val="264A346A"/>
    <w:rsid w:val="270A41B9"/>
    <w:rsid w:val="274B3C4E"/>
    <w:rsid w:val="285356FD"/>
    <w:rsid w:val="288E37E0"/>
    <w:rsid w:val="290243B4"/>
    <w:rsid w:val="2A1F41E9"/>
    <w:rsid w:val="2A5C748F"/>
    <w:rsid w:val="2B10000E"/>
    <w:rsid w:val="2B2D56DA"/>
    <w:rsid w:val="2BE32F5A"/>
    <w:rsid w:val="2D391E20"/>
    <w:rsid w:val="30785FD3"/>
    <w:rsid w:val="31702E0D"/>
    <w:rsid w:val="33C32B3C"/>
    <w:rsid w:val="34E52524"/>
    <w:rsid w:val="35CA4ECD"/>
    <w:rsid w:val="35CE5164"/>
    <w:rsid w:val="35F07825"/>
    <w:rsid w:val="360C2FBA"/>
    <w:rsid w:val="363913FE"/>
    <w:rsid w:val="36D6548C"/>
    <w:rsid w:val="376918C7"/>
    <w:rsid w:val="37832AC7"/>
    <w:rsid w:val="38195BED"/>
    <w:rsid w:val="39737977"/>
    <w:rsid w:val="39B23A02"/>
    <w:rsid w:val="3A064033"/>
    <w:rsid w:val="3A4766ED"/>
    <w:rsid w:val="3A713A3B"/>
    <w:rsid w:val="3AAB2217"/>
    <w:rsid w:val="3CAE49E3"/>
    <w:rsid w:val="3DAE40CB"/>
    <w:rsid w:val="3E7103A9"/>
    <w:rsid w:val="3E7E746E"/>
    <w:rsid w:val="3EBE2184"/>
    <w:rsid w:val="3F5912F8"/>
    <w:rsid w:val="3F9B4FC0"/>
    <w:rsid w:val="40421590"/>
    <w:rsid w:val="41B74B09"/>
    <w:rsid w:val="43DC781A"/>
    <w:rsid w:val="441C7555"/>
    <w:rsid w:val="450A0AA4"/>
    <w:rsid w:val="45236574"/>
    <w:rsid w:val="45E11743"/>
    <w:rsid w:val="46434BE2"/>
    <w:rsid w:val="46AA6AA7"/>
    <w:rsid w:val="478E0E32"/>
    <w:rsid w:val="48A2447B"/>
    <w:rsid w:val="49430BD9"/>
    <w:rsid w:val="494625CA"/>
    <w:rsid w:val="4BD23ED8"/>
    <w:rsid w:val="4C2846CD"/>
    <w:rsid w:val="4C7A4C55"/>
    <w:rsid w:val="4CEC4311"/>
    <w:rsid w:val="4F6A54EE"/>
    <w:rsid w:val="4FDF6ED1"/>
    <w:rsid w:val="514C0EC5"/>
    <w:rsid w:val="51DA77FD"/>
    <w:rsid w:val="51F50157"/>
    <w:rsid w:val="52866F20"/>
    <w:rsid w:val="52EE7A8B"/>
    <w:rsid w:val="535B290E"/>
    <w:rsid w:val="53F1208F"/>
    <w:rsid w:val="54DE5250"/>
    <w:rsid w:val="55495194"/>
    <w:rsid w:val="56115CEE"/>
    <w:rsid w:val="56D42516"/>
    <w:rsid w:val="56FE5044"/>
    <w:rsid w:val="57E03285"/>
    <w:rsid w:val="5AE71036"/>
    <w:rsid w:val="5B5F30DA"/>
    <w:rsid w:val="5BAF6F84"/>
    <w:rsid w:val="5BE03A0F"/>
    <w:rsid w:val="5D5C7CBD"/>
    <w:rsid w:val="5DF86B3F"/>
    <w:rsid w:val="5F1C1ADB"/>
    <w:rsid w:val="60134031"/>
    <w:rsid w:val="60C120AA"/>
    <w:rsid w:val="6304094B"/>
    <w:rsid w:val="64165E4C"/>
    <w:rsid w:val="6536013A"/>
    <w:rsid w:val="68DA698B"/>
    <w:rsid w:val="6A3E1F45"/>
    <w:rsid w:val="6CCC6D4C"/>
    <w:rsid w:val="6D5F4EC3"/>
    <w:rsid w:val="6E3F5A2C"/>
    <w:rsid w:val="7008088F"/>
    <w:rsid w:val="712634CC"/>
    <w:rsid w:val="71A3781D"/>
    <w:rsid w:val="724E698E"/>
    <w:rsid w:val="739B546D"/>
    <w:rsid w:val="756501CF"/>
    <w:rsid w:val="778F438E"/>
    <w:rsid w:val="79BC48B2"/>
    <w:rsid w:val="7A055146"/>
    <w:rsid w:val="7A757A3F"/>
    <w:rsid w:val="7C647BFE"/>
    <w:rsid w:val="7D9B64C3"/>
    <w:rsid w:val="7FA857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semiHidden/>
    <w:unhideWhenUsed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Body Text First Indent 21"/>
    <w:basedOn w:val="1"/>
    <w:qFormat/>
    <w:uiPriority w:val="0"/>
    <w:pPr>
      <w:spacing w:beforeAutospacing="1" w:afterAutospacing="1"/>
      <w:ind w:left="420" w:leftChars="200" w:firstLine="420" w:firstLineChars="200"/>
    </w:pPr>
  </w:style>
  <w:style w:type="paragraph" w:styleId="3">
    <w:name w:val="Body Text Indent"/>
    <w:basedOn w:val="1"/>
    <w:qFormat/>
    <w:uiPriority w:val="0"/>
    <w:pPr>
      <w:spacing w:line="600" w:lineRule="exact"/>
      <w:ind w:firstLine="560" w:firstLineChars="200"/>
      <w:textAlignment w:val="center"/>
    </w:pPr>
    <w:rPr>
      <w:rFonts w:ascii="宋体" w:hAnsi="宋体"/>
      <w:color w:val="FF0000"/>
      <w:sz w:val="28"/>
      <w:szCs w:val="28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link w:val="14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qFormat/>
    <w:uiPriority w:val="0"/>
    <w:pPr>
      <w:spacing w:before="100" w:beforeAutospacing="1" w:after="100" w:afterAutospacing="1"/>
      <w:jc w:val="left"/>
    </w:pPr>
    <w:rPr>
      <w:kern w:val="0"/>
      <w:sz w:val="24"/>
    </w:rPr>
  </w:style>
  <w:style w:type="paragraph" w:styleId="7">
    <w:name w:val="Body Text First Indent 2"/>
    <w:basedOn w:val="3"/>
    <w:next w:val="1"/>
    <w:qFormat/>
    <w:uiPriority w:val="0"/>
    <w:pPr>
      <w:ind w:firstLine="420"/>
    </w:pPr>
  </w:style>
  <w:style w:type="paragraph" w:customStyle="1" w:styleId="10">
    <w:name w:val="WPSOffice手动目录 1"/>
    <w:qFormat/>
    <w:uiPriority w:val="0"/>
    <w:rPr>
      <w:rFonts w:ascii="Times New Roman" w:hAnsi="Times New Roman" w:eastAsia="宋体" w:cs="Times New Roman"/>
      <w:lang w:val="en-US" w:eastAsia="zh-CN" w:bidi="ar-SA"/>
    </w:rPr>
  </w:style>
  <w:style w:type="paragraph" w:customStyle="1" w:styleId="11">
    <w:name w:val="WPSOffice手动目录 2"/>
    <w:qFormat/>
    <w:uiPriority w:val="0"/>
    <w:pPr>
      <w:ind w:left="200" w:leftChars="200"/>
    </w:pPr>
    <w:rPr>
      <w:rFonts w:ascii="Times New Roman" w:hAnsi="Times New Roman" w:eastAsia="宋体" w:cs="Times New Roman"/>
      <w:lang w:val="en-US" w:eastAsia="zh-CN" w:bidi="ar-SA"/>
    </w:rPr>
  </w:style>
  <w:style w:type="paragraph" w:styleId="12">
    <w:name w:val="List Paragraph"/>
    <w:basedOn w:val="1"/>
    <w:qFormat/>
    <w:uiPriority w:val="34"/>
    <w:pPr>
      <w:ind w:firstLine="420" w:firstLineChars="200"/>
    </w:pPr>
  </w:style>
  <w:style w:type="character" w:customStyle="1" w:styleId="13">
    <w:name w:val="NormalCharacter"/>
    <w:qFormat/>
    <w:uiPriority w:val="0"/>
  </w:style>
  <w:style w:type="character" w:customStyle="1" w:styleId="14">
    <w:name w:val="页眉 Char"/>
    <w:basedOn w:val="9"/>
    <w:link w:val="5"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1911</Words>
  <Characters>2022</Characters>
  <Lines>16</Lines>
  <Paragraphs>4</Paragraphs>
  <TotalTime>5</TotalTime>
  <ScaleCrop>false</ScaleCrop>
  <LinksUpToDate>false</LinksUpToDate>
  <CharactersWithSpaces>2162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2021-07-20T09:00:00Z</dcterms:created>
  <dc:creator>user</dc:creator>
  <cp:lastModifiedBy>Administrator</cp:lastModifiedBy>
  <dcterms:modified xsi:type="dcterms:W3CDTF">2023-04-03T05:48:16Z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0B37EAC344544E9487C7DDD42D03257D</vt:lpwstr>
  </property>
</Properties>
</file>