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附件5：</w:t>
      </w:r>
    </w:p>
    <w:p>
      <w:pPr>
        <w:spacing w:line="580" w:lineRule="exact"/>
        <w:ind w:firstLine="720" w:firstLineChars="199"/>
        <w:rPr>
          <w:rFonts w:ascii="仿宋_GB2312" w:hAnsi="仿宋_GB2312" w:eastAsia="仿宋_GB2312" w:cs="仿宋_GB2312"/>
          <w:b/>
          <w:bCs/>
          <w:spacing w:val="-20"/>
          <w:sz w:val="40"/>
          <w:szCs w:val="48"/>
        </w:rPr>
      </w:pPr>
    </w:p>
    <w:p>
      <w:pPr>
        <w:spacing w:line="580" w:lineRule="exact"/>
        <w:jc w:val="center"/>
        <w:rPr>
          <w:rFonts w:ascii="仿宋_GB2312" w:hAnsi="仿宋_GB2312" w:eastAsia="仿宋_GB2312" w:cs="仿宋_GB2312"/>
          <w:b/>
          <w:bCs/>
          <w:sz w:val="40"/>
          <w:szCs w:val="48"/>
        </w:rPr>
      </w:pPr>
      <w:r>
        <w:rPr>
          <w:rFonts w:hint="eastAsia" w:ascii="仿宋_GB2312" w:hAnsi="仿宋_GB2312" w:eastAsia="仿宋_GB2312" w:cs="仿宋_GB2312"/>
          <w:b/>
          <w:bCs/>
          <w:sz w:val="40"/>
          <w:szCs w:val="48"/>
        </w:rPr>
        <w:t>隆尧县农业农村局</w:t>
      </w:r>
    </w:p>
    <w:p>
      <w:pPr>
        <w:spacing w:line="580" w:lineRule="exact"/>
        <w:jc w:val="center"/>
        <w:rPr>
          <w:rFonts w:ascii="仿宋_GB2312" w:hAnsi="仿宋_GB2312" w:eastAsia="仿宋_GB2312" w:cs="仿宋_GB2312"/>
          <w:b/>
          <w:bCs/>
          <w:sz w:val="40"/>
          <w:szCs w:val="48"/>
        </w:rPr>
      </w:pPr>
      <w:r>
        <w:rPr>
          <w:rFonts w:hint="eastAsia" w:ascii="仿宋_GB2312" w:hAnsi="仿宋_GB2312" w:eastAsia="仿宋_GB2312" w:cs="仿宋_GB2312"/>
          <w:b/>
          <w:bCs/>
          <w:sz w:val="40"/>
          <w:szCs w:val="48"/>
        </w:rPr>
        <w:t>盘活存量资金/2022年美丽乡村建设暨文化旅游项目遗留问题</w:t>
      </w:r>
    </w:p>
    <w:p>
      <w:pPr>
        <w:spacing w:line="580" w:lineRule="exact"/>
        <w:jc w:val="center"/>
        <w:rPr>
          <w:rFonts w:ascii="仿宋_GB2312" w:hAnsi="仿宋_GB2312" w:eastAsia="仿宋_GB2312" w:cs="仿宋_GB2312"/>
          <w:b/>
          <w:bCs/>
          <w:sz w:val="40"/>
          <w:szCs w:val="48"/>
        </w:rPr>
      </w:pPr>
      <w:r>
        <w:rPr>
          <w:rFonts w:hint="eastAsia" w:ascii="仿宋_GB2312" w:hAnsi="仿宋_GB2312" w:eastAsia="仿宋_GB2312" w:cs="仿宋_GB2312"/>
          <w:b/>
          <w:bCs/>
          <w:sz w:val="40"/>
          <w:szCs w:val="48"/>
        </w:rPr>
        <w:t>重点自评绩效报告</w:t>
      </w:r>
    </w:p>
    <w:p>
      <w:pPr>
        <w:spacing w:line="580" w:lineRule="exact"/>
        <w:ind w:firstLine="799" w:firstLineChars="199"/>
        <w:jc w:val="center"/>
        <w:rPr>
          <w:rFonts w:ascii="仿宋_GB2312" w:hAnsi="仿宋_GB2312" w:eastAsia="仿宋_GB2312" w:cs="仿宋_GB2312"/>
          <w:b/>
          <w:bCs/>
          <w:sz w:val="40"/>
          <w:szCs w:val="48"/>
        </w:rPr>
      </w:pPr>
    </w:p>
    <w:p>
      <w:pPr>
        <w:rPr>
          <w:rFonts w:ascii="仿宋_GB2312" w:hAnsi="仿宋_GB2312" w:eastAsia="仿宋_GB2312" w:cs="仿宋_GB2312"/>
        </w:rPr>
      </w:pPr>
      <w:r>
        <w:rPr>
          <w:rFonts w:hint="eastAsia" w:ascii="仿宋_GB2312" w:hAnsi="仿宋_GB2312" w:eastAsia="仿宋_GB2312" w:cs="仿宋_GB2312"/>
          <w:sz w:val="28"/>
          <w:szCs w:val="28"/>
        </w:rPr>
        <w:t xml:space="preserve">                         </w:t>
      </w: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spacing w:line="580" w:lineRule="exact"/>
        <w:rPr>
          <w:rFonts w:hint="eastAsia"/>
        </w:rPr>
      </w:pPr>
    </w:p>
    <w:p>
      <w:pPr>
        <w:spacing w:line="580" w:lineRule="exact"/>
        <w:rPr>
          <w:rFonts w:hint="eastAsia"/>
        </w:rPr>
      </w:pPr>
    </w:p>
    <w:p>
      <w:pPr>
        <w:spacing w:line="580" w:lineRule="exact"/>
        <w:rPr>
          <w:rFonts w:hint="eastAsia"/>
        </w:rPr>
      </w:pPr>
    </w:p>
    <w:p>
      <w:pPr>
        <w:spacing w:line="580" w:lineRule="exact"/>
        <w:rPr>
          <w:sz w:val="28"/>
          <w:szCs w:val="28"/>
          <w:u w:val="single"/>
        </w:rPr>
      </w:pPr>
      <w:bookmarkStart w:id="100" w:name="_GoBack"/>
      <w:bookmarkEnd w:id="100"/>
      <w:r>
        <w:rPr>
          <w:rFonts w:hint="eastAsia"/>
        </w:rPr>
        <w:t>项 目 名 称：</w:t>
      </w:r>
      <w:r>
        <w:rPr>
          <w:rFonts w:hint="eastAsia"/>
          <w:sz w:val="28"/>
          <w:szCs w:val="28"/>
          <w:u w:val="single"/>
        </w:rPr>
        <w:t>2022年美丽乡村建设暨文化旅游项目遗留问题</w:t>
      </w:r>
    </w:p>
    <w:p>
      <w:pPr>
        <w:spacing w:line="580" w:lineRule="exact"/>
        <w:rPr>
          <w:rFonts w:ascii="仿宋_GB2312" w:hAnsi="仿宋_GB2312" w:eastAsia="仿宋_GB2312" w:cs="仿宋_GB2312"/>
          <w:spacing w:val="-20"/>
          <w:sz w:val="28"/>
          <w:szCs w:val="28"/>
          <w:u w:val="single"/>
        </w:rPr>
      </w:pPr>
      <w:r>
        <w:rPr>
          <w:rFonts w:hint="eastAsia" w:ascii="仿宋_GB2312" w:hAnsi="仿宋_GB2312" w:eastAsia="仿宋_GB2312" w:cs="仿宋_GB2312"/>
          <w:spacing w:val="11"/>
          <w:sz w:val="28"/>
          <w:szCs w:val="28"/>
        </w:rPr>
        <w:t xml:space="preserve">  </w:t>
      </w:r>
    </w:p>
    <w:p>
      <w:pPr>
        <w:spacing w:line="760" w:lineRule="exact"/>
      </w:pPr>
      <w:r>
        <w:rPr>
          <w:rFonts w:hint="eastAsia"/>
        </w:rPr>
        <w:t>项目实施单位：</w:t>
      </w:r>
      <w:r>
        <w:rPr>
          <w:rFonts w:hint="eastAsia"/>
          <w:u w:val="single"/>
        </w:rPr>
        <w:t xml:space="preserve">            隆尧县农业农村局      </w:t>
      </w:r>
    </w:p>
    <w:p>
      <w:pPr>
        <w:spacing w:line="760" w:lineRule="exact"/>
      </w:pPr>
      <w:r>
        <w:rPr>
          <w:rFonts w:hint="eastAsia"/>
        </w:rPr>
        <w:t>项目总金额：</w:t>
      </w:r>
      <w:r>
        <w:rPr>
          <w:rFonts w:hint="eastAsia"/>
          <w:u w:val="single"/>
        </w:rPr>
        <w:t xml:space="preserve">          322.66万元                 </w:t>
      </w:r>
    </w:p>
    <w:p>
      <w:pPr>
        <w:spacing w:line="760" w:lineRule="exact"/>
      </w:pPr>
      <w:r>
        <w:rPr>
          <w:rFonts w:hint="eastAsia"/>
        </w:rPr>
        <w:t>评 价 年 度：</w:t>
      </w:r>
      <w:r>
        <w:rPr>
          <w:rFonts w:hint="eastAsia"/>
          <w:u w:val="single"/>
        </w:rPr>
        <w:t xml:space="preserve">                 2022年度              </w:t>
      </w:r>
    </w:p>
    <w:p>
      <w:pPr>
        <w:spacing w:line="760" w:lineRule="exact"/>
      </w:pPr>
      <w:r>
        <w:rPr>
          <w:rFonts w:hint="eastAsia"/>
        </w:rPr>
        <w:t>评价组组长：</w:t>
      </w:r>
      <w:r>
        <w:rPr>
          <w:rFonts w:hint="eastAsia"/>
          <w:u w:val="single"/>
        </w:rPr>
        <w:t xml:space="preserve">                 李现国          </w:t>
      </w:r>
    </w:p>
    <w:p>
      <w:pPr>
        <w:spacing w:line="760" w:lineRule="exact"/>
        <w:rPr>
          <w:u w:val="single"/>
        </w:rPr>
      </w:pPr>
      <w:r>
        <w:rPr>
          <w:rFonts w:hint="eastAsia"/>
        </w:rPr>
        <w:t>评价组成员：</w:t>
      </w:r>
      <w:r>
        <w:rPr>
          <w:rFonts w:hint="eastAsia"/>
          <w:u w:val="single"/>
        </w:rPr>
        <w:t xml:space="preserve">        董会强、李青               </w:t>
      </w:r>
    </w:p>
    <w:p>
      <w:pPr>
        <w:spacing w:line="580" w:lineRule="exact"/>
        <w:ind w:firstLine="643" w:firstLineChars="200"/>
        <w:outlineLvl w:val="0"/>
        <w:rPr>
          <w:rFonts w:ascii="仿宋_GB2312" w:hAnsi="仿宋_GB2312" w:eastAsia="仿宋_GB2312" w:cs="仿宋_GB2312"/>
          <w:b/>
          <w:bCs/>
          <w:sz w:val="32"/>
          <w:szCs w:val="40"/>
        </w:rPr>
      </w:pPr>
      <w:bookmarkStart w:id="0" w:name="_Toc13153"/>
      <w:bookmarkStart w:id="1" w:name="_Toc23411"/>
      <w:bookmarkStart w:id="2" w:name="_Toc9525"/>
      <w:bookmarkStart w:id="3" w:name="_Toc16913"/>
      <w:bookmarkStart w:id="4" w:name="_Toc2245"/>
      <w:bookmarkStart w:id="5" w:name="_Toc18334"/>
      <w:bookmarkStart w:id="6" w:name="_Toc6314"/>
      <w:bookmarkStart w:id="7" w:name="_Toc30335"/>
      <w:bookmarkStart w:id="8" w:name="_Toc11301"/>
      <w:bookmarkStart w:id="9" w:name="_Toc4013"/>
      <w:r>
        <w:rPr>
          <w:rFonts w:hint="eastAsia" w:ascii="仿宋_GB2312" w:hAnsi="仿宋_GB2312" w:eastAsia="仿宋_GB2312" w:cs="仿宋_GB2312"/>
          <w:b/>
          <w:bCs/>
          <w:sz w:val="32"/>
          <w:szCs w:val="40"/>
        </w:rPr>
        <w:t>一、项目概况</w:t>
      </w:r>
      <w:bookmarkEnd w:id="0"/>
      <w:bookmarkEnd w:id="1"/>
      <w:bookmarkEnd w:id="2"/>
      <w:bookmarkEnd w:id="3"/>
      <w:bookmarkEnd w:id="4"/>
      <w:bookmarkEnd w:id="5"/>
      <w:bookmarkEnd w:id="6"/>
      <w:bookmarkEnd w:id="7"/>
      <w:bookmarkEnd w:id="8"/>
      <w:bookmarkEnd w:id="9"/>
    </w:p>
    <w:p>
      <w:pPr>
        <w:spacing w:line="580" w:lineRule="exact"/>
        <w:ind w:firstLine="640" w:firstLineChars="200"/>
        <w:outlineLvl w:val="1"/>
        <w:rPr>
          <w:rFonts w:ascii="仿宋_GB2312" w:hAnsi="仿宋_GB2312" w:eastAsia="仿宋_GB2312" w:cs="仿宋_GB2312"/>
          <w:sz w:val="32"/>
          <w:szCs w:val="40"/>
        </w:rPr>
      </w:pPr>
      <w:bookmarkStart w:id="10" w:name="_Toc23957"/>
      <w:bookmarkStart w:id="11" w:name="_Toc32742"/>
      <w:bookmarkStart w:id="12" w:name="_Toc15831"/>
      <w:bookmarkStart w:id="13" w:name="_Toc19963"/>
      <w:bookmarkStart w:id="14" w:name="_Toc19370"/>
      <w:bookmarkStart w:id="15" w:name="_Toc22285"/>
      <w:bookmarkStart w:id="16" w:name="_Toc937"/>
      <w:bookmarkStart w:id="17" w:name="_Toc22453"/>
      <w:bookmarkStart w:id="18" w:name="_Toc24784"/>
      <w:bookmarkStart w:id="19" w:name="_Toc30895"/>
      <w:r>
        <w:rPr>
          <w:rFonts w:hint="eastAsia" w:ascii="仿宋_GB2312" w:hAnsi="仿宋_GB2312" w:eastAsia="仿宋_GB2312" w:cs="仿宋_GB2312"/>
          <w:sz w:val="32"/>
          <w:szCs w:val="40"/>
        </w:rPr>
        <w:t>（一）项目单位基本情况</w:t>
      </w:r>
      <w:bookmarkEnd w:id="10"/>
      <w:bookmarkEnd w:id="11"/>
      <w:bookmarkEnd w:id="12"/>
      <w:bookmarkEnd w:id="13"/>
      <w:bookmarkEnd w:id="14"/>
      <w:bookmarkEnd w:id="15"/>
      <w:bookmarkEnd w:id="16"/>
      <w:bookmarkEnd w:id="17"/>
      <w:bookmarkEnd w:id="18"/>
      <w:bookmarkEnd w:id="19"/>
    </w:p>
    <w:p>
      <w:pPr>
        <w:spacing w:line="580" w:lineRule="exact"/>
        <w:ind w:firstLine="640" w:firstLineChars="200"/>
        <w:outlineLvl w:val="1"/>
        <w:rPr>
          <w:rFonts w:ascii="仿宋_GB2312" w:hAnsi="仿宋_GB2312" w:eastAsia="仿宋_GB2312" w:cs="仿宋_GB2312"/>
          <w:sz w:val="32"/>
          <w:szCs w:val="40"/>
        </w:rPr>
      </w:pPr>
      <w:bookmarkStart w:id="20" w:name="_Toc15167"/>
      <w:bookmarkStart w:id="21" w:name="_Toc29308"/>
      <w:bookmarkStart w:id="22" w:name="_Toc8843"/>
      <w:r>
        <w:rPr>
          <w:rFonts w:hint="eastAsia" w:ascii="仿宋_GB2312" w:hAnsi="仿宋_GB2312" w:eastAsia="仿宋_GB2312" w:cs="仿宋_GB2312"/>
          <w:sz w:val="32"/>
          <w:szCs w:val="40"/>
        </w:rPr>
        <w:t>项目单位为隆尧县农业农村局，地址隆尧县德仁路4号。行政事业单位。承担解决隆尧县美丽乡村建设暨文化旅游项目遗留问题资金的项目。</w:t>
      </w:r>
    </w:p>
    <w:p>
      <w:pPr>
        <w:spacing w:line="580" w:lineRule="exact"/>
        <w:ind w:firstLine="640" w:firstLineChars="200"/>
        <w:outlineLvl w:val="1"/>
        <w:rPr>
          <w:rFonts w:ascii="仿宋_GB2312" w:hAnsi="仿宋_GB2312" w:eastAsia="仿宋_GB2312" w:cs="仿宋_GB2312"/>
          <w:sz w:val="32"/>
          <w:szCs w:val="40"/>
        </w:rPr>
      </w:pPr>
      <w:r>
        <w:rPr>
          <w:rFonts w:hint="eastAsia" w:ascii="仿宋_GB2312" w:hAnsi="仿宋_GB2312" w:eastAsia="仿宋_GB2312" w:cs="仿宋_GB2312"/>
          <w:sz w:val="32"/>
          <w:szCs w:val="40"/>
        </w:rPr>
        <w:t>（二）项目基本情况</w:t>
      </w:r>
      <w:bookmarkEnd w:id="20"/>
      <w:bookmarkEnd w:id="21"/>
      <w:bookmarkEnd w:id="22"/>
    </w:p>
    <w:p>
      <w:pPr>
        <w:spacing w:line="580" w:lineRule="exact"/>
        <w:ind w:firstLine="640" w:firstLineChars="200"/>
        <w:rPr>
          <w:rFonts w:ascii="仿宋_GB2312" w:hAnsi="仿宋_GB2312" w:eastAsia="仿宋_GB2312" w:cs="仿宋_GB2312"/>
          <w:sz w:val="32"/>
          <w:szCs w:val="40"/>
        </w:rPr>
      </w:pPr>
      <w:bookmarkStart w:id="23" w:name="_Toc32656"/>
      <w:bookmarkStart w:id="24" w:name="_Toc26594"/>
      <w:bookmarkStart w:id="25" w:name="_Toc24191"/>
      <w:bookmarkStart w:id="26" w:name="_Toc27552"/>
      <w:r>
        <w:rPr>
          <w:rFonts w:hint="eastAsia" w:ascii="仿宋_GB2312" w:hAnsi="仿宋_GB2312" w:eastAsia="仿宋_GB2312" w:cs="仿宋_GB2312"/>
          <w:sz w:val="32"/>
          <w:szCs w:val="40"/>
        </w:rPr>
        <w:t>项目资金年初预算安排322.66万元，已完成资金支付301.25万元。</w:t>
      </w:r>
    </w:p>
    <w:p>
      <w:pPr>
        <w:spacing w:line="58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该项目系隆尧县美丽乡村建设和文化旅游项目，依托李氏文化、柏人古城，引进社会资本，采用PPP模式，总投资21874万元，其中固定资产投资16365万元，PPP模式合作运营12年。2017年4月18日，隆尧县政府与启迪桑德环境资源股份有限公司签署了合作框架协议，就合作范围、合作模式与内容、运营模式等进行了约定。</w:t>
      </w:r>
    </w:p>
    <w:bookmarkEnd w:id="23"/>
    <w:bookmarkEnd w:id="24"/>
    <w:bookmarkEnd w:id="25"/>
    <w:bookmarkEnd w:id="26"/>
    <w:p>
      <w:pPr>
        <w:spacing w:line="580" w:lineRule="exact"/>
        <w:ind w:firstLine="643" w:firstLineChars="200"/>
        <w:outlineLvl w:val="0"/>
        <w:rPr>
          <w:rFonts w:ascii="仿宋_GB2312" w:hAnsi="仿宋_GB2312" w:eastAsia="仿宋_GB2312" w:cs="仿宋_GB2312"/>
          <w:b/>
          <w:bCs/>
          <w:sz w:val="32"/>
          <w:szCs w:val="40"/>
        </w:rPr>
      </w:pPr>
      <w:bookmarkStart w:id="27" w:name="_Toc18992"/>
      <w:bookmarkStart w:id="28" w:name="_Toc12860"/>
      <w:bookmarkStart w:id="29" w:name="_Toc14644"/>
      <w:bookmarkStart w:id="30" w:name="_Toc2988"/>
      <w:bookmarkStart w:id="31" w:name="_Toc28908"/>
      <w:bookmarkStart w:id="32" w:name="_Toc17782"/>
      <w:bookmarkStart w:id="33" w:name="_Toc7839"/>
      <w:bookmarkStart w:id="34" w:name="_Toc26109"/>
      <w:bookmarkStart w:id="35" w:name="_Toc6781"/>
      <w:bookmarkStart w:id="36" w:name="_Toc4859"/>
      <w:r>
        <w:rPr>
          <w:rFonts w:hint="eastAsia" w:ascii="仿宋_GB2312" w:hAnsi="仿宋_GB2312" w:eastAsia="仿宋_GB2312" w:cs="仿宋_GB2312"/>
          <w:b/>
          <w:bCs/>
          <w:sz w:val="32"/>
          <w:szCs w:val="40"/>
        </w:rPr>
        <w:t>二、项目实施情况</w:t>
      </w:r>
      <w:bookmarkEnd w:id="27"/>
      <w:bookmarkEnd w:id="28"/>
      <w:bookmarkEnd w:id="29"/>
      <w:bookmarkEnd w:id="30"/>
      <w:bookmarkEnd w:id="31"/>
      <w:bookmarkEnd w:id="32"/>
      <w:bookmarkEnd w:id="33"/>
      <w:bookmarkEnd w:id="34"/>
      <w:bookmarkEnd w:id="35"/>
      <w:bookmarkEnd w:id="36"/>
    </w:p>
    <w:p>
      <w:pPr>
        <w:pStyle w:val="2"/>
        <w:ind w:firstLine="640"/>
        <w:rPr>
          <w:rFonts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经县政府2018年2月5日，经县政府专题会议研究，先期启动柏人城城门建筑体验工程建设和双碑乡亦城村、城角村及柏人城区域的绿化工程，工程建设引入社会资本，先由启迪桑德环境资源股份有限公司先期垫付施工费用。后河北靓琳园林绿化工程有限公司、潢川县诚惠园林绿化公司、邢台通硕建筑工程有限公司、巨鹿县邢华耀园林工程有限公司及马江山、刘怀栋、武士军在未与启迪桑德环境资源股份有限公司签订施工合同的情况下，于当年3 月份进场施工并于5月份完成部分绿化及上方清运工程。2018年 11月经公开招标,以启迪桑德环境资源股份有限公司为牵头方的联合体中标。根据相关规定，中标单位应于2018 年12月6日之前来我县签订正式中标合同，但中标公司一直以走流程为由迟迟未能签订。期间，我县向中标单位先后发出 4次敦促函，敦促无果后，委托昭庆律师事务所先后发出 2 次律师函，中标公司仍未签订正式合同，理由是启迪桑德环境资源股份有限公司被并购公司控股人和高层管理人员有大范围调整。因启迪桑德环境资源股份有限公司中标后始终未与县政府签订正式合同，致使该项目无法正常推进实施。</w:t>
      </w:r>
    </w:p>
    <w:p>
      <w:pPr>
        <w:pStyle w:val="2"/>
        <w:ind w:firstLine="640"/>
        <w:rPr>
          <w:rFonts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2019 年以来，4 家施工企业及马江山、刘怀栋、武士军3 人多次向启迪桑德环境资源股份有限公司索要拖欠工程款无果后，先后多次赴省进京上访，引发社会不稳定问题。县委、政府领导高度重视，为解决该问题，2021 年12月14日，经县信访工作联席会议议定，成立由县委副书记、政法委书记牵头，县信访局农业农村局、审计局、财政局、法院、双碑乡组成的工作专班，责成县农业农村局、双碑乡、信访局稳控好有关企业和人员，并做好具体情况摸排等前期工作。经了解摸排，4 家公司及3个当事人共索要工程款合计 1500 余万元。2022年3 月22日，县政府召开专题会议协调研究该问题，并议定按照“依法依规、妥善处置、维护稳定”的要求做好遗留问题处置工作，专班成员各司其职协同开展工作，县审计部门聘请第三方公司，对施工情况及工程现状进行了评估认定，经第三方评估认定工程款合计10566830元。2022年4月13日，县信访工作联席会议召开会议，对隆尧县美丽乡村建设暨文化旅游项目遗留问题处置有关进展情况进行了专题研究，议定采取法院调解裁定的方式解决工程款问题，由县农业农村局牵头，信访局、双碑乡配合做好协调及法院调解工作。经县法院调解，分别于2022年5月27日和5月31日出具了冀0525诉前调书193号、冀0525诉前调书202号、冀0525诉前调书203号、冀0525 诉前调书204号、冀0525 诉前调书205号调解书，按照调解结果，应给付潢川县诚蕙园林绿化有限公司景观工程款共计 4162593 元、邢台通硕建筑工程有限公司景观工程款共计 441000 元、河北靓琳园林绿化工程有限公司景观工程款共计 3750600 元、巨鹿县华耀园林工程有限公司景观工程款共计 371000 元，马江山、刘怀栋、武士军土方款及垃圾清运费分别为 713305 元、589477.5 元、538854.5 元，以上款项合计10566830元，分三年付清，其中，2022年8月31日前给付30%，即3170047.9元;2023年6月30日前给付30%，即3170047.9元;2024年6月30日前给付剩余40%，即4226734.2元。</w:t>
      </w:r>
    </w:p>
    <w:p>
      <w:pPr>
        <w:pStyle w:val="2"/>
        <w:ind w:firstLine="640"/>
        <w:rPr>
          <w:rFonts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按以上调解结果，今年8月 31 日前，应给付潢川县诚蕙园林绿化有限公司景观工程款 1248777.9 元、邢台通硕建筑工程有限公司景观工程款 132300 元、河北靓琳园林绿化工程有限公司景观工程款 1125180 元、巨鹿县华耀园林工程有限公司景观工程款111300元，给付武士军土方款及垃圾清运费161656元、马江山213991元、刘怀栋 176843 元，合计:3170047.9元案件受理费 56540 元，以上共计 3226587.9 元。</w:t>
      </w:r>
    </w:p>
    <w:p>
      <w:pPr>
        <w:pStyle w:val="2"/>
        <w:ind w:firstLine="640"/>
        <w:rPr>
          <w:rFonts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2022年8月31日、9月5日，我县分别召开第十四次政府常务会议和县委常委会进行研究，议定按照法院调解书结果，解决隆尧县美丽乡村建设暨文化旅游项目遗留问题，拨付 2022度工程款项，并做好信访维稳工作，</w:t>
      </w:r>
    </w:p>
    <w:p>
      <w:pPr>
        <w:pStyle w:val="2"/>
        <w:ind w:firstLine="640"/>
        <w:rPr>
          <w:rFonts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根据会议精神，目前已完成拨付工程款项、土方及垃圾清运费301.25万元。</w:t>
      </w:r>
    </w:p>
    <w:p>
      <w:pPr>
        <w:spacing w:line="580" w:lineRule="exact"/>
        <w:ind w:firstLine="643" w:firstLineChars="200"/>
        <w:outlineLvl w:val="0"/>
        <w:rPr>
          <w:rFonts w:ascii="仿宋_GB2312" w:hAnsi="仿宋_GB2312" w:eastAsia="仿宋_GB2312" w:cs="仿宋_GB2312"/>
          <w:b/>
          <w:bCs/>
          <w:sz w:val="32"/>
          <w:szCs w:val="40"/>
        </w:rPr>
      </w:pPr>
      <w:bookmarkStart w:id="37" w:name="_Toc12150"/>
      <w:bookmarkStart w:id="38" w:name="_Toc6451"/>
      <w:bookmarkStart w:id="39" w:name="_Toc5215"/>
      <w:bookmarkStart w:id="40" w:name="_Toc20904"/>
      <w:bookmarkStart w:id="41" w:name="_Toc29800"/>
      <w:bookmarkStart w:id="42" w:name="_Toc26855"/>
      <w:bookmarkStart w:id="43" w:name="_Toc5317"/>
      <w:bookmarkStart w:id="44" w:name="_Toc18915"/>
      <w:bookmarkStart w:id="45" w:name="_Toc10651"/>
      <w:bookmarkStart w:id="46" w:name="_Toc21501"/>
      <w:r>
        <w:rPr>
          <w:rFonts w:hint="eastAsia" w:ascii="仿宋_GB2312" w:hAnsi="仿宋_GB2312" w:eastAsia="仿宋_GB2312" w:cs="仿宋_GB2312"/>
          <w:b/>
          <w:bCs/>
          <w:sz w:val="32"/>
          <w:szCs w:val="40"/>
        </w:rPr>
        <w:t>三、绩效评价工作情况</w:t>
      </w:r>
      <w:bookmarkEnd w:id="37"/>
      <w:bookmarkEnd w:id="38"/>
      <w:bookmarkEnd w:id="39"/>
      <w:bookmarkEnd w:id="40"/>
      <w:bookmarkEnd w:id="41"/>
      <w:bookmarkEnd w:id="42"/>
      <w:bookmarkEnd w:id="43"/>
      <w:bookmarkEnd w:id="44"/>
      <w:bookmarkEnd w:id="45"/>
      <w:bookmarkEnd w:id="46"/>
    </w:p>
    <w:p>
      <w:pPr>
        <w:spacing w:line="580" w:lineRule="exact"/>
        <w:ind w:firstLine="640" w:firstLineChars="200"/>
        <w:outlineLvl w:val="1"/>
        <w:rPr>
          <w:rFonts w:ascii="仿宋_GB2312" w:hAnsi="仿宋_GB2312" w:eastAsia="仿宋_GB2312" w:cs="仿宋_GB2312"/>
          <w:sz w:val="32"/>
          <w:szCs w:val="40"/>
        </w:rPr>
      </w:pPr>
      <w:bookmarkStart w:id="47" w:name="_Toc5105"/>
      <w:bookmarkStart w:id="48" w:name="_Toc15730"/>
      <w:bookmarkStart w:id="49" w:name="_Toc23608"/>
      <w:bookmarkStart w:id="50" w:name="_Toc17355"/>
      <w:bookmarkStart w:id="51" w:name="_Toc22771"/>
      <w:bookmarkStart w:id="52" w:name="_Toc14742"/>
      <w:bookmarkStart w:id="53" w:name="_Toc8077"/>
      <w:bookmarkStart w:id="54" w:name="_Toc25600"/>
      <w:bookmarkStart w:id="55" w:name="_Toc7570"/>
      <w:bookmarkStart w:id="56" w:name="_Toc4056"/>
      <w:bookmarkStart w:id="57" w:name="_Toc5623"/>
      <w:bookmarkStart w:id="58" w:name="_Toc21014"/>
      <w:bookmarkStart w:id="59" w:name="_Toc10113"/>
      <w:bookmarkStart w:id="60" w:name="_Toc17025"/>
      <w:bookmarkStart w:id="61" w:name="_Toc20748"/>
      <w:bookmarkStart w:id="62" w:name="_Toc22222"/>
      <w:bookmarkStart w:id="63" w:name="_Toc28621"/>
      <w:bookmarkStart w:id="64" w:name="_Toc18842"/>
      <w:bookmarkStart w:id="65" w:name="_Toc6105"/>
      <w:bookmarkStart w:id="66" w:name="_Toc30508"/>
      <w:r>
        <w:rPr>
          <w:rFonts w:hint="eastAsia" w:ascii="仿宋_GB2312" w:hAnsi="仿宋_GB2312" w:eastAsia="仿宋_GB2312" w:cs="仿宋_GB2312"/>
          <w:sz w:val="32"/>
          <w:szCs w:val="40"/>
        </w:rPr>
        <w:t>（一）评价目的</w:t>
      </w:r>
      <w:bookmarkEnd w:id="47"/>
      <w:bookmarkEnd w:id="48"/>
      <w:bookmarkEnd w:id="49"/>
      <w:bookmarkEnd w:id="50"/>
      <w:bookmarkEnd w:id="51"/>
      <w:bookmarkEnd w:id="52"/>
      <w:bookmarkEnd w:id="53"/>
      <w:bookmarkEnd w:id="54"/>
      <w:bookmarkEnd w:id="55"/>
      <w:bookmarkEnd w:id="56"/>
    </w:p>
    <w:p>
      <w:pPr>
        <w:spacing w:line="580" w:lineRule="exact"/>
        <w:ind w:firstLine="640" w:firstLineChars="200"/>
        <w:outlineLvl w:val="1"/>
        <w:rPr>
          <w:rFonts w:ascii="仿宋_GB2312" w:hAnsi="仿宋_GB2312" w:eastAsia="仿宋_GB2312" w:cs="仿宋_GB2312"/>
          <w:sz w:val="32"/>
          <w:szCs w:val="40"/>
        </w:rPr>
      </w:pPr>
      <w:r>
        <w:rPr>
          <w:rFonts w:hint="eastAsia" w:ascii="仿宋_GB2312" w:hAnsi="仿宋_GB2312" w:eastAsia="仿宋_GB2312" w:cs="仿宋_GB2312"/>
          <w:sz w:val="32"/>
          <w:szCs w:val="40"/>
        </w:rPr>
        <w:t>通过绩效自评结果对比倒查的年初绩效目标设定质量情况，全面总结绩效目标设定是否清晰准确，绩效指标是否全面完整、科学合理，绩效标准是否恰当适宜、易于评价，深入分析原因，逐项查找差距。</w:t>
      </w:r>
    </w:p>
    <w:p>
      <w:pPr>
        <w:spacing w:line="580" w:lineRule="exact"/>
        <w:ind w:firstLine="640" w:firstLineChars="200"/>
        <w:outlineLvl w:val="1"/>
        <w:rPr>
          <w:rFonts w:ascii="仿宋_GB2312" w:hAnsi="仿宋_GB2312" w:eastAsia="仿宋_GB2312" w:cs="仿宋_GB2312"/>
          <w:sz w:val="32"/>
          <w:szCs w:val="40"/>
        </w:rPr>
      </w:pPr>
      <w:bookmarkStart w:id="67" w:name="_Toc27346"/>
      <w:bookmarkStart w:id="68" w:name="_Toc18502"/>
      <w:bookmarkStart w:id="69" w:name="_Toc22727"/>
      <w:bookmarkStart w:id="70" w:name="_Toc27199"/>
      <w:bookmarkStart w:id="71" w:name="_Toc16121"/>
      <w:bookmarkStart w:id="72" w:name="_Toc16971"/>
      <w:bookmarkStart w:id="73" w:name="_Toc8288"/>
      <w:bookmarkStart w:id="74" w:name="_Toc30351"/>
      <w:bookmarkStart w:id="75" w:name="_Toc25746"/>
      <w:bookmarkStart w:id="76" w:name="_Toc3910"/>
      <w:r>
        <w:rPr>
          <w:rFonts w:hint="eastAsia" w:ascii="仿宋_GB2312" w:hAnsi="仿宋_GB2312" w:eastAsia="仿宋_GB2312" w:cs="仿宋_GB2312"/>
          <w:sz w:val="32"/>
          <w:szCs w:val="40"/>
        </w:rPr>
        <w:t>（二）评价指标</w:t>
      </w:r>
      <w:bookmarkEnd w:id="67"/>
      <w:bookmarkEnd w:id="68"/>
      <w:bookmarkEnd w:id="69"/>
      <w:bookmarkEnd w:id="70"/>
      <w:bookmarkEnd w:id="71"/>
      <w:bookmarkEnd w:id="72"/>
      <w:bookmarkEnd w:id="73"/>
      <w:bookmarkEnd w:id="74"/>
      <w:bookmarkEnd w:id="75"/>
      <w:bookmarkEnd w:id="76"/>
    </w:p>
    <w:p>
      <w:pPr>
        <w:spacing w:line="580" w:lineRule="exact"/>
        <w:ind w:firstLine="640" w:firstLineChars="200"/>
        <w:outlineLvl w:val="1"/>
        <w:rPr>
          <w:rFonts w:ascii="仿宋_GB2312" w:hAnsi="仿宋_GB2312" w:eastAsia="仿宋_GB2312" w:cs="仿宋_GB2312"/>
          <w:sz w:val="32"/>
          <w:szCs w:val="40"/>
        </w:rPr>
      </w:pPr>
      <w:r>
        <w:rPr>
          <w:rFonts w:hint="eastAsia" w:ascii="仿宋_GB2312" w:hAnsi="仿宋_GB2312" w:eastAsia="仿宋_GB2312" w:cs="仿宋_GB2312"/>
          <w:sz w:val="32"/>
          <w:szCs w:val="40"/>
        </w:rPr>
        <w:t>评价指标。绩效评价指标共 100 分。具体为:“工作活动”设置 20分，工作活动”管理 20分，“工作活动”产出50分，“工作活动”效果10分。</w:t>
      </w:r>
    </w:p>
    <w:p>
      <w:pPr>
        <w:spacing w:line="580" w:lineRule="exact"/>
        <w:ind w:firstLine="640" w:firstLineChars="200"/>
        <w:outlineLvl w:val="1"/>
        <w:rPr>
          <w:rFonts w:ascii="仿宋_GB2312" w:hAnsi="仿宋_GB2312" w:eastAsia="仿宋_GB2312" w:cs="仿宋_GB2312"/>
          <w:sz w:val="32"/>
          <w:szCs w:val="40"/>
        </w:rPr>
      </w:pPr>
      <w:bookmarkStart w:id="77" w:name="_Toc12572"/>
      <w:bookmarkStart w:id="78" w:name="_Toc32306"/>
      <w:bookmarkStart w:id="79" w:name="_Toc5304"/>
      <w:bookmarkStart w:id="80" w:name="_Toc23270"/>
      <w:bookmarkStart w:id="81" w:name="_Toc32241"/>
      <w:bookmarkStart w:id="82" w:name="_Toc11684"/>
      <w:bookmarkStart w:id="83" w:name="_Toc5587"/>
      <w:bookmarkStart w:id="84" w:name="_Toc19068"/>
      <w:bookmarkStart w:id="85" w:name="_Toc25343"/>
      <w:bookmarkStart w:id="86" w:name="_Toc19154"/>
      <w:r>
        <w:rPr>
          <w:rFonts w:hint="eastAsia" w:ascii="仿宋_GB2312" w:hAnsi="仿宋_GB2312" w:eastAsia="仿宋_GB2312" w:cs="仿宋_GB2312"/>
          <w:sz w:val="32"/>
          <w:szCs w:val="40"/>
        </w:rPr>
        <w:t>（三）评价依据</w:t>
      </w:r>
      <w:bookmarkEnd w:id="77"/>
      <w:bookmarkEnd w:id="78"/>
      <w:bookmarkEnd w:id="79"/>
      <w:bookmarkEnd w:id="80"/>
      <w:bookmarkEnd w:id="81"/>
      <w:bookmarkEnd w:id="82"/>
      <w:bookmarkEnd w:id="83"/>
      <w:bookmarkEnd w:id="84"/>
      <w:bookmarkEnd w:id="85"/>
      <w:bookmarkEnd w:id="86"/>
    </w:p>
    <w:p>
      <w:pPr>
        <w:spacing w:line="580" w:lineRule="exact"/>
        <w:ind w:firstLine="640" w:firstLineChars="200"/>
        <w:outlineLvl w:val="1"/>
        <w:rPr>
          <w:rFonts w:ascii="仿宋_GB2312" w:hAnsi="仿宋_GB2312" w:eastAsia="仿宋_GB2312" w:cs="仿宋_GB2312"/>
          <w:sz w:val="32"/>
          <w:szCs w:val="40"/>
        </w:rPr>
      </w:pPr>
      <w:r>
        <w:rPr>
          <w:rFonts w:hint="eastAsia" w:ascii="仿宋_GB2312" w:hAnsi="仿宋_GB2312" w:eastAsia="仿宋_GB2312" w:cs="仿宋_GB2312"/>
          <w:sz w:val="32"/>
          <w:szCs w:val="40"/>
        </w:rPr>
        <w:t>依据:《隆尧县美丽乡村建设暨文化旅游项目事前评绩效评估报告》。</w:t>
      </w:r>
    </w:p>
    <w:p>
      <w:pPr>
        <w:spacing w:line="580" w:lineRule="exact"/>
        <w:ind w:firstLine="640" w:firstLineChars="200"/>
        <w:outlineLvl w:val="1"/>
        <w:rPr>
          <w:rFonts w:ascii="仿宋_GB2312" w:hAnsi="仿宋_GB2312" w:eastAsia="仿宋_GB2312" w:cs="仿宋_GB2312"/>
          <w:sz w:val="32"/>
          <w:szCs w:val="40"/>
        </w:rPr>
      </w:pPr>
      <w:bookmarkStart w:id="87" w:name="_Toc11243"/>
      <w:bookmarkStart w:id="88" w:name="_Toc6747"/>
      <w:bookmarkStart w:id="89" w:name="_Toc12940"/>
      <w:bookmarkStart w:id="90" w:name="_Toc26780"/>
      <w:bookmarkStart w:id="91" w:name="_Toc24302"/>
      <w:bookmarkStart w:id="92" w:name="_Toc9401"/>
      <w:bookmarkStart w:id="93" w:name="_Toc13179"/>
      <w:bookmarkStart w:id="94" w:name="_Toc1868"/>
      <w:bookmarkStart w:id="95" w:name="_Toc7393"/>
      <w:bookmarkStart w:id="96" w:name="_Toc22038"/>
      <w:r>
        <w:rPr>
          <w:rFonts w:hint="eastAsia" w:ascii="仿宋_GB2312" w:hAnsi="仿宋_GB2312" w:eastAsia="仿宋_GB2312" w:cs="仿宋_GB2312"/>
          <w:sz w:val="32"/>
          <w:szCs w:val="40"/>
        </w:rPr>
        <w:t>（四）评价的主要方法及等级设定</w:t>
      </w:r>
      <w:bookmarkEnd w:id="87"/>
      <w:bookmarkEnd w:id="88"/>
      <w:bookmarkEnd w:id="89"/>
      <w:bookmarkEnd w:id="90"/>
      <w:bookmarkEnd w:id="91"/>
      <w:bookmarkEnd w:id="92"/>
      <w:bookmarkEnd w:id="93"/>
      <w:bookmarkEnd w:id="94"/>
      <w:bookmarkEnd w:id="95"/>
      <w:bookmarkEnd w:id="96"/>
    </w:p>
    <w:p>
      <w:pPr>
        <w:spacing w:line="580" w:lineRule="exact"/>
        <w:ind w:firstLine="640" w:firstLineChars="200"/>
        <w:outlineLvl w:val="0"/>
        <w:rPr>
          <w:rFonts w:ascii="仿宋_GB2312" w:hAnsi="仿宋_GB2312" w:eastAsia="仿宋_GB2312" w:cs="仿宋_GB2312"/>
        </w:rPr>
      </w:pPr>
      <w:r>
        <w:rPr>
          <w:rFonts w:hint="eastAsia" w:ascii="仿宋_GB2312" w:hAnsi="仿宋_GB2312" w:eastAsia="仿宋_GB2312" w:cs="仿宋_GB2312"/>
          <w:sz w:val="32"/>
          <w:szCs w:val="40"/>
        </w:rPr>
        <w:t>绩效评价想、采取自评的方式，结果采取评分和评级相结合的方式，总分设置为 100 分，等级划分为四档:90(含)-100分为优、80(含)-90分为良、60(含)-80分为中、60分以下为差。</w:t>
      </w:r>
      <w:r>
        <w:rPr>
          <w:rFonts w:hint="eastAsia" w:ascii="仿宋_GB2312" w:hAnsi="仿宋_GB2312" w:eastAsia="仿宋_GB2312" w:cs="仿宋_GB2312"/>
          <w:b/>
          <w:bCs/>
          <w:sz w:val="32"/>
          <w:szCs w:val="40"/>
        </w:rPr>
        <w:t>四、绩效评价指标体系及得分情况</w:t>
      </w:r>
      <w:bookmarkEnd w:id="57"/>
      <w:bookmarkEnd w:id="58"/>
      <w:bookmarkEnd w:id="59"/>
      <w:bookmarkEnd w:id="60"/>
      <w:bookmarkEnd w:id="61"/>
      <w:bookmarkEnd w:id="62"/>
      <w:bookmarkEnd w:id="63"/>
      <w:bookmarkEnd w:id="64"/>
      <w:bookmarkEnd w:id="65"/>
      <w:bookmarkEnd w:id="66"/>
    </w:p>
    <w:p>
      <w:pPr>
        <w:ind w:firstLine="1554" w:firstLineChars="740"/>
      </w:pPr>
    </w:p>
    <w:tbl>
      <w:tblPr>
        <w:tblStyle w:val="7"/>
        <w:tblW w:w="8404" w:type="dxa"/>
        <w:tblInd w:w="0" w:type="dxa"/>
        <w:tblLayout w:type="fixed"/>
        <w:tblCellMar>
          <w:top w:w="0" w:type="dxa"/>
          <w:left w:w="0" w:type="dxa"/>
          <w:bottom w:w="0" w:type="dxa"/>
          <w:right w:w="0" w:type="dxa"/>
        </w:tblCellMar>
      </w:tblPr>
      <w:tblGrid>
        <w:gridCol w:w="958"/>
        <w:gridCol w:w="674"/>
        <w:gridCol w:w="2083"/>
        <w:gridCol w:w="545"/>
        <w:gridCol w:w="3557"/>
        <w:gridCol w:w="587"/>
      </w:tblGrid>
      <w:tr>
        <w:tblPrEx>
          <w:tblCellMar>
            <w:top w:w="0" w:type="dxa"/>
            <w:left w:w="0" w:type="dxa"/>
            <w:bottom w:w="0" w:type="dxa"/>
            <w:right w:w="0" w:type="dxa"/>
          </w:tblCellMar>
        </w:tblPrEx>
        <w:trPr>
          <w:trHeight w:val="660" w:hRule="atLeast"/>
        </w:trPr>
        <w:tc>
          <w:tcPr>
            <w:tcW w:w="8404" w:type="dxa"/>
            <w:gridSpan w:val="6"/>
            <w:tcBorders>
              <w:top w:val="nil"/>
              <w:left w:val="nil"/>
              <w:bottom w:val="single" w:color="000000" w:sz="4" w:space="0"/>
              <w:right w:val="nil"/>
            </w:tcBorders>
            <w:tcMar>
              <w:top w:w="12" w:type="dxa"/>
              <w:left w:w="12" w:type="dxa"/>
              <w:right w:w="12" w:type="dxa"/>
            </w:tcMar>
            <w:vAlign w:val="center"/>
          </w:tcPr>
          <w:p>
            <w:pPr>
              <w:widowControl/>
              <w:jc w:val="center"/>
              <w:textAlignment w:val="center"/>
              <w:rPr>
                <w:rFonts w:ascii="仿宋_GB2312" w:hAnsi="仿宋_GB2312" w:eastAsia="仿宋_GB2312" w:cs="仿宋_GB2312"/>
                <w:sz w:val="32"/>
                <w:szCs w:val="40"/>
              </w:rPr>
            </w:pPr>
            <w:r>
              <w:rPr>
                <w:rFonts w:hint="eastAsia" w:ascii="仿宋_GB2312" w:hAnsi="仿宋_GB2312" w:eastAsia="仿宋_GB2312" w:cs="仿宋_GB2312"/>
                <w:sz w:val="32"/>
                <w:szCs w:val="40"/>
              </w:rPr>
              <w:t>美丽乡村建设暨文化旅游项目</w:t>
            </w:r>
          </w:p>
          <w:p>
            <w:pPr>
              <w:widowControl/>
              <w:jc w:val="center"/>
              <w:textAlignment w:val="center"/>
            </w:pPr>
            <w:r>
              <w:rPr>
                <w:rFonts w:hint="eastAsia" w:ascii="仿宋_GB2312" w:hAnsi="仿宋_GB2312" w:eastAsia="仿宋_GB2312" w:cs="仿宋_GB2312"/>
                <w:b/>
                <w:color w:val="000000"/>
                <w:kern w:val="0"/>
                <w:sz w:val="28"/>
                <w:szCs w:val="28"/>
              </w:rPr>
              <w:t>重点绩效评价指标表</w:t>
            </w:r>
          </w:p>
        </w:tc>
      </w:tr>
      <w:tr>
        <w:tblPrEx>
          <w:tblCellMar>
            <w:top w:w="0" w:type="dxa"/>
            <w:left w:w="0" w:type="dxa"/>
            <w:bottom w:w="0" w:type="dxa"/>
            <w:right w:w="0" w:type="dxa"/>
          </w:tblCellMar>
        </w:tblPrEx>
        <w:trPr>
          <w:trHeight w:val="585" w:hRule="atLeast"/>
        </w:trPr>
        <w:tc>
          <w:tcPr>
            <w:tcW w:w="958" w:type="dxa"/>
            <w:tcBorders>
              <w:top w:val="single" w:color="000000" w:sz="4" w:space="0"/>
              <w:left w:val="single" w:color="000000" w:sz="4" w:space="0"/>
              <w:bottom w:val="single" w:color="000000" w:sz="4" w:space="0"/>
              <w:right w:val="nil"/>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 xml:space="preserve">一级指标  </w:t>
            </w:r>
          </w:p>
        </w:tc>
        <w:tc>
          <w:tcPr>
            <w:tcW w:w="6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二级指标</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 xml:space="preserve"> 三级指标</w:t>
            </w:r>
          </w:p>
        </w:tc>
        <w:tc>
          <w:tcPr>
            <w:tcW w:w="545" w:type="dxa"/>
            <w:vMerge w:val="restart"/>
            <w:tcBorders>
              <w:top w:val="single" w:color="000000" w:sz="4" w:space="0"/>
              <w:left w:val="nil"/>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分值</w:t>
            </w:r>
          </w:p>
        </w:tc>
        <w:tc>
          <w:tcPr>
            <w:tcW w:w="3557"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指标说明</w:t>
            </w:r>
          </w:p>
        </w:tc>
        <w:tc>
          <w:tcPr>
            <w:tcW w:w="587"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得分</w:t>
            </w:r>
          </w:p>
        </w:tc>
      </w:tr>
      <w:tr>
        <w:tblPrEx>
          <w:tblCellMar>
            <w:top w:w="0" w:type="dxa"/>
            <w:left w:w="0" w:type="dxa"/>
            <w:bottom w:w="0" w:type="dxa"/>
            <w:right w:w="0" w:type="dxa"/>
          </w:tblCellMar>
        </w:tblPrEx>
        <w:trPr>
          <w:trHeight w:val="345" w:hRule="atLeast"/>
        </w:trPr>
        <w:tc>
          <w:tcPr>
            <w:tcW w:w="95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6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545" w:type="dxa"/>
            <w:vMerge w:val="continue"/>
            <w:tcBorders>
              <w:top w:val="single" w:color="000000" w:sz="4" w:space="0"/>
              <w:left w:val="nil"/>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b/>
                <w:color w:val="000000"/>
                <w:sz w:val="24"/>
              </w:rPr>
            </w:pPr>
          </w:p>
        </w:tc>
        <w:tc>
          <w:tcPr>
            <w:tcW w:w="3557"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b/>
                <w:color w:val="000000"/>
                <w:sz w:val="24"/>
              </w:rPr>
            </w:pPr>
          </w:p>
        </w:tc>
        <w:tc>
          <w:tcPr>
            <w:tcW w:w="587"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b/>
                <w:color w:val="000000"/>
                <w:sz w:val="24"/>
              </w:rPr>
            </w:pPr>
          </w:p>
        </w:tc>
      </w:tr>
      <w:tr>
        <w:tblPrEx>
          <w:tblCellMar>
            <w:top w:w="0" w:type="dxa"/>
            <w:left w:w="0" w:type="dxa"/>
            <w:bottom w:w="0" w:type="dxa"/>
            <w:right w:w="0" w:type="dxa"/>
          </w:tblCellMar>
        </w:tblPrEx>
        <w:trPr>
          <w:trHeight w:val="660" w:hRule="atLeast"/>
        </w:trPr>
        <w:tc>
          <w:tcPr>
            <w:tcW w:w="958"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“工作活动”设置（20分）</w:t>
            </w: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项目立项情况</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是否符合政府经济和社会总体发展规划</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有政府相关政策、规划、任务等文件得2分；无不得分。</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 6</w:t>
            </w:r>
          </w:p>
        </w:tc>
      </w:tr>
      <w:tr>
        <w:tblPrEx>
          <w:tblCellMar>
            <w:top w:w="0" w:type="dxa"/>
            <w:left w:w="0" w:type="dxa"/>
            <w:bottom w:w="0" w:type="dxa"/>
            <w:right w:w="0" w:type="dxa"/>
          </w:tblCellMar>
        </w:tblPrEx>
        <w:trPr>
          <w:trHeight w:val="1164" w:hRule="atLeast"/>
        </w:trPr>
        <w:tc>
          <w:tcPr>
            <w:tcW w:w="95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项目活动与职责相关性</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工作活动与部门职责、工作规划和重点工作相关，工作活动项下确定的预算项目合理，与工作活动密切相关，工作活动和项目预算安排合理，得4分；否则不得分。</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4 </w:t>
            </w:r>
          </w:p>
        </w:tc>
      </w:tr>
      <w:tr>
        <w:tblPrEx>
          <w:tblCellMar>
            <w:top w:w="0" w:type="dxa"/>
            <w:left w:w="0" w:type="dxa"/>
            <w:bottom w:w="0" w:type="dxa"/>
            <w:right w:w="0" w:type="dxa"/>
          </w:tblCellMar>
        </w:tblPrEx>
        <w:trPr>
          <w:trHeight w:val="564" w:hRule="atLeast"/>
        </w:trPr>
        <w:tc>
          <w:tcPr>
            <w:tcW w:w="95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绩效自评情况</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项目设立绩效目标合理性</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①是否将项目绩效目标细化分解为具体的绩效指标；</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②是否通过清晰、可衡量的指标值予以体现；</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③是否与项目年度任务数或计划数相对应；</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④是否与预算确定的项目投资额或资金量相匹配。</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缺少一项扣1分,扣完为止。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4 </w:t>
            </w:r>
          </w:p>
        </w:tc>
      </w:tr>
      <w:tr>
        <w:tblPrEx>
          <w:tblCellMar>
            <w:top w:w="0" w:type="dxa"/>
            <w:left w:w="0" w:type="dxa"/>
            <w:bottom w:w="0" w:type="dxa"/>
            <w:right w:w="0" w:type="dxa"/>
          </w:tblCellMar>
        </w:tblPrEx>
        <w:trPr>
          <w:trHeight w:val="1460" w:hRule="atLeast"/>
        </w:trPr>
        <w:tc>
          <w:tcPr>
            <w:tcW w:w="95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自评报告情况</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是否有绩效评价报告，报告是否依据充分、内容真实完整；数据准确、分析透彻。每存在一项问题扣2分，扣完为止。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6 </w:t>
            </w:r>
          </w:p>
        </w:tc>
      </w:tr>
      <w:tr>
        <w:tblPrEx>
          <w:tblCellMar>
            <w:top w:w="0" w:type="dxa"/>
            <w:left w:w="0" w:type="dxa"/>
            <w:bottom w:w="0" w:type="dxa"/>
            <w:right w:w="0" w:type="dxa"/>
          </w:tblCellMar>
        </w:tblPrEx>
        <w:trPr>
          <w:trHeight w:val="1020" w:hRule="atLeast"/>
        </w:trPr>
        <w:tc>
          <w:tcPr>
            <w:tcW w:w="958"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“工作活动”管理（20分）</w:t>
            </w: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资金管理</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预算调整率</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预算调整率=（预算调整数/预算数）×100%。预算调整率每大于1%扣1分，扣完为止。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r>
      <w:tr>
        <w:tblPrEx>
          <w:tblCellMar>
            <w:top w:w="0" w:type="dxa"/>
            <w:left w:w="0" w:type="dxa"/>
            <w:bottom w:w="0" w:type="dxa"/>
            <w:right w:w="0" w:type="dxa"/>
          </w:tblCellMar>
        </w:tblPrEx>
        <w:trPr>
          <w:trHeight w:val="1020" w:hRule="atLeast"/>
        </w:trPr>
        <w:tc>
          <w:tcPr>
            <w:tcW w:w="958"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资金使用合规性</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项目资金使用是否符合国家财经法规及相关的财务管理制度规定，资金支出程序是否规范,报账手续是否齐全。每存在一项不合规问题扣2分，扣完为止。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r>
      <w:tr>
        <w:tblPrEx>
          <w:tblCellMar>
            <w:top w:w="0" w:type="dxa"/>
            <w:left w:w="0" w:type="dxa"/>
            <w:bottom w:w="0" w:type="dxa"/>
            <w:right w:w="0" w:type="dxa"/>
          </w:tblCellMar>
        </w:tblPrEx>
        <w:trPr>
          <w:trHeight w:val="1220"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会计核算规范性</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会计核算是否符合《会计法》、《政府会计制度》、《会计基础工作规范》等法律法规和相关制度规定。每存在一项不合规问题扣1分，扣完为止。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 4</w:t>
            </w:r>
          </w:p>
        </w:tc>
      </w:tr>
      <w:tr>
        <w:tblPrEx>
          <w:tblCellMar>
            <w:top w:w="0" w:type="dxa"/>
            <w:left w:w="0" w:type="dxa"/>
            <w:bottom w:w="0" w:type="dxa"/>
            <w:right w:w="0" w:type="dxa"/>
          </w:tblCellMar>
        </w:tblPrEx>
        <w:trPr>
          <w:trHeight w:val="1740"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项目管理</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项目责任机制是否健全</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是否建立责任机制，项目管理和责任落实到有关人。每存在一项问题扣1分，扣完为止。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4 </w:t>
            </w:r>
          </w:p>
        </w:tc>
      </w:tr>
      <w:tr>
        <w:tblPrEx>
          <w:tblCellMar>
            <w:top w:w="0" w:type="dxa"/>
            <w:left w:w="0" w:type="dxa"/>
            <w:bottom w:w="0" w:type="dxa"/>
            <w:right w:w="0" w:type="dxa"/>
          </w:tblCellMar>
        </w:tblPrEx>
        <w:trPr>
          <w:trHeight w:val="756"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管理制度健全性</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制定管理制度和措施（包括财务制度）是否明确、清晰、具有可操作性，能否保障工作活动顺利实施。每缺少一项制度扣1分，扣完为止。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4 </w:t>
            </w:r>
          </w:p>
        </w:tc>
      </w:tr>
      <w:tr>
        <w:tblPrEx>
          <w:tblCellMar>
            <w:top w:w="0" w:type="dxa"/>
            <w:left w:w="0" w:type="dxa"/>
            <w:bottom w:w="0" w:type="dxa"/>
            <w:right w:w="0" w:type="dxa"/>
          </w:tblCellMar>
        </w:tblPrEx>
        <w:trPr>
          <w:trHeight w:val="90" w:hRule="atLeast"/>
        </w:trPr>
        <w:tc>
          <w:tcPr>
            <w:tcW w:w="958" w:type="dxa"/>
            <w:vMerge w:val="restart"/>
            <w:tcBorders>
              <w:top w:val="single" w:color="000000" w:sz="4" w:space="0"/>
              <w:left w:val="single" w:color="000000" w:sz="4" w:space="0"/>
              <w:bottom w:val="nil"/>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“工作活动”产出（50分）</w:t>
            </w: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数量指标</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美丽乡村及文化旅游业发展</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20</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20</w:t>
            </w:r>
          </w:p>
        </w:tc>
      </w:tr>
      <w:tr>
        <w:tblPrEx>
          <w:tblCellMar>
            <w:top w:w="0" w:type="dxa"/>
            <w:left w:w="0" w:type="dxa"/>
            <w:bottom w:w="0" w:type="dxa"/>
            <w:right w:w="0" w:type="dxa"/>
          </w:tblCellMar>
        </w:tblPrEx>
        <w:trPr>
          <w:trHeight w:val="568"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指标2</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r>
      <w:tr>
        <w:tblPrEx>
          <w:tblCellMar>
            <w:top w:w="0" w:type="dxa"/>
            <w:left w:w="0" w:type="dxa"/>
            <w:bottom w:w="0" w:type="dxa"/>
            <w:right w:w="0" w:type="dxa"/>
          </w:tblCellMar>
        </w:tblPrEx>
        <w:trPr>
          <w:trHeight w:val="568"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指标3</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 </w:t>
            </w:r>
          </w:p>
        </w:tc>
      </w:tr>
      <w:tr>
        <w:tblPrEx>
          <w:tblCellMar>
            <w:top w:w="0" w:type="dxa"/>
            <w:left w:w="0" w:type="dxa"/>
            <w:bottom w:w="0" w:type="dxa"/>
            <w:right w:w="0" w:type="dxa"/>
          </w:tblCellMar>
        </w:tblPrEx>
        <w:trPr>
          <w:trHeight w:val="642"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质量指标</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群众文化活动参与率</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10</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10 </w:t>
            </w:r>
          </w:p>
        </w:tc>
      </w:tr>
      <w:tr>
        <w:tblPrEx>
          <w:tblCellMar>
            <w:top w:w="0" w:type="dxa"/>
            <w:left w:w="0" w:type="dxa"/>
            <w:bottom w:w="0" w:type="dxa"/>
            <w:right w:w="0" w:type="dxa"/>
          </w:tblCellMar>
        </w:tblPrEx>
        <w:trPr>
          <w:trHeight w:val="488"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指标2</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 </w:t>
            </w:r>
          </w:p>
        </w:tc>
      </w:tr>
      <w:tr>
        <w:tblPrEx>
          <w:tblCellMar>
            <w:top w:w="0" w:type="dxa"/>
            <w:left w:w="0" w:type="dxa"/>
            <w:bottom w:w="0" w:type="dxa"/>
            <w:right w:w="0" w:type="dxa"/>
          </w:tblCellMar>
        </w:tblPrEx>
        <w:trPr>
          <w:trHeight w:val="622"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指标3</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r>
      <w:tr>
        <w:tblPrEx>
          <w:tblCellMar>
            <w:top w:w="0" w:type="dxa"/>
            <w:left w:w="0" w:type="dxa"/>
            <w:bottom w:w="0" w:type="dxa"/>
            <w:right w:w="0" w:type="dxa"/>
          </w:tblCellMar>
        </w:tblPrEx>
        <w:trPr>
          <w:trHeight w:val="594" w:hRule="atLeast"/>
        </w:trPr>
        <w:tc>
          <w:tcPr>
            <w:tcW w:w="95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指标4</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 </w:t>
            </w:r>
          </w:p>
        </w:tc>
      </w:tr>
      <w:tr>
        <w:tblPrEx>
          <w:tblCellMar>
            <w:top w:w="0" w:type="dxa"/>
            <w:left w:w="0" w:type="dxa"/>
            <w:bottom w:w="0" w:type="dxa"/>
            <w:right w:w="0" w:type="dxa"/>
          </w:tblCellMar>
        </w:tblPrEx>
        <w:trPr>
          <w:trHeight w:val="586" w:hRule="atLeast"/>
        </w:trPr>
        <w:tc>
          <w:tcPr>
            <w:tcW w:w="95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时效指标</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各项任务完成及时率（%）</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10</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8</w:t>
            </w:r>
          </w:p>
        </w:tc>
      </w:tr>
      <w:tr>
        <w:tblPrEx>
          <w:tblCellMar>
            <w:top w:w="0" w:type="dxa"/>
            <w:left w:w="0" w:type="dxa"/>
            <w:bottom w:w="0" w:type="dxa"/>
            <w:right w:w="0" w:type="dxa"/>
          </w:tblCellMar>
        </w:tblPrEx>
        <w:trPr>
          <w:trHeight w:val="470" w:hRule="atLeast"/>
        </w:trPr>
        <w:tc>
          <w:tcPr>
            <w:tcW w:w="95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指标2</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 </w:t>
            </w:r>
          </w:p>
        </w:tc>
      </w:tr>
      <w:tr>
        <w:tblPrEx>
          <w:tblCellMar>
            <w:top w:w="0" w:type="dxa"/>
            <w:left w:w="0" w:type="dxa"/>
            <w:bottom w:w="0" w:type="dxa"/>
            <w:right w:w="0" w:type="dxa"/>
          </w:tblCellMar>
        </w:tblPrEx>
        <w:trPr>
          <w:trHeight w:val="405" w:hRule="atLeast"/>
        </w:trPr>
        <w:tc>
          <w:tcPr>
            <w:tcW w:w="958"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“工作活动”效果（</w:t>
            </w:r>
            <w:r>
              <w:rPr>
                <w:rFonts w:hint="eastAsia" w:ascii="仿宋_GB2312" w:hAnsi="仿宋_GB2312" w:eastAsia="仿宋_GB2312" w:cs="仿宋_GB2312"/>
                <w:color w:val="000000"/>
                <w:kern w:val="0"/>
                <w:sz w:val="22"/>
                <w:szCs w:val="22"/>
              </w:rPr>
              <w:t>10</w:t>
            </w:r>
            <w:r>
              <w:rPr>
                <w:rFonts w:hint="eastAsia" w:ascii="仿宋_GB2312" w:hAnsi="仿宋_GB2312" w:eastAsia="仿宋_GB2312" w:cs="仿宋_GB2312"/>
                <w:color w:val="000000"/>
                <w:sz w:val="22"/>
                <w:szCs w:val="22"/>
              </w:rPr>
              <w:t>分）</w:t>
            </w:r>
          </w:p>
        </w:tc>
        <w:tc>
          <w:tcPr>
            <w:tcW w:w="674"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rPr>
            </w:pPr>
            <w:r>
              <w:rPr>
                <w:rFonts w:hint="eastAsia" w:ascii="仿宋_GB2312" w:hAnsi="仿宋_GB2312" w:eastAsia="仿宋_GB2312" w:cs="仿宋_GB2312"/>
              </w:rPr>
              <w:t>满意度</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受益人口满意度</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kern w:val="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r>
      <w:tr>
        <w:tblPrEx>
          <w:tblCellMar>
            <w:top w:w="0" w:type="dxa"/>
            <w:left w:w="0" w:type="dxa"/>
            <w:bottom w:w="0" w:type="dxa"/>
            <w:right w:w="0" w:type="dxa"/>
          </w:tblCellMar>
        </w:tblPrEx>
        <w:trPr>
          <w:trHeight w:val="405" w:hRule="atLeast"/>
        </w:trPr>
        <w:tc>
          <w:tcPr>
            <w:tcW w:w="958"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指标2</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kern w:val="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p>
        </w:tc>
      </w:tr>
      <w:tr>
        <w:tblPrEx>
          <w:tblCellMar>
            <w:top w:w="0" w:type="dxa"/>
            <w:left w:w="0" w:type="dxa"/>
            <w:bottom w:w="0" w:type="dxa"/>
            <w:right w:w="0" w:type="dxa"/>
          </w:tblCellMar>
        </w:tblPrEx>
        <w:trPr>
          <w:trHeight w:val="405" w:hRule="atLeast"/>
        </w:trPr>
        <w:tc>
          <w:tcPr>
            <w:tcW w:w="95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ind w:firstLine="220" w:firstLineChars="100"/>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合计</w:t>
            </w:r>
          </w:p>
        </w:tc>
        <w:tc>
          <w:tcPr>
            <w:tcW w:w="6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kern w:val="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98</w:t>
            </w:r>
          </w:p>
        </w:tc>
      </w:tr>
    </w:tbl>
    <w:p>
      <w:pPr>
        <w:pStyle w:val="2"/>
        <w:spacing w:line="560" w:lineRule="exact"/>
        <w:ind w:left="420" w:leftChars="200" w:firstLine="320" w:firstLineChars="100"/>
        <w:outlineLvl w:val="0"/>
        <w:rPr>
          <w:rFonts w:ascii="仿宋_GB2312" w:hAnsi="仿宋_GB2312" w:eastAsia="仿宋_GB2312" w:cs="仿宋_GB2312"/>
          <w:color w:val="000000"/>
          <w:sz w:val="32"/>
          <w:szCs w:val="32"/>
        </w:rPr>
      </w:pPr>
      <w:bookmarkStart w:id="97" w:name="_Toc2634_WPSOffice_Level1"/>
      <w:r>
        <w:rPr>
          <w:rFonts w:hint="eastAsia" w:ascii="仿宋_GB2312" w:hAnsi="仿宋_GB2312" w:eastAsia="仿宋_GB2312" w:cs="仿宋_GB2312"/>
          <w:color w:val="000000"/>
          <w:sz w:val="32"/>
          <w:szCs w:val="32"/>
        </w:rPr>
        <w:t>五、评价分析</w:t>
      </w:r>
      <w:bookmarkEnd w:id="97"/>
    </w:p>
    <w:p>
      <w:pPr>
        <w:spacing w:line="560" w:lineRule="exact"/>
        <w:ind w:firstLine="640" w:firstLineChars="200"/>
        <w:outlineLvl w:val="1"/>
        <w:rPr>
          <w:rFonts w:ascii="仿宋_GB2312" w:hAnsi="仿宋_GB2312" w:eastAsia="仿宋_GB2312" w:cs="仿宋_GB2312"/>
          <w:color w:val="000000"/>
          <w:sz w:val="32"/>
          <w:szCs w:val="40"/>
        </w:rPr>
      </w:pPr>
      <w:bookmarkStart w:id="98" w:name="_Toc18513_WPSOffice_Level2"/>
      <w:r>
        <w:rPr>
          <w:rFonts w:hint="eastAsia" w:ascii="仿宋_GB2312" w:hAnsi="仿宋_GB2312" w:eastAsia="仿宋_GB2312" w:cs="仿宋_GB2312"/>
          <w:color w:val="000000"/>
          <w:sz w:val="32"/>
          <w:szCs w:val="40"/>
        </w:rPr>
        <w:t>（一）主要扣分事项及原因分析</w:t>
      </w:r>
      <w:bookmarkEnd w:id="98"/>
    </w:p>
    <w:p>
      <w:pPr>
        <w:pStyle w:val="2"/>
        <w:spacing w:line="560" w:lineRule="exact"/>
        <w:ind w:left="420" w:leftChars="200" w:firstLine="480" w:firstLineChars="150"/>
        <w:jc w:val="left"/>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40"/>
        </w:rPr>
        <w:t>该项目资金支付过程中，土方清运工程方马江山与王书庆有建设工程施工合同纠纷，未能支付资金21.41万元，因此，资金执行率项扣分。</w:t>
      </w:r>
      <w:r>
        <w:rPr>
          <w:rFonts w:hint="eastAsia"/>
          <w:color w:val="auto"/>
        </w:rPr>
        <w:t>现</w:t>
      </w:r>
      <w:r>
        <w:rPr>
          <w:rFonts w:hint="eastAsia" w:ascii="仿宋_GB2312" w:hAnsi="仿宋_GB2312" w:eastAsia="仿宋_GB2312" w:cs="仿宋_GB2312"/>
          <w:color w:val="000000"/>
          <w:sz w:val="32"/>
          <w:szCs w:val="40"/>
        </w:rPr>
        <w:t>土方清运工程方马江山与王书庆建设工程施工合同纠纷一案，由隆尧县人民法院审理调解，待审理调解工作完成后，及时支付马江山工程款。</w:t>
      </w:r>
    </w:p>
    <w:p>
      <w:pPr>
        <w:pStyle w:val="2"/>
        <w:ind w:firstLine="560"/>
      </w:pPr>
    </w:p>
    <w:p>
      <w:pPr>
        <w:pStyle w:val="2"/>
        <w:spacing w:line="560" w:lineRule="exact"/>
        <w:ind w:left="420" w:leftChars="200" w:firstLine="320" w:firstLineChars="100"/>
        <w:outlineLvl w:val="0"/>
        <w:rPr>
          <w:rFonts w:ascii="仿宋_GB2312" w:hAnsi="仿宋_GB2312" w:eastAsia="仿宋_GB2312" w:cs="仿宋_GB2312"/>
          <w:color w:val="000000"/>
          <w:sz w:val="32"/>
          <w:szCs w:val="32"/>
        </w:rPr>
      </w:pPr>
      <w:bookmarkStart w:id="99" w:name="_Toc11279_WPSOffice_Level1"/>
      <w:r>
        <w:rPr>
          <w:rFonts w:hint="eastAsia" w:ascii="仿宋_GB2312" w:hAnsi="仿宋_GB2312" w:eastAsia="仿宋_GB2312" w:cs="仿宋_GB2312"/>
          <w:color w:val="000000"/>
          <w:sz w:val="32"/>
          <w:szCs w:val="32"/>
        </w:rPr>
        <w:t>六、意见及建议</w:t>
      </w:r>
      <w:bookmarkEnd w:id="99"/>
    </w:p>
    <w:p>
      <w:pPr>
        <w:pStyle w:val="2"/>
        <w:spacing w:line="560" w:lineRule="exact"/>
        <w:ind w:left="420" w:leftChars="200" w:firstLine="2080" w:firstLineChars="650"/>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无</w:t>
      </w:r>
    </w:p>
    <w:p>
      <w:pPr>
        <w:pStyle w:val="2"/>
        <w:spacing w:line="560" w:lineRule="exact"/>
        <w:ind w:left="420" w:leftChars="200" w:firstLine="4960" w:firstLineChars="1550"/>
        <w:outlineLvl w:val="0"/>
        <w:rPr>
          <w:rFonts w:ascii="仿宋_GB2312" w:hAnsi="仿宋_GB2312" w:eastAsia="仿宋_GB2312" w:cs="仿宋_GB2312"/>
          <w:color w:val="000000"/>
          <w:sz w:val="32"/>
          <w:szCs w:val="32"/>
        </w:rPr>
      </w:pPr>
    </w:p>
    <w:p>
      <w:pPr>
        <w:pStyle w:val="2"/>
        <w:spacing w:line="560" w:lineRule="exact"/>
        <w:ind w:left="420" w:leftChars="200" w:firstLine="4960" w:firstLineChars="1550"/>
        <w:outlineLvl w:val="0"/>
        <w:rPr>
          <w:rFonts w:ascii="仿宋_GB2312" w:hAnsi="仿宋_GB2312" w:eastAsia="仿宋_GB2312" w:cs="仿宋_GB2312"/>
          <w:color w:val="000000"/>
          <w:sz w:val="32"/>
          <w:szCs w:val="32"/>
        </w:rPr>
      </w:pPr>
    </w:p>
    <w:p>
      <w:pPr>
        <w:pStyle w:val="2"/>
        <w:spacing w:line="560" w:lineRule="exact"/>
        <w:ind w:left="420" w:leftChars="200" w:firstLine="4960" w:firstLineChars="1550"/>
        <w:outlineLvl w:val="0"/>
        <w:rPr>
          <w:rFonts w:ascii="仿宋_GB2312" w:hAnsi="仿宋_GB2312" w:eastAsia="仿宋_GB2312" w:cs="仿宋_GB2312"/>
          <w:color w:val="000000"/>
          <w:sz w:val="32"/>
          <w:szCs w:val="32"/>
        </w:rPr>
      </w:pPr>
    </w:p>
    <w:p>
      <w:pPr>
        <w:spacing w:line="560" w:lineRule="exact"/>
        <w:ind w:firstLine="5760" w:firstLineChars="1800"/>
        <w:rPr>
          <w:rFonts w:ascii="仿宋_GB2312" w:hAnsi="仿宋_GB2312" w:eastAsia="仿宋_GB2312" w:cs="仿宋_GB2312"/>
          <w:color w:val="000000"/>
        </w:rPr>
      </w:pPr>
      <w:r>
        <w:rPr>
          <w:rFonts w:hint="eastAsia" w:ascii="仿宋_GB2312" w:hAnsi="仿宋_GB2312" w:eastAsia="仿宋_GB2312" w:cs="仿宋_GB2312"/>
          <w:color w:val="000000"/>
          <w:sz w:val="32"/>
          <w:szCs w:val="32"/>
        </w:rPr>
        <w:t>2023年3月15日</w:t>
      </w:r>
    </w:p>
    <w:p>
      <w:pPr>
        <w:rPr>
          <w:rFonts w:ascii="仿宋_GB2312" w:hAnsi="仿宋_GB2312" w:eastAsia="仿宋_GB2312" w:cs="仿宋_GB2312"/>
        </w:rPr>
      </w:pPr>
    </w:p>
    <w:sectPr>
      <w:footerReference r:id="rId3" w:type="default"/>
      <w:pgSz w:w="11906" w:h="16838"/>
      <w:pgMar w:top="2154" w:right="1474" w:bottom="1984" w:left="158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Courier New"/>
    <w:panose1 w:val="00000000000000000000"/>
    <w:charset w:val="B1"/>
    <w:family w:val="auto"/>
    <w:pitch w:val="default"/>
    <w:sig w:usb0="00000000" w:usb1="00000000" w:usb2="00000000" w:usb3="00000000" w:csb0="00000020"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hzD29rgEAAEsD&#10;AAAOAAAAAAAAAAEAIAAAAB4BAABkcnMvZTJvRG9jLnhtbFBLBQYAAAAABgAGAFkBAAA+BQAAAAA=&#1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jkwNGIzMTM3NzcyODk5Y2IxNWVlMTgzMjllODBkNGUifQ=="/>
  </w:docVars>
  <w:rsids>
    <w:rsidRoot w:val="07CC499B"/>
    <w:rsid w:val="00053FF6"/>
    <w:rsid w:val="00092B14"/>
    <w:rsid w:val="000D47D0"/>
    <w:rsid w:val="001373BE"/>
    <w:rsid w:val="00156BD0"/>
    <w:rsid w:val="00182FFF"/>
    <w:rsid w:val="001F3212"/>
    <w:rsid w:val="002707C6"/>
    <w:rsid w:val="00280F82"/>
    <w:rsid w:val="0028440D"/>
    <w:rsid w:val="003170CE"/>
    <w:rsid w:val="00330835"/>
    <w:rsid w:val="003C4354"/>
    <w:rsid w:val="0047255B"/>
    <w:rsid w:val="004A290B"/>
    <w:rsid w:val="004F7AEC"/>
    <w:rsid w:val="0064408B"/>
    <w:rsid w:val="00645DBC"/>
    <w:rsid w:val="007812E3"/>
    <w:rsid w:val="00814E39"/>
    <w:rsid w:val="008B386F"/>
    <w:rsid w:val="008C7CF4"/>
    <w:rsid w:val="008F7E64"/>
    <w:rsid w:val="009059DB"/>
    <w:rsid w:val="009F48A3"/>
    <w:rsid w:val="00A02C66"/>
    <w:rsid w:val="00A46F67"/>
    <w:rsid w:val="00A859A0"/>
    <w:rsid w:val="00AB413B"/>
    <w:rsid w:val="00AC7CF1"/>
    <w:rsid w:val="00B60E03"/>
    <w:rsid w:val="00C929BD"/>
    <w:rsid w:val="00C955C3"/>
    <w:rsid w:val="00CC4182"/>
    <w:rsid w:val="00CC5E6B"/>
    <w:rsid w:val="00D25A69"/>
    <w:rsid w:val="00D25CC3"/>
    <w:rsid w:val="00D306E8"/>
    <w:rsid w:val="00D3165F"/>
    <w:rsid w:val="00D471F4"/>
    <w:rsid w:val="00D5394A"/>
    <w:rsid w:val="00DB6DF3"/>
    <w:rsid w:val="00E243DA"/>
    <w:rsid w:val="00E30CAE"/>
    <w:rsid w:val="00E310A2"/>
    <w:rsid w:val="00E65AE7"/>
    <w:rsid w:val="00EA509F"/>
    <w:rsid w:val="00EF2BA5"/>
    <w:rsid w:val="00EF5E2D"/>
    <w:rsid w:val="00EF6DA3"/>
    <w:rsid w:val="00F44507"/>
    <w:rsid w:val="00F62642"/>
    <w:rsid w:val="00FA340E"/>
    <w:rsid w:val="01B67D1F"/>
    <w:rsid w:val="01CA2AF2"/>
    <w:rsid w:val="02120645"/>
    <w:rsid w:val="03274687"/>
    <w:rsid w:val="04064A0C"/>
    <w:rsid w:val="04321BCD"/>
    <w:rsid w:val="04FF4482"/>
    <w:rsid w:val="057A0A50"/>
    <w:rsid w:val="064C4C17"/>
    <w:rsid w:val="076C3175"/>
    <w:rsid w:val="07CC499B"/>
    <w:rsid w:val="0815567D"/>
    <w:rsid w:val="0909607F"/>
    <w:rsid w:val="09A64785"/>
    <w:rsid w:val="0A3B4E4B"/>
    <w:rsid w:val="0B601B06"/>
    <w:rsid w:val="0BEB58BF"/>
    <w:rsid w:val="0C15027B"/>
    <w:rsid w:val="0C3B2A49"/>
    <w:rsid w:val="0DAA4EE9"/>
    <w:rsid w:val="0E3117D9"/>
    <w:rsid w:val="102B0836"/>
    <w:rsid w:val="1064155D"/>
    <w:rsid w:val="1156122B"/>
    <w:rsid w:val="11F11891"/>
    <w:rsid w:val="12C35BB4"/>
    <w:rsid w:val="140849FA"/>
    <w:rsid w:val="14583EA3"/>
    <w:rsid w:val="151D09B5"/>
    <w:rsid w:val="1689469A"/>
    <w:rsid w:val="16DB1E7D"/>
    <w:rsid w:val="178C6C5A"/>
    <w:rsid w:val="17CD646A"/>
    <w:rsid w:val="184F3049"/>
    <w:rsid w:val="1B3F225B"/>
    <w:rsid w:val="1B4269FF"/>
    <w:rsid w:val="1D4B3C83"/>
    <w:rsid w:val="1DBD7AB3"/>
    <w:rsid w:val="1E0B387E"/>
    <w:rsid w:val="21460607"/>
    <w:rsid w:val="21FF1E9B"/>
    <w:rsid w:val="226F5AE9"/>
    <w:rsid w:val="23C1122C"/>
    <w:rsid w:val="243D751D"/>
    <w:rsid w:val="24522B03"/>
    <w:rsid w:val="25ED2FD4"/>
    <w:rsid w:val="264A346A"/>
    <w:rsid w:val="26DB3856"/>
    <w:rsid w:val="270A41B9"/>
    <w:rsid w:val="274B3C4E"/>
    <w:rsid w:val="285356FD"/>
    <w:rsid w:val="288E37E0"/>
    <w:rsid w:val="290243B4"/>
    <w:rsid w:val="2A5C748F"/>
    <w:rsid w:val="2B10000E"/>
    <w:rsid w:val="2B2D56DA"/>
    <w:rsid w:val="2D391E20"/>
    <w:rsid w:val="30785FD3"/>
    <w:rsid w:val="31702E0D"/>
    <w:rsid w:val="33C32B3C"/>
    <w:rsid w:val="34E52524"/>
    <w:rsid w:val="35CA4ECD"/>
    <w:rsid w:val="35CE5164"/>
    <w:rsid w:val="35F07825"/>
    <w:rsid w:val="360C2FBA"/>
    <w:rsid w:val="363913FE"/>
    <w:rsid w:val="36D6548C"/>
    <w:rsid w:val="376918C7"/>
    <w:rsid w:val="37832AC7"/>
    <w:rsid w:val="38195BED"/>
    <w:rsid w:val="39B23A02"/>
    <w:rsid w:val="3A4766ED"/>
    <w:rsid w:val="3A713A3B"/>
    <w:rsid w:val="3AAB2217"/>
    <w:rsid w:val="3CAE49E3"/>
    <w:rsid w:val="3DAE40CB"/>
    <w:rsid w:val="3E7103A9"/>
    <w:rsid w:val="3E7E746E"/>
    <w:rsid w:val="3EBE2184"/>
    <w:rsid w:val="3F5912F8"/>
    <w:rsid w:val="3F9B4FC0"/>
    <w:rsid w:val="41B74B09"/>
    <w:rsid w:val="43DC781A"/>
    <w:rsid w:val="441C7555"/>
    <w:rsid w:val="450A0AA4"/>
    <w:rsid w:val="45236574"/>
    <w:rsid w:val="46434BE2"/>
    <w:rsid w:val="46AA6AA7"/>
    <w:rsid w:val="478E0E32"/>
    <w:rsid w:val="48A2447B"/>
    <w:rsid w:val="49430BD9"/>
    <w:rsid w:val="494625CA"/>
    <w:rsid w:val="4BD23ED8"/>
    <w:rsid w:val="4C2846CD"/>
    <w:rsid w:val="4C7A4C55"/>
    <w:rsid w:val="4F6A54EE"/>
    <w:rsid w:val="4FDF6ED1"/>
    <w:rsid w:val="514C0EC5"/>
    <w:rsid w:val="51F50157"/>
    <w:rsid w:val="52866F20"/>
    <w:rsid w:val="52EE7A8B"/>
    <w:rsid w:val="535B290E"/>
    <w:rsid w:val="53F1208F"/>
    <w:rsid w:val="54DE5250"/>
    <w:rsid w:val="55495194"/>
    <w:rsid w:val="56115CEE"/>
    <w:rsid w:val="56D42516"/>
    <w:rsid w:val="56FE5044"/>
    <w:rsid w:val="57E03285"/>
    <w:rsid w:val="5AE71036"/>
    <w:rsid w:val="5B5F30DA"/>
    <w:rsid w:val="5BAF6F84"/>
    <w:rsid w:val="5BE03A0F"/>
    <w:rsid w:val="5D5C7CBD"/>
    <w:rsid w:val="5DF86B3F"/>
    <w:rsid w:val="5F1C1ADB"/>
    <w:rsid w:val="60134031"/>
    <w:rsid w:val="60C120AA"/>
    <w:rsid w:val="6304094B"/>
    <w:rsid w:val="64165E4C"/>
    <w:rsid w:val="6536013A"/>
    <w:rsid w:val="68DA698B"/>
    <w:rsid w:val="69622A87"/>
    <w:rsid w:val="6A3E1F45"/>
    <w:rsid w:val="6CCC6D4C"/>
    <w:rsid w:val="6D5F4EC3"/>
    <w:rsid w:val="6E3F5A2C"/>
    <w:rsid w:val="6FAF3F51"/>
    <w:rsid w:val="7008088F"/>
    <w:rsid w:val="712634CC"/>
    <w:rsid w:val="71A3781D"/>
    <w:rsid w:val="724E698E"/>
    <w:rsid w:val="756501CF"/>
    <w:rsid w:val="778F438E"/>
    <w:rsid w:val="7A055146"/>
    <w:rsid w:val="7A757A3F"/>
    <w:rsid w:val="7C647BFE"/>
    <w:rsid w:val="7D9B64C3"/>
    <w:rsid w:val="7E5818AB"/>
    <w:rsid w:val="7FA857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pPr>
  </w:style>
  <w:style w:type="paragraph" w:styleId="3">
    <w:name w:val="Body Text Indent"/>
    <w:basedOn w:val="1"/>
    <w:qFormat/>
    <w:uiPriority w:val="0"/>
    <w:pPr>
      <w:spacing w:line="600" w:lineRule="exact"/>
      <w:ind w:firstLine="560" w:firstLineChars="200"/>
      <w:textAlignment w:val="center"/>
    </w:pPr>
    <w:rPr>
      <w:rFonts w:ascii="宋体" w:hAnsi="宋体"/>
      <w:color w:val="FF0000"/>
      <w:sz w:val="28"/>
      <w:szCs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paragraph" w:customStyle="1" w:styleId="9">
    <w:name w:val="WPSOffice手动目录 1"/>
    <w:qFormat/>
    <w:uiPriority w:val="0"/>
    <w:rPr>
      <w:rFonts w:ascii="Times New Roman" w:hAnsi="Times New Roman" w:eastAsia="宋体" w:cs="Times New Roman"/>
      <w:lang w:val="en-US" w:eastAsia="zh-CN" w:bidi="ar-SA"/>
    </w:rPr>
  </w:style>
  <w:style w:type="paragraph" w:customStyle="1" w:styleId="10">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1">
    <w:name w:val="页眉 Char"/>
    <w:basedOn w:val="8"/>
    <w:link w:val="5"/>
    <w:qFormat/>
    <w:uiPriority w:val="0"/>
    <w:rPr>
      <w:rFonts w:ascii="Calibri" w:hAnsi="Calibri"/>
      <w:kern w:val="2"/>
      <w:sz w:val="18"/>
      <w:szCs w:val="18"/>
    </w:rPr>
  </w:style>
  <w:style w:type="character" w:customStyle="1" w:styleId="12">
    <w:name w:val="NormalCharacter"/>
    <w:qFormat/>
    <w:uiPriority w:val="0"/>
  </w:style>
  <w:style w:type="paragraph" w:customStyle="1" w:styleId="13">
    <w:name w:val="Plain Text1"/>
    <w:basedOn w:val="1"/>
    <w:qFormat/>
    <w:uiPriority w:val="99"/>
    <w:rPr>
      <w:rFonts w:ascii="??" w:hAnsi="Courier New" w:eastAsia="Times New Roman" w:cs="Courier New"/>
      <w:szCs w:val="21"/>
      <w:lang w:bidi="he-I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3133</Words>
  <Characters>3459</Characters>
  <Lines>27</Lines>
  <Paragraphs>7</Paragraphs>
  <TotalTime>104</TotalTime>
  <ScaleCrop>false</ScaleCrop>
  <LinksUpToDate>false</LinksUpToDate>
  <CharactersWithSpaces>3682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2021-07-20T09:00:00Z</dcterms:created>
  <dc:creator>user</dc:creator>
  <cp:lastModifiedBy>Administrator</cp:lastModifiedBy>
  <dcterms:modified xsi:type="dcterms:W3CDTF">2023-04-03T06:08:43Z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3D97BAE39B4D4152843205AC5BE19FED</vt:lpwstr>
  </property>
</Properties>
</file>