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附件5：</w:t>
      </w:r>
    </w:p>
    <w:p>
      <w:pPr>
        <w:spacing w:line="580" w:lineRule="exact"/>
        <w:ind w:firstLine="720" w:firstLineChars="199"/>
        <w:rPr>
          <w:rFonts w:ascii="仿宋_GB2312" w:hAnsi="仿宋_GB2312" w:eastAsia="仿宋_GB2312" w:cs="仿宋_GB2312"/>
          <w:b/>
          <w:bCs/>
          <w:spacing w:val="-20"/>
          <w:sz w:val="40"/>
          <w:szCs w:val="48"/>
        </w:rPr>
      </w:pPr>
    </w:p>
    <w:p>
      <w:pPr>
        <w:spacing w:line="580" w:lineRule="exact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隆尧县农业农村局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隆尧县2022年涉农资金整合示范县奖补资金项目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重点自评绩效报告</w:t>
      </w:r>
    </w:p>
    <w:p>
      <w:pPr>
        <w:spacing w:line="580" w:lineRule="exact"/>
        <w:ind w:firstLine="799" w:firstLineChars="199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</w:p>
    <w:p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</w:t>
      </w: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spacing w:line="760" w:lineRule="exact"/>
        <w:rPr>
          <w:rFonts w:hint="eastAsia"/>
        </w:rPr>
      </w:pPr>
    </w:p>
    <w:p>
      <w:pPr>
        <w:spacing w:line="760" w:lineRule="exact"/>
        <w:rPr>
          <w:rFonts w:hint="eastAsia"/>
        </w:rPr>
      </w:pPr>
    </w:p>
    <w:p>
      <w:pPr>
        <w:spacing w:line="760" w:lineRule="exact"/>
      </w:pPr>
      <w:bookmarkStart w:id="100" w:name="_GoBack"/>
      <w:bookmarkEnd w:id="100"/>
      <w:r>
        <w:rPr>
          <w:rFonts w:hint="eastAsia"/>
        </w:rPr>
        <w:t>项 目 名 称：</w:t>
      </w:r>
      <w:r>
        <w:rPr>
          <w:rFonts w:hint="eastAsia"/>
          <w:u w:val="single"/>
        </w:rPr>
        <w:t xml:space="preserve">  隆尧县2022年涉农资金整合示范县奖补资金项目  </w:t>
      </w:r>
      <w:r>
        <w:rPr>
          <w:rFonts w:hint="eastAsia"/>
        </w:rPr>
        <w:t xml:space="preserve">  </w:t>
      </w:r>
    </w:p>
    <w:p>
      <w:pPr>
        <w:spacing w:line="760" w:lineRule="exact"/>
      </w:pPr>
      <w:r>
        <w:rPr>
          <w:rFonts w:hint="eastAsia"/>
        </w:rPr>
        <w:t>项目实施单位：</w:t>
      </w:r>
      <w:r>
        <w:rPr>
          <w:rFonts w:hint="eastAsia"/>
          <w:u w:val="single"/>
        </w:rPr>
        <w:t xml:space="preserve">            隆尧县农业农村局      </w:t>
      </w:r>
    </w:p>
    <w:p>
      <w:pPr>
        <w:spacing w:line="760" w:lineRule="exact"/>
      </w:pPr>
      <w:r>
        <w:rPr>
          <w:rFonts w:hint="eastAsia"/>
        </w:rPr>
        <w:t>项目总金额：</w:t>
      </w:r>
      <w:r>
        <w:rPr>
          <w:rFonts w:hint="eastAsia"/>
          <w:u w:val="single"/>
        </w:rPr>
        <w:t xml:space="preserve">          380万元                 </w:t>
      </w:r>
    </w:p>
    <w:p>
      <w:pPr>
        <w:spacing w:line="760" w:lineRule="exact"/>
      </w:pPr>
      <w:r>
        <w:rPr>
          <w:rFonts w:hint="eastAsia"/>
        </w:rPr>
        <w:t>评 价 年 度：</w:t>
      </w:r>
      <w:r>
        <w:rPr>
          <w:rFonts w:hint="eastAsia"/>
          <w:u w:val="single"/>
        </w:rPr>
        <w:t xml:space="preserve">                 2022年度              </w:t>
      </w:r>
    </w:p>
    <w:p>
      <w:pPr>
        <w:spacing w:line="760" w:lineRule="exact"/>
      </w:pPr>
      <w:r>
        <w:rPr>
          <w:rFonts w:hint="eastAsia"/>
        </w:rPr>
        <w:t>评价组组长：</w:t>
      </w:r>
      <w:r>
        <w:rPr>
          <w:rFonts w:hint="eastAsia"/>
          <w:u w:val="single"/>
        </w:rPr>
        <w:t xml:space="preserve">                          李现国       </w:t>
      </w:r>
    </w:p>
    <w:p>
      <w:pPr>
        <w:spacing w:line="760" w:lineRule="exact"/>
        <w:rPr>
          <w:u w:val="single"/>
        </w:rPr>
      </w:pPr>
      <w:r>
        <w:rPr>
          <w:rFonts w:hint="eastAsia"/>
        </w:rPr>
        <w:t>评价组成员：</w:t>
      </w:r>
      <w:r>
        <w:rPr>
          <w:rFonts w:hint="eastAsia"/>
          <w:u w:val="single"/>
        </w:rPr>
        <w:t xml:space="preserve">           郎立云、李青                             </w:t>
      </w: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0" w:name="_Toc13153"/>
      <w:bookmarkStart w:id="1" w:name="_Toc9525"/>
      <w:bookmarkStart w:id="2" w:name="_Toc16913"/>
      <w:bookmarkStart w:id="3" w:name="_Toc6314"/>
      <w:bookmarkStart w:id="4" w:name="_Toc18334"/>
      <w:bookmarkStart w:id="5" w:name="_Toc2245"/>
      <w:bookmarkStart w:id="6" w:name="_Toc11301"/>
      <w:bookmarkStart w:id="7" w:name="_Toc4013"/>
      <w:bookmarkStart w:id="8" w:name="_Toc30335"/>
      <w:bookmarkStart w:id="9" w:name="_Toc23411"/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</w:p>
    <w:p>
      <w:pPr>
        <w:spacing w:line="600" w:lineRule="atLeas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一、项目概况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spacing w:line="600" w:lineRule="atLeas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10" w:name="_Toc15831"/>
      <w:bookmarkStart w:id="11" w:name="_Toc19370"/>
      <w:bookmarkStart w:id="12" w:name="_Toc24784"/>
      <w:bookmarkStart w:id="13" w:name="_Toc32742"/>
      <w:bookmarkStart w:id="14" w:name="_Toc23957"/>
      <w:bookmarkStart w:id="15" w:name="_Toc22285"/>
      <w:bookmarkStart w:id="16" w:name="_Toc22453"/>
      <w:bookmarkStart w:id="17" w:name="_Toc937"/>
      <w:bookmarkStart w:id="18" w:name="_Toc30895"/>
      <w:bookmarkStart w:id="19" w:name="_Toc19963"/>
      <w:r>
        <w:rPr>
          <w:rFonts w:hint="eastAsia" w:ascii="仿宋_GB2312" w:hAnsi="仿宋_GB2312" w:eastAsia="仿宋_GB2312" w:cs="仿宋_GB2312"/>
          <w:sz w:val="32"/>
          <w:szCs w:val="40"/>
        </w:rPr>
        <w:t>（一）项目单位基本情况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spacing w:line="600" w:lineRule="atLeas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40"/>
        </w:rPr>
      </w:pPr>
      <w:bookmarkStart w:id="20" w:name="_Toc29308"/>
      <w:bookmarkStart w:id="21" w:name="_Toc15167"/>
      <w:bookmarkStart w:id="22" w:name="_Toc8843"/>
      <w:r>
        <w:rPr>
          <w:rFonts w:hint="eastAsia" w:ascii="仿宋_GB2312" w:hAnsi="仿宋_GB2312" w:eastAsia="仿宋_GB2312" w:cs="仿宋_GB2312"/>
          <w:sz w:val="32"/>
          <w:szCs w:val="40"/>
        </w:rPr>
        <w:t>项目单位为隆尧县农业农村局，地址隆尧县德仁路4号。行政事业单位。承担</w:t>
      </w:r>
      <w:r>
        <w:rPr>
          <w:rFonts w:hint="eastAsia" w:ascii="仿宋" w:hAnsi="仿宋" w:eastAsia="仿宋" w:cs="仿宋"/>
          <w:sz w:val="32"/>
          <w:szCs w:val="32"/>
        </w:rPr>
        <w:t>隆尧县2022年涉农资金整合示范县奖补资金项目</w:t>
      </w:r>
      <w:r>
        <w:rPr>
          <w:rFonts w:hint="eastAsia" w:ascii="仿宋_GB2312" w:hAnsi="仿宋_GB2312" w:eastAsia="仿宋_GB2312" w:cs="仿宋_GB2312"/>
          <w:sz w:val="32"/>
          <w:szCs w:val="40"/>
        </w:rPr>
        <w:t>。</w:t>
      </w:r>
    </w:p>
    <w:p>
      <w:pPr>
        <w:spacing w:line="600" w:lineRule="atLeas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（二）项目基本情况</w:t>
      </w:r>
      <w:bookmarkEnd w:id="20"/>
      <w:bookmarkEnd w:id="21"/>
      <w:bookmarkEnd w:id="22"/>
    </w:p>
    <w:p>
      <w:pPr>
        <w:spacing w:line="600" w:lineRule="atLeas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bookmarkStart w:id="23" w:name="_Toc24191"/>
      <w:bookmarkStart w:id="24" w:name="_Toc32656"/>
      <w:bookmarkStart w:id="25" w:name="_Toc27552"/>
      <w:bookmarkStart w:id="26" w:name="_Toc26594"/>
      <w:r>
        <w:rPr>
          <w:rFonts w:hint="eastAsia" w:ascii="仿宋" w:hAnsi="仿宋" w:eastAsia="仿宋"/>
          <w:sz w:val="32"/>
          <w:szCs w:val="32"/>
        </w:rPr>
        <w:t>省财政厅下达我县涉农统筹整合示范县奖补资金500万元，县财政局根据我县实际发展情况向政府提出了</w:t>
      </w:r>
      <w:r>
        <w:rPr>
          <w:rFonts w:hint="eastAsia" w:ascii="仿宋" w:hAnsi="仿宋" w:eastAsia="仿宋" w:cs="宋体"/>
          <w:sz w:val="32"/>
          <w:szCs w:val="32"/>
        </w:rPr>
        <w:t>《关于2022年涉农资金统筹整合奖补资金使用方案的请示</w:t>
      </w:r>
      <w:r>
        <w:rPr>
          <w:rFonts w:hint="eastAsia" w:ascii="仿宋" w:hAnsi="仿宋" w:eastAsia="仿宋"/>
          <w:sz w:val="32"/>
          <w:szCs w:val="32"/>
        </w:rPr>
        <w:t>》，其中</w:t>
      </w:r>
      <w:r>
        <w:rPr>
          <w:rFonts w:hint="eastAsia" w:ascii="仿宋" w:hAnsi="仿宋" w:eastAsia="仿宋" w:cs="宋体"/>
          <w:kern w:val="0"/>
          <w:sz w:val="32"/>
          <w:szCs w:val="32"/>
        </w:rPr>
        <w:t>对2</w:t>
      </w:r>
      <w:r>
        <w:rPr>
          <w:rFonts w:ascii="仿宋" w:hAnsi="仿宋" w:eastAsia="仿宋" w:cs="宋体"/>
          <w:kern w:val="0"/>
          <w:sz w:val="32"/>
          <w:szCs w:val="32"/>
        </w:rPr>
        <w:t>022</w:t>
      </w:r>
      <w:r>
        <w:rPr>
          <w:rFonts w:hint="eastAsia" w:ascii="仿宋" w:hAnsi="仿宋" w:eastAsia="仿宋" w:cs="宋体"/>
          <w:kern w:val="0"/>
          <w:sz w:val="32"/>
          <w:szCs w:val="32"/>
        </w:rPr>
        <w:t>年新上小麦深加工项目补贴2</w:t>
      </w:r>
      <w:r>
        <w:rPr>
          <w:rFonts w:ascii="仿宋" w:hAnsi="仿宋" w:eastAsia="仿宋" w:cs="宋体"/>
          <w:kern w:val="0"/>
          <w:sz w:val="32"/>
          <w:szCs w:val="32"/>
        </w:rPr>
        <w:t>00</w:t>
      </w:r>
      <w:r>
        <w:rPr>
          <w:rFonts w:hint="eastAsia" w:ascii="仿宋" w:hAnsi="仿宋" w:eastAsia="仿宋" w:cs="宋体"/>
          <w:kern w:val="0"/>
          <w:sz w:val="32"/>
          <w:szCs w:val="32"/>
        </w:rPr>
        <w:t>万元；特色优势农业产业项目补贴180万元</w:t>
      </w:r>
      <w:r>
        <w:rPr>
          <w:rFonts w:hint="eastAsia" w:ascii="仿宋_GB2312" w:hAnsi="仿宋_GB2312" w:eastAsia="仿宋_GB2312" w:cs="仿宋_GB2312"/>
          <w:sz w:val="32"/>
          <w:szCs w:val="40"/>
        </w:rPr>
        <w:t>。</w:t>
      </w:r>
    </w:p>
    <w:bookmarkEnd w:id="23"/>
    <w:bookmarkEnd w:id="24"/>
    <w:bookmarkEnd w:id="25"/>
    <w:bookmarkEnd w:id="26"/>
    <w:p>
      <w:pPr>
        <w:spacing w:line="600" w:lineRule="atLeas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7" w:name="_Toc7839"/>
      <w:bookmarkStart w:id="28" w:name="_Toc28908"/>
      <w:bookmarkStart w:id="29" w:name="_Toc6781"/>
      <w:bookmarkStart w:id="30" w:name="_Toc2988"/>
      <w:bookmarkStart w:id="31" w:name="_Toc4859"/>
      <w:bookmarkStart w:id="32" w:name="_Toc12860"/>
      <w:bookmarkStart w:id="33" w:name="_Toc18992"/>
      <w:bookmarkStart w:id="34" w:name="_Toc17782"/>
      <w:bookmarkStart w:id="35" w:name="_Toc14644"/>
      <w:bookmarkStart w:id="36" w:name="_Toc26109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二、项目实施情况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6"/>
        <w:spacing w:before="0" w:beforeAutospacing="0" w:after="0" w:afterAutospacing="0" w:line="600" w:lineRule="atLeas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bookmarkStart w:id="37" w:name="_Toc26855"/>
      <w:bookmarkStart w:id="38" w:name="_Toc29800"/>
      <w:bookmarkStart w:id="39" w:name="_Toc18915"/>
      <w:bookmarkStart w:id="40" w:name="_Toc10651"/>
      <w:bookmarkStart w:id="41" w:name="_Toc12150"/>
      <w:bookmarkStart w:id="42" w:name="_Toc21501"/>
      <w:bookmarkStart w:id="43" w:name="_Toc5317"/>
      <w:bookmarkStart w:id="44" w:name="_Toc6451"/>
      <w:bookmarkStart w:id="45" w:name="_Toc5215"/>
      <w:bookmarkStart w:id="46" w:name="_Toc20904"/>
      <w:r>
        <w:rPr>
          <w:rFonts w:hint="eastAsia" w:ascii="仿宋" w:hAnsi="仿宋" w:eastAsia="仿宋" w:cs="仿宋"/>
          <w:kern w:val="2"/>
          <w:sz w:val="32"/>
          <w:szCs w:val="32"/>
        </w:rPr>
        <w:t>按照《关于2022年涉农资金统筹整合奖补资金使用方案的请示》及县政府批复（隆政函〔2022〕153号）要求，对2022年新上小麦深加工项目补贴200万元。一是河北华遥食品有限公司1.5万吨非油炸方便面项目，计划总投资额3000万元，拟按实际投资额的30%以内进行补贴，落实补贴150万元；二是河北君合食品有限公司1万吨非油炸蒸煮面项目，计划投资1000万元，拟按实际投资额的30%以内进行补贴，落实补贴50万元，建设项目已正常投入使用。特色优势农业产业项目补贴180万元，该环节正在实施中，未到补贴节点，还未支付补贴资金。下一步做好项目建设工作，及时拨付补贴资金</w:t>
      </w:r>
    </w:p>
    <w:p>
      <w:pPr>
        <w:pStyle w:val="6"/>
        <w:spacing w:before="0" w:beforeAutospacing="0" w:after="0" w:afterAutospacing="0" w:line="600" w:lineRule="atLeas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三、绩效评价工作情况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spacing w:line="600" w:lineRule="atLeas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47" w:name="_Toc15730"/>
      <w:bookmarkStart w:id="48" w:name="_Toc14742"/>
      <w:bookmarkStart w:id="49" w:name="_Toc17355"/>
      <w:bookmarkStart w:id="50" w:name="_Toc8077"/>
      <w:bookmarkStart w:id="51" w:name="_Toc7570"/>
      <w:bookmarkStart w:id="52" w:name="_Toc4056"/>
      <w:bookmarkStart w:id="53" w:name="_Toc25600"/>
      <w:bookmarkStart w:id="54" w:name="_Toc5105"/>
      <w:bookmarkStart w:id="55" w:name="_Toc23608"/>
      <w:bookmarkStart w:id="56" w:name="_Toc22771"/>
      <w:bookmarkStart w:id="57" w:name="_Toc17025"/>
      <w:bookmarkStart w:id="58" w:name="_Toc20748"/>
      <w:bookmarkStart w:id="59" w:name="_Toc22222"/>
      <w:bookmarkStart w:id="60" w:name="_Toc5623"/>
      <w:bookmarkStart w:id="61" w:name="_Toc21014"/>
      <w:bookmarkStart w:id="62" w:name="_Toc18842"/>
      <w:bookmarkStart w:id="63" w:name="_Toc10113"/>
      <w:bookmarkStart w:id="64" w:name="_Toc30508"/>
      <w:bookmarkStart w:id="65" w:name="_Toc28621"/>
      <w:bookmarkStart w:id="66" w:name="_Toc6105"/>
      <w:r>
        <w:rPr>
          <w:rFonts w:hint="eastAsia" w:ascii="仿宋_GB2312" w:hAnsi="仿宋_GB2312" w:eastAsia="仿宋_GB2312" w:cs="仿宋_GB2312"/>
          <w:sz w:val="32"/>
          <w:szCs w:val="40"/>
        </w:rPr>
        <w:t>（一）评价目的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spacing w:line="600" w:lineRule="atLeas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通过绩效自评结果对比倒查的年初绩效目标设定质量情况，全面总结绩效目标设定是否清晰准确，绩效指标是否全面完整、科学合理，绩效标准是否恰当适宜、易于评价，深入分析原因，逐项查找差距。</w:t>
      </w:r>
    </w:p>
    <w:p>
      <w:pPr>
        <w:spacing w:line="600" w:lineRule="atLeas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67" w:name="_Toc18502"/>
      <w:bookmarkStart w:id="68" w:name="_Toc22727"/>
      <w:bookmarkStart w:id="69" w:name="_Toc27199"/>
      <w:bookmarkStart w:id="70" w:name="_Toc16971"/>
      <w:bookmarkStart w:id="71" w:name="_Toc27346"/>
      <w:bookmarkStart w:id="72" w:name="_Toc8288"/>
      <w:bookmarkStart w:id="73" w:name="_Toc16121"/>
      <w:bookmarkStart w:id="74" w:name="_Toc30351"/>
      <w:bookmarkStart w:id="75" w:name="_Toc3910"/>
      <w:bookmarkStart w:id="76" w:name="_Toc25746"/>
      <w:r>
        <w:rPr>
          <w:rFonts w:hint="eastAsia" w:ascii="仿宋_GB2312" w:hAnsi="仿宋_GB2312" w:eastAsia="仿宋_GB2312" w:cs="仿宋_GB2312"/>
          <w:sz w:val="32"/>
          <w:szCs w:val="40"/>
        </w:rPr>
        <w:t>（二）评价指标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pPr>
        <w:spacing w:line="600" w:lineRule="atLeas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评价指标。绩效评价指标共 100 分。具体为:“工作活动”设置 20分，工作活动”管理 20分，“工作活动”产出50分，“工作活动”效果10分。</w:t>
      </w:r>
    </w:p>
    <w:p>
      <w:pPr>
        <w:spacing w:line="600" w:lineRule="atLeas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77" w:name="_Toc19068"/>
      <w:bookmarkStart w:id="78" w:name="_Toc11684"/>
      <w:bookmarkStart w:id="79" w:name="_Toc5587"/>
      <w:bookmarkStart w:id="80" w:name="_Toc19154"/>
      <w:bookmarkStart w:id="81" w:name="_Toc25343"/>
      <w:bookmarkStart w:id="82" w:name="_Toc12572"/>
      <w:bookmarkStart w:id="83" w:name="_Toc5304"/>
      <w:bookmarkStart w:id="84" w:name="_Toc32306"/>
      <w:bookmarkStart w:id="85" w:name="_Toc32241"/>
      <w:bookmarkStart w:id="86" w:name="_Toc23270"/>
      <w:r>
        <w:rPr>
          <w:rFonts w:hint="eastAsia" w:ascii="仿宋_GB2312" w:hAnsi="仿宋_GB2312" w:eastAsia="仿宋_GB2312" w:cs="仿宋_GB2312"/>
          <w:sz w:val="32"/>
          <w:szCs w:val="40"/>
        </w:rPr>
        <w:t>（三）评价依据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>
      <w:pPr>
        <w:spacing w:line="600" w:lineRule="atLeas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32"/>
        </w:rPr>
        <w:t>县政府批复（隆政函〔2022〕153号）</w:t>
      </w:r>
      <w:r>
        <w:rPr>
          <w:rFonts w:hint="eastAsia" w:ascii="仿宋_GB2312" w:hAnsi="仿宋_GB2312" w:eastAsia="仿宋_GB2312" w:cs="仿宋_GB2312"/>
          <w:sz w:val="32"/>
          <w:szCs w:val="40"/>
        </w:rPr>
        <w:t>。</w:t>
      </w:r>
    </w:p>
    <w:p>
      <w:pPr>
        <w:spacing w:line="600" w:lineRule="atLeas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87" w:name="_Toc26780"/>
      <w:bookmarkStart w:id="88" w:name="_Toc1868"/>
      <w:bookmarkStart w:id="89" w:name="_Toc22038"/>
      <w:bookmarkStart w:id="90" w:name="_Toc12940"/>
      <w:bookmarkStart w:id="91" w:name="_Toc7393"/>
      <w:bookmarkStart w:id="92" w:name="_Toc11243"/>
      <w:bookmarkStart w:id="93" w:name="_Toc9401"/>
      <w:bookmarkStart w:id="94" w:name="_Toc6747"/>
      <w:bookmarkStart w:id="95" w:name="_Toc13179"/>
      <w:bookmarkStart w:id="96" w:name="_Toc24302"/>
      <w:r>
        <w:rPr>
          <w:rFonts w:hint="eastAsia" w:ascii="仿宋_GB2312" w:hAnsi="仿宋_GB2312" w:eastAsia="仿宋_GB2312" w:cs="仿宋_GB2312"/>
          <w:sz w:val="32"/>
          <w:szCs w:val="40"/>
        </w:rPr>
        <w:t>（四）评价的主要方法及等级设定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>
      <w:pPr>
        <w:spacing w:line="600" w:lineRule="atLeas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绩效评价想、采取自评的方式，结果采取评分和评级相结合的方式，总分设置为 100 分，等级划分为四档:90(含)-100分为优、80(含)-90分为良、60(含)-80分为中、60分以下为差。</w:t>
      </w: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四、绩效评价指标体系及得分情况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ind w:firstLine="1554" w:firstLineChars="740"/>
      </w:pPr>
    </w:p>
    <w:tbl>
      <w:tblPr>
        <w:tblStyle w:val="8"/>
        <w:tblW w:w="840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8"/>
        <w:gridCol w:w="674"/>
        <w:gridCol w:w="2083"/>
        <w:gridCol w:w="545"/>
        <w:gridCol w:w="3557"/>
        <w:gridCol w:w="5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8404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隆尧县2022年涉农资金整合示范县奖补资金项目</w:t>
            </w:r>
          </w:p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重点绩效评价指标表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一级指标  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 三级指标</w:t>
            </w:r>
          </w:p>
        </w:tc>
        <w:tc>
          <w:tcPr>
            <w:tcW w:w="54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5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54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3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“工作活动”设置（20分）</w:t>
            </w: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有政府相关政策、规划、任务等文件得2分；无不得分。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 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4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工作活动与部门职责、工作规划和重点工作相关，工作活动项下确定的预算项目合理，与工作活动密切相关，工作活动和项目预算安排合理，得4分；否则不得分。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①是否将项目绩效目标细化分解为具体的绩效指标；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②是否通过清晰、可衡量的指标值予以体现；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③是否与项目年度任务数或计划数相对应；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④是否与预算确定的项目投资额或资金量相匹配。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缺少一项扣1分,扣完为止。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0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是否有绩效评价报告，报告是否依据充分、内容真实完整；数据准确、分析透彻。每存在一项问题扣2分，扣完为止。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6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“工作活动”管理（20分）</w:t>
            </w: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预算调整率=（预算调整数/预算数）×100%。预算调整率每大于1%扣1分，扣完为止。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资金使用合规性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项目资金使用是否符合国家财经法规及相关的财务管理制度规定，资金支出程序是否规范,报账手续是否齐全。每存在一项不合规问题扣2分，扣完为止。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会计核算是否符合《会计法》、《政府会计制度》、《会计基础工作规范》等法律法规和相关制度规定。每存在一项不合规问题扣1分，扣完为止。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 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是否建立责任机制，项目管理和责任落实到有关人。每存在一项问题扣1分，扣完为止。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制定管理制度和措施（包括财务制度）是否明确、清晰、具有可操作性，能否保障工作活动顺利实施。每缺少一项制度扣1分，扣完为止。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“工作活动”产出（50分）</w:t>
            </w: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对小麦深加工、优质瓜蔬等实施补贴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指标3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本项目验收标准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对2家小麦深加工企业进行支持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20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对优质瓜蔬企业进行支持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指标4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各项工作完成及时率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“工作活动”效果（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满意度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支持企业满意度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5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ind w:firstLine="220" w:firstLineChars="100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95</w:t>
            </w:r>
          </w:p>
        </w:tc>
      </w:tr>
    </w:tbl>
    <w:p>
      <w:pPr>
        <w:pStyle w:val="7"/>
        <w:spacing w:line="560" w:lineRule="exact"/>
        <w:ind w:left="420" w:leftChars="200" w:firstLine="320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97" w:name="_Toc2634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五、评价分析</w:t>
      </w:r>
      <w:bookmarkEnd w:id="97"/>
    </w:p>
    <w:p>
      <w:pPr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color w:val="000000"/>
          <w:sz w:val="32"/>
          <w:szCs w:val="40"/>
        </w:rPr>
      </w:pPr>
      <w:bookmarkStart w:id="98" w:name="_Toc18513_WPSOffice_Level2"/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（一）主要扣分事项及原因分析</w:t>
      </w:r>
      <w:bookmarkEnd w:id="98"/>
    </w:p>
    <w:p>
      <w:pPr>
        <w:pStyle w:val="7"/>
        <w:ind w:firstLine="560"/>
        <w:rPr>
          <w:rFonts w:hint="eastAsia" w:ascii="仿宋_GB2312" w:hAnsi="仿宋_GB2312" w:eastAsia="仿宋_GB2312" w:cs="仿宋_GB2312"/>
          <w:color w:val="000000"/>
          <w:sz w:val="32"/>
          <w:szCs w:val="40"/>
        </w:rPr>
      </w:pPr>
      <w:r>
        <w:rPr>
          <w:rFonts w:hint="eastAsia"/>
        </w:rPr>
        <w:t xml:space="preserve"> </w:t>
      </w:r>
      <w:bookmarkStart w:id="99" w:name="_Toc11279_WPSOffice_Level1"/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 xml:space="preserve">    按照《关于2022年涉农资金统筹整合奖补资金使用方案的请示》及县政府批复（隆政函〔2022〕153号）要求，对2022年新上小麦深加工项目补贴200万元。一是河北华遥食品有限公司1.5万吨非油炸方便面项目，计划总投资额3000万元，拟按实际投资额的30%以内进行补贴，落实补贴150万元；二是河北君合食品有限公司1万吨非油炸蒸煮面项目，计划投资1000万元，拟按实际投资额的30%以内进行补贴，落实补贴50万元，建设项目已正常投入使用。特色优势农业产业项目补贴180万元，该环节正在实施中，未到补贴节点，还未支付补贴资金。下一步督促实施主体做好项目建设工作，及时拨付补贴资金。</w:t>
      </w:r>
    </w:p>
    <w:p>
      <w:pPr>
        <w:pStyle w:val="7"/>
        <w:ind w:firstLine="64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六、意见及建议</w:t>
      </w:r>
      <w:bookmarkEnd w:id="99"/>
    </w:p>
    <w:p>
      <w:pPr>
        <w:pStyle w:val="7"/>
        <w:spacing w:line="560" w:lineRule="exact"/>
        <w:ind w:left="420" w:leftChars="200" w:firstLine="480" w:firstLineChars="150"/>
        <w:jc w:val="left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下一步督促实施主体做好项目建设工作，按照时间节点，及时拨付补贴资金。</w:t>
      </w:r>
    </w:p>
    <w:p>
      <w:pPr>
        <w:pStyle w:val="7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7"/>
        <w:spacing w:line="560" w:lineRule="exact"/>
        <w:ind w:firstLine="0" w:firstLineChars="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560" w:lineRule="exact"/>
        <w:ind w:firstLine="5760" w:firstLineChars="1800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2023年3月14日</w:t>
      </w:r>
    </w:p>
    <w:p>
      <w:pPr>
        <w:rPr>
          <w:rFonts w:ascii="仿宋_GB2312" w:hAnsi="仿宋_GB2312" w:eastAsia="仿宋_GB2312" w:cs="仿宋_GB2312"/>
        </w:rPr>
      </w:pPr>
    </w:p>
    <w:sectPr>
      <w:footerReference r:id="rId3" w:type="default"/>
      <w:pgSz w:w="11906" w:h="16838"/>
      <w:pgMar w:top="1984" w:right="1417" w:bottom="1417" w:left="141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7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jkwNGIzMTM3NzcyODk5Y2IxNWVlMTgzMjllODBkNGUifQ=="/>
  </w:docVars>
  <w:rsids>
    <w:rsidRoot w:val="07CC499B"/>
    <w:rsid w:val="00092B14"/>
    <w:rsid w:val="000D47D0"/>
    <w:rsid w:val="001373BE"/>
    <w:rsid w:val="001F3212"/>
    <w:rsid w:val="002707C6"/>
    <w:rsid w:val="00280F82"/>
    <w:rsid w:val="003170CE"/>
    <w:rsid w:val="003C4354"/>
    <w:rsid w:val="005838F6"/>
    <w:rsid w:val="00645DBC"/>
    <w:rsid w:val="006A4528"/>
    <w:rsid w:val="007812E3"/>
    <w:rsid w:val="007A3F97"/>
    <w:rsid w:val="007D2877"/>
    <w:rsid w:val="007F49B4"/>
    <w:rsid w:val="00814E39"/>
    <w:rsid w:val="008B386F"/>
    <w:rsid w:val="008C7CF4"/>
    <w:rsid w:val="00995FE6"/>
    <w:rsid w:val="00A02C66"/>
    <w:rsid w:val="00A46F67"/>
    <w:rsid w:val="00AB413B"/>
    <w:rsid w:val="00B60E03"/>
    <w:rsid w:val="00D25A69"/>
    <w:rsid w:val="00D25CC3"/>
    <w:rsid w:val="00D3165F"/>
    <w:rsid w:val="00D31E42"/>
    <w:rsid w:val="00D471F4"/>
    <w:rsid w:val="00D5394A"/>
    <w:rsid w:val="00DA4131"/>
    <w:rsid w:val="00DB6DF3"/>
    <w:rsid w:val="00E30CAE"/>
    <w:rsid w:val="00E310A2"/>
    <w:rsid w:val="00EA509F"/>
    <w:rsid w:val="00EF2BA5"/>
    <w:rsid w:val="00EF5E2D"/>
    <w:rsid w:val="00EF6DA3"/>
    <w:rsid w:val="00FA340E"/>
    <w:rsid w:val="01B67D1F"/>
    <w:rsid w:val="01CA2AF2"/>
    <w:rsid w:val="02120645"/>
    <w:rsid w:val="03274687"/>
    <w:rsid w:val="04064A0C"/>
    <w:rsid w:val="04321BCD"/>
    <w:rsid w:val="04FF4482"/>
    <w:rsid w:val="057A0A50"/>
    <w:rsid w:val="064C4C17"/>
    <w:rsid w:val="076C3175"/>
    <w:rsid w:val="07CC499B"/>
    <w:rsid w:val="0815567D"/>
    <w:rsid w:val="0909607F"/>
    <w:rsid w:val="09A64785"/>
    <w:rsid w:val="0A3B4E4B"/>
    <w:rsid w:val="0B601B06"/>
    <w:rsid w:val="0BEB58BF"/>
    <w:rsid w:val="0C15027B"/>
    <w:rsid w:val="0C3B2A49"/>
    <w:rsid w:val="0DAA4EE9"/>
    <w:rsid w:val="0E3117D9"/>
    <w:rsid w:val="102B0836"/>
    <w:rsid w:val="1064155D"/>
    <w:rsid w:val="1156122B"/>
    <w:rsid w:val="11F11891"/>
    <w:rsid w:val="12C35BB4"/>
    <w:rsid w:val="140849FA"/>
    <w:rsid w:val="14583EA3"/>
    <w:rsid w:val="151D09B5"/>
    <w:rsid w:val="1689469A"/>
    <w:rsid w:val="16DB1E7D"/>
    <w:rsid w:val="178C6C5A"/>
    <w:rsid w:val="17CD646A"/>
    <w:rsid w:val="184F3049"/>
    <w:rsid w:val="1B3F225B"/>
    <w:rsid w:val="1B4269FF"/>
    <w:rsid w:val="1D4B3C83"/>
    <w:rsid w:val="1DBD7AB3"/>
    <w:rsid w:val="1E0B387E"/>
    <w:rsid w:val="21460607"/>
    <w:rsid w:val="21FF1E9B"/>
    <w:rsid w:val="226F5AE9"/>
    <w:rsid w:val="23C1122C"/>
    <w:rsid w:val="243D751D"/>
    <w:rsid w:val="24522B03"/>
    <w:rsid w:val="25ED2FD4"/>
    <w:rsid w:val="264A346A"/>
    <w:rsid w:val="26DB3856"/>
    <w:rsid w:val="270A41B9"/>
    <w:rsid w:val="274B3C4E"/>
    <w:rsid w:val="285356FD"/>
    <w:rsid w:val="288E37E0"/>
    <w:rsid w:val="290243B4"/>
    <w:rsid w:val="2A5C748F"/>
    <w:rsid w:val="2ADE360B"/>
    <w:rsid w:val="2B10000E"/>
    <w:rsid w:val="2B2D56DA"/>
    <w:rsid w:val="2D391E20"/>
    <w:rsid w:val="30785FD3"/>
    <w:rsid w:val="31702E0D"/>
    <w:rsid w:val="33C32B3C"/>
    <w:rsid w:val="34E52524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9B23A02"/>
    <w:rsid w:val="3A4766ED"/>
    <w:rsid w:val="3A713A3B"/>
    <w:rsid w:val="3AAB2217"/>
    <w:rsid w:val="3CAE49E3"/>
    <w:rsid w:val="3DAE40CB"/>
    <w:rsid w:val="3E7103A9"/>
    <w:rsid w:val="3E7E746E"/>
    <w:rsid w:val="3EBE2184"/>
    <w:rsid w:val="3F5912F8"/>
    <w:rsid w:val="3F9B4FC0"/>
    <w:rsid w:val="41B74B09"/>
    <w:rsid w:val="43DC781A"/>
    <w:rsid w:val="441C7555"/>
    <w:rsid w:val="450A0AA4"/>
    <w:rsid w:val="45236574"/>
    <w:rsid w:val="46434BE2"/>
    <w:rsid w:val="46AA6AA7"/>
    <w:rsid w:val="478E0E32"/>
    <w:rsid w:val="48A2447B"/>
    <w:rsid w:val="49430BD9"/>
    <w:rsid w:val="494625CA"/>
    <w:rsid w:val="4B65407F"/>
    <w:rsid w:val="4BD23ED8"/>
    <w:rsid w:val="4C2846CD"/>
    <w:rsid w:val="4C7A4C55"/>
    <w:rsid w:val="4F6A54EE"/>
    <w:rsid w:val="4FDF6ED1"/>
    <w:rsid w:val="514C0EC5"/>
    <w:rsid w:val="51F50157"/>
    <w:rsid w:val="52866F20"/>
    <w:rsid w:val="52EE7A8B"/>
    <w:rsid w:val="535B290E"/>
    <w:rsid w:val="53F1208F"/>
    <w:rsid w:val="54DE5250"/>
    <w:rsid w:val="55495194"/>
    <w:rsid w:val="56115CEE"/>
    <w:rsid w:val="56D42516"/>
    <w:rsid w:val="56FE5044"/>
    <w:rsid w:val="57E03285"/>
    <w:rsid w:val="5AE71036"/>
    <w:rsid w:val="5B5F30DA"/>
    <w:rsid w:val="5BAF6F84"/>
    <w:rsid w:val="5BE03A0F"/>
    <w:rsid w:val="5D5C7CBD"/>
    <w:rsid w:val="5DF86B3F"/>
    <w:rsid w:val="5F1C1ADB"/>
    <w:rsid w:val="60134031"/>
    <w:rsid w:val="60C120AA"/>
    <w:rsid w:val="6304094B"/>
    <w:rsid w:val="64165E4C"/>
    <w:rsid w:val="6536013A"/>
    <w:rsid w:val="68DA698B"/>
    <w:rsid w:val="69622A87"/>
    <w:rsid w:val="6A3E1F45"/>
    <w:rsid w:val="6CCC6D4C"/>
    <w:rsid w:val="6D5F4EC3"/>
    <w:rsid w:val="6E3F5A2C"/>
    <w:rsid w:val="6F553CE2"/>
    <w:rsid w:val="7008088F"/>
    <w:rsid w:val="712634CC"/>
    <w:rsid w:val="71A3781D"/>
    <w:rsid w:val="724E698E"/>
    <w:rsid w:val="756501CF"/>
    <w:rsid w:val="778F438E"/>
    <w:rsid w:val="7A055146"/>
    <w:rsid w:val="7A757A3F"/>
    <w:rsid w:val="7C647BFE"/>
    <w:rsid w:val="7D9B64C3"/>
    <w:rsid w:val="7E5818AB"/>
    <w:rsid w:val="7FA857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rFonts w:ascii="Times New Roman" w:hAnsi="Times New Roman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7">
    <w:name w:val="Body Text First Indent 2"/>
    <w:basedOn w:val="3"/>
    <w:next w:val="1"/>
    <w:qFormat/>
    <w:uiPriority w:val="0"/>
    <w:pPr>
      <w:ind w:firstLine="420"/>
    </w:pPr>
  </w:style>
  <w:style w:type="paragraph" w:customStyle="1" w:styleId="10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1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2">
    <w:name w:val="页眉 Char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NormalCharacter"/>
    <w:qFormat/>
    <w:uiPriority w:val="0"/>
  </w:style>
  <w:style w:type="paragraph" w:customStyle="1" w:styleId="14">
    <w:name w:val="Plain Text1"/>
    <w:basedOn w:val="1"/>
    <w:qFormat/>
    <w:uiPriority w:val="99"/>
    <w:rPr>
      <w:rFonts w:ascii="??" w:hAnsi="Courier New" w:eastAsia="Times New Roman" w:cs="Courier New"/>
      <w:szCs w:val="21"/>
      <w:lang w:bidi="he-I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2028</Words>
  <Characters>2166</Characters>
  <Lines>18</Lines>
  <Paragraphs>5</Paragraphs>
  <TotalTime>31</TotalTime>
  <ScaleCrop>false</ScaleCrop>
  <LinksUpToDate>false</LinksUpToDate>
  <CharactersWithSpaces>2377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2021-07-20T09:00:00Z</dcterms:created>
  <dc:creator>user</dc:creator>
  <cp:lastModifiedBy>Administrator</cp:lastModifiedBy>
  <dcterms:modified xsi:type="dcterms:W3CDTF">2023-04-03T06:06:01Z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3D97BAE39B4D4152843205AC5BE19FED</vt:lpwstr>
  </property>
</Properties>
</file>