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附件5：</w:t>
      </w:r>
    </w:p>
    <w:p>
      <w:pPr>
        <w:spacing w:line="580" w:lineRule="exact"/>
        <w:ind w:firstLine="720" w:firstLineChars="199"/>
        <w:rPr>
          <w:rFonts w:ascii="仿宋_GB2312" w:hAnsi="仿宋_GB2312" w:eastAsia="仿宋_GB2312" w:cs="仿宋_GB2312"/>
          <w:b/>
          <w:bCs/>
          <w:spacing w:val="-20"/>
          <w:sz w:val="40"/>
          <w:szCs w:val="48"/>
        </w:rPr>
      </w:pPr>
    </w:p>
    <w:p>
      <w:pPr>
        <w:spacing w:line="580" w:lineRule="exact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隆尧县农业农村局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b/>
          <w:bCs/>
          <w:w w:val="90"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w w:val="90"/>
          <w:sz w:val="40"/>
          <w:szCs w:val="48"/>
        </w:rPr>
        <w:t>隆尧县2022年度地下水超采综合治理高效节水灌溉项目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重点自评绩效报告</w:t>
      </w:r>
    </w:p>
    <w:p>
      <w:pPr>
        <w:spacing w:line="580" w:lineRule="exact"/>
        <w:ind w:firstLine="799" w:firstLineChars="199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</w:p>
    <w:p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</w:t>
      </w: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spacing w:line="760" w:lineRule="exact"/>
        <w:rPr>
          <w:rFonts w:hint="eastAsia"/>
        </w:rPr>
      </w:pPr>
    </w:p>
    <w:p>
      <w:pPr>
        <w:spacing w:line="760" w:lineRule="exact"/>
        <w:rPr>
          <w:rFonts w:hint="eastAsia"/>
        </w:rPr>
      </w:pPr>
    </w:p>
    <w:p>
      <w:pPr>
        <w:spacing w:line="760" w:lineRule="exact"/>
      </w:pPr>
      <w:bookmarkStart w:id="100" w:name="_GoBack"/>
      <w:bookmarkEnd w:id="100"/>
      <w:r>
        <w:rPr>
          <w:rFonts w:hint="eastAsia"/>
        </w:rPr>
        <w:t>项 目 名 称：</w:t>
      </w:r>
      <w:r>
        <w:rPr>
          <w:rFonts w:hint="eastAsia"/>
          <w:u w:val="single"/>
        </w:rPr>
        <w:t xml:space="preserve">  隆尧县2022年度地下水超采综合治理高效节水灌溉项目  </w:t>
      </w:r>
      <w:r>
        <w:rPr>
          <w:rFonts w:hint="eastAsia"/>
        </w:rPr>
        <w:t xml:space="preserve">  </w:t>
      </w:r>
    </w:p>
    <w:p>
      <w:pPr>
        <w:spacing w:line="760" w:lineRule="exact"/>
      </w:pPr>
      <w:r>
        <w:rPr>
          <w:rFonts w:hint="eastAsia"/>
        </w:rPr>
        <w:t>项目实施单位：</w:t>
      </w:r>
      <w:r>
        <w:rPr>
          <w:rFonts w:hint="eastAsia"/>
          <w:u w:val="single"/>
        </w:rPr>
        <w:t xml:space="preserve">            隆尧县农业农村局      </w:t>
      </w:r>
    </w:p>
    <w:p>
      <w:pPr>
        <w:spacing w:line="760" w:lineRule="exact"/>
      </w:pPr>
      <w:r>
        <w:rPr>
          <w:rFonts w:hint="eastAsia"/>
        </w:rPr>
        <w:t>项目总金额：</w:t>
      </w:r>
      <w:r>
        <w:rPr>
          <w:rFonts w:hint="eastAsia"/>
          <w:u w:val="single"/>
        </w:rPr>
        <w:t xml:space="preserve">          250万元                 </w:t>
      </w:r>
    </w:p>
    <w:p>
      <w:pPr>
        <w:spacing w:line="760" w:lineRule="exact"/>
      </w:pPr>
      <w:r>
        <w:rPr>
          <w:rFonts w:hint="eastAsia"/>
        </w:rPr>
        <w:t>评 价 年 度：</w:t>
      </w:r>
      <w:r>
        <w:rPr>
          <w:rFonts w:hint="eastAsia"/>
          <w:u w:val="single"/>
        </w:rPr>
        <w:t xml:space="preserve">                 2022年度           </w:t>
      </w:r>
    </w:p>
    <w:p>
      <w:pPr>
        <w:spacing w:line="760" w:lineRule="exact"/>
      </w:pPr>
      <w:r>
        <w:rPr>
          <w:rFonts w:hint="eastAsia"/>
        </w:rPr>
        <w:t>评价组组长：</w:t>
      </w:r>
      <w:r>
        <w:rPr>
          <w:rFonts w:hint="eastAsia"/>
          <w:u w:val="single"/>
        </w:rPr>
        <w:t xml:space="preserve">        李现国                         </w:t>
      </w:r>
    </w:p>
    <w:p>
      <w:pPr>
        <w:spacing w:line="760" w:lineRule="exact"/>
        <w:rPr>
          <w:u w:val="single"/>
        </w:rPr>
      </w:pPr>
      <w:r>
        <w:rPr>
          <w:rFonts w:hint="eastAsia"/>
        </w:rPr>
        <w:t>评价组成员：</w:t>
      </w:r>
      <w:r>
        <w:rPr>
          <w:rFonts w:hint="eastAsia"/>
          <w:u w:val="single"/>
        </w:rPr>
        <w:t xml:space="preserve">           郎立云、李青                     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0" w:name="_Toc16913"/>
      <w:bookmarkStart w:id="1" w:name="_Toc6314"/>
      <w:bookmarkStart w:id="2" w:name="_Toc23411"/>
      <w:bookmarkStart w:id="3" w:name="_Toc9525"/>
      <w:bookmarkStart w:id="4" w:name="_Toc11301"/>
      <w:bookmarkStart w:id="5" w:name="_Toc30335"/>
      <w:bookmarkStart w:id="6" w:name="_Toc18334"/>
      <w:bookmarkStart w:id="7" w:name="_Toc13153"/>
      <w:bookmarkStart w:id="8" w:name="_Toc2245"/>
      <w:bookmarkStart w:id="9" w:name="_Toc4013"/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</w:p>
    <w:p>
      <w:pPr>
        <w:spacing w:line="600" w:lineRule="atLeas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一、项目概况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10" w:name="_Toc937"/>
      <w:bookmarkStart w:id="11" w:name="_Toc22453"/>
      <w:bookmarkStart w:id="12" w:name="_Toc19963"/>
      <w:bookmarkStart w:id="13" w:name="_Toc22285"/>
      <w:bookmarkStart w:id="14" w:name="_Toc15831"/>
      <w:bookmarkStart w:id="15" w:name="_Toc30895"/>
      <w:bookmarkStart w:id="16" w:name="_Toc19370"/>
      <w:bookmarkStart w:id="17" w:name="_Toc32742"/>
      <w:bookmarkStart w:id="18" w:name="_Toc24784"/>
      <w:bookmarkStart w:id="19" w:name="_Toc23957"/>
      <w:r>
        <w:rPr>
          <w:rFonts w:hint="eastAsia" w:ascii="仿宋_GB2312" w:hAnsi="仿宋_GB2312" w:eastAsia="仿宋_GB2312" w:cs="仿宋_GB2312"/>
          <w:sz w:val="32"/>
          <w:szCs w:val="40"/>
        </w:rPr>
        <w:t>（一）项目单位基本情况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spacing w:line="600" w:lineRule="atLeas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40"/>
        </w:rPr>
      </w:pPr>
      <w:bookmarkStart w:id="20" w:name="_Toc29308"/>
      <w:bookmarkStart w:id="21" w:name="_Toc15167"/>
      <w:bookmarkStart w:id="22" w:name="_Toc8843"/>
      <w:r>
        <w:rPr>
          <w:rFonts w:hint="eastAsia" w:ascii="仿宋_GB2312" w:hAnsi="仿宋_GB2312" w:eastAsia="仿宋_GB2312" w:cs="仿宋_GB2312"/>
          <w:sz w:val="32"/>
          <w:szCs w:val="40"/>
        </w:rPr>
        <w:t>项目单位为隆尧县农业农村局，地址隆尧县德仁路4号。行政事业单位。承担隆尧县2022年度地下水超采综合治理高效节水灌溉项目。</w:t>
      </w:r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（二）项目基本情况</w:t>
      </w:r>
      <w:bookmarkEnd w:id="20"/>
      <w:bookmarkEnd w:id="21"/>
      <w:bookmarkEnd w:id="22"/>
    </w:p>
    <w:p>
      <w:pPr>
        <w:spacing w:line="600" w:lineRule="atLeas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bookmarkStart w:id="23" w:name="_Toc27552"/>
      <w:bookmarkStart w:id="24" w:name="_Toc32656"/>
      <w:bookmarkStart w:id="25" w:name="_Toc26594"/>
      <w:bookmarkStart w:id="26" w:name="_Toc24191"/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022年我县任务面积2.5万亩，总项目补助资金为500万元。其中，省级财政资金250万元，县级配套250万元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</w:p>
    <w:bookmarkEnd w:id="23"/>
    <w:bookmarkEnd w:id="24"/>
    <w:bookmarkEnd w:id="25"/>
    <w:bookmarkEnd w:id="26"/>
    <w:p>
      <w:pPr>
        <w:spacing w:line="600" w:lineRule="atLeas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7" w:name="_Toc18992"/>
      <w:bookmarkStart w:id="28" w:name="_Toc12860"/>
      <w:bookmarkStart w:id="29" w:name="_Toc14644"/>
      <w:bookmarkStart w:id="30" w:name="_Toc28908"/>
      <w:bookmarkStart w:id="31" w:name="_Toc2988"/>
      <w:bookmarkStart w:id="32" w:name="_Toc4859"/>
      <w:bookmarkStart w:id="33" w:name="_Toc17782"/>
      <w:bookmarkStart w:id="34" w:name="_Toc6781"/>
      <w:bookmarkStart w:id="35" w:name="_Toc7839"/>
      <w:bookmarkStart w:id="36" w:name="_Toc26109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二、项目实施情况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6"/>
        <w:spacing w:before="0" w:beforeAutospacing="0" w:after="0" w:afterAutospacing="0" w:line="600" w:lineRule="atLeast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根据省政府办公厅《关于加快发展节水农业的实施方案》(冀政办字〔2021〕105号)、省农业农村厅《关于印发〈河北省2022年度地下水超采综合治理高效节水灌溉项目实施方案》的通知》(冀农发〔2022〕111号)、《邢台市2022年度地下水超采综合治理高效节水灌溉项目实施方案的通知》（邢农发〔2022〕42号）要求，加快推进农田高效节水灌溉，提高农业用水效率，减少农业地下水开采，我县出台了《隆尧县2022年度地下水超采综合治理高效节水灌溉项目实施方案》，</w:t>
      </w:r>
      <w:r>
        <w:rPr>
          <w:rFonts w:hint="eastAsia" w:ascii="仿宋_GB2312" w:hAnsi="仿宋_GB2312" w:eastAsia="仿宋_GB2312" w:cs="仿宋_GB2312"/>
          <w:sz w:val="32"/>
          <w:szCs w:val="40"/>
        </w:rPr>
        <w:t>并按照方案</w:t>
      </w:r>
      <w:r>
        <w:rPr>
          <w:rFonts w:hint="eastAsia" w:ascii="仿宋" w:hAnsi="仿宋" w:eastAsia="仿宋" w:cs="仿宋"/>
          <w:sz w:val="32"/>
          <w:szCs w:val="32"/>
        </w:rPr>
        <w:t>在小麦、玉米一年两熟或其他大田作物，重点实施浅埋滴灌等2.5万亩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  <w:bookmarkStart w:id="37" w:name="_Toc5215"/>
      <w:bookmarkStart w:id="38" w:name="_Toc26855"/>
      <w:bookmarkStart w:id="39" w:name="_Toc18915"/>
      <w:bookmarkStart w:id="40" w:name="_Toc20904"/>
      <w:bookmarkStart w:id="41" w:name="_Toc5317"/>
      <w:bookmarkStart w:id="42" w:name="_Toc12150"/>
      <w:bookmarkStart w:id="43" w:name="_Toc10651"/>
      <w:bookmarkStart w:id="44" w:name="_Toc29800"/>
      <w:bookmarkStart w:id="45" w:name="_Toc21501"/>
      <w:bookmarkStart w:id="46" w:name="_Toc6451"/>
    </w:p>
    <w:p>
      <w:pPr>
        <w:pStyle w:val="6"/>
        <w:spacing w:before="0" w:beforeAutospacing="0" w:after="0" w:afterAutospacing="0" w:line="600" w:lineRule="atLeas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三、绩效评价工作情况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47" w:name="_Toc7570"/>
      <w:bookmarkStart w:id="48" w:name="_Toc15730"/>
      <w:bookmarkStart w:id="49" w:name="_Toc23608"/>
      <w:bookmarkStart w:id="50" w:name="_Toc5105"/>
      <w:bookmarkStart w:id="51" w:name="_Toc14742"/>
      <w:bookmarkStart w:id="52" w:name="_Toc8077"/>
      <w:bookmarkStart w:id="53" w:name="_Toc4056"/>
      <w:bookmarkStart w:id="54" w:name="_Toc25600"/>
      <w:bookmarkStart w:id="55" w:name="_Toc22771"/>
      <w:bookmarkStart w:id="56" w:name="_Toc17355"/>
      <w:bookmarkStart w:id="57" w:name="_Toc17025"/>
      <w:bookmarkStart w:id="58" w:name="_Toc20748"/>
      <w:bookmarkStart w:id="59" w:name="_Toc22222"/>
      <w:bookmarkStart w:id="60" w:name="_Toc5623"/>
      <w:bookmarkStart w:id="61" w:name="_Toc21014"/>
      <w:bookmarkStart w:id="62" w:name="_Toc10113"/>
      <w:bookmarkStart w:id="63" w:name="_Toc30508"/>
      <w:bookmarkStart w:id="64" w:name="_Toc28621"/>
      <w:bookmarkStart w:id="65" w:name="_Toc18842"/>
      <w:bookmarkStart w:id="66" w:name="_Toc6105"/>
      <w:r>
        <w:rPr>
          <w:rFonts w:hint="eastAsia" w:ascii="仿宋_GB2312" w:hAnsi="仿宋_GB2312" w:eastAsia="仿宋_GB2312" w:cs="仿宋_GB2312"/>
          <w:sz w:val="32"/>
          <w:szCs w:val="40"/>
        </w:rPr>
        <w:t>（一）评价目的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通过绩效自评结果对比倒查的年初绩效目标设定质量情况，全面总结绩效目标设定是否清晰准确，绩效指标是否全面完整、科学合理，绩效标准是否恰当适宜、易于评价，深入分析原因，逐项查找差距。</w:t>
      </w:r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67" w:name="_Toc18502"/>
      <w:bookmarkStart w:id="68" w:name="_Toc22727"/>
      <w:bookmarkStart w:id="69" w:name="_Toc27199"/>
      <w:bookmarkStart w:id="70" w:name="_Toc16121"/>
      <w:bookmarkStart w:id="71" w:name="_Toc16971"/>
      <w:bookmarkStart w:id="72" w:name="_Toc27346"/>
      <w:bookmarkStart w:id="73" w:name="_Toc8288"/>
      <w:bookmarkStart w:id="74" w:name="_Toc30351"/>
      <w:bookmarkStart w:id="75" w:name="_Toc3910"/>
      <w:bookmarkStart w:id="76" w:name="_Toc25746"/>
      <w:r>
        <w:rPr>
          <w:rFonts w:hint="eastAsia" w:ascii="仿宋_GB2312" w:hAnsi="仿宋_GB2312" w:eastAsia="仿宋_GB2312" w:cs="仿宋_GB2312"/>
          <w:sz w:val="32"/>
          <w:szCs w:val="40"/>
        </w:rPr>
        <w:t>（二）评价指标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评价指标。绩效评价指标共 100 分。具体为:“工作活动”设置 20分，工作活动”管理 20分，“工作活动”产出50分，“工作活动”效果10分。</w:t>
      </w:r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77" w:name="_Toc19068"/>
      <w:bookmarkStart w:id="78" w:name="_Toc11684"/>
      <w:bookmarkStart w:id="79" w:name="_Toc5587"/>
      <w:bookmarkStart w:id="80" w:name="_Toc19154"/>
      <w:bookmarkStart w:id="81" w:name="_Toc25343"/>
      <w:bookmarkStart w:id="82" w:name="_Toc12572"/>
      <w:bookmarkStart w:id="83" w:name="_Toc5304"/>
      <w:bookmarkStart w:id="84" w:name="_Toc32306"/>
      <w:bookmarkStart w:id="85" w:name="_Toc23270"/>
      <w:bookmarkStart w:id="86" w:name="_Toc32241"/>
      <w:r>
        <w:rPr>
          <w:rFonts w:hint="eastAsia" w:ascii="仿宋_GB2312" w:hAnsi="仿宋_GB2312" w:eastAsia="仿宋_GB2312" w:cs="仿宋_GB2312"/>
          <w:sz w:val="32"/>
          <w:szCs w:val="40"/>
        </w:rPr>
        <w:t>（三）评价依据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依据:隆尧县2022年度地下水超采综合治理高效节水灌溉项目实施方案。</w:t>
      </w:r>
    </w:p>
    <w:p>
      <w:pPr>
        <w:spacing w:line="600" w:lineRule="atLeas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87" w:name="_Toc11243"/>
      <w:bookmarkStart w:id="88" w:name="_Toc12940"/>
      <w:bookmarkStart w:id="89" w:name="_Toc9401"/>
      <w:bookmarkStart w:id="90" w:name="_Toc6747"/>
      <w:bookmarkStart w:id="91" w:name="_Toc26780"/>
      <w:bookmarkStart w:id="92" w:name="_Toc24302"/>
      <w:bookmarkStart w:id="93" w:name="_Toc13179"/>
      <w:bookmarkStart w:id="94" w:name="_Toc1868"/>
      <w:bookmarkStart w:id="95" w:name="_Toc22038"/>
      <w:bookmarkStart w:id="96" w:name="_Toc7393"/>
      <w:r>
        <w:rPr>
          <w:rFonts w:hint="eastAsia" w:ascii="仿宋_GB2312" w:hAnsi="仿宋_GB2312" w:eastAsia="仿宋_GB2312" w:cs="仿宋_GB2312"/>
          <w:sz w:val="32"/>
          <w:szCs w:val="40"/>
        </w:rPr>
        <w:t>（四）评价的主要方法及等级设定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>
      <w:pPr>
        <w:spacing w:line="600" w:lineRule="atLeas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绩效评价想、采取自评的方式，结果采取评分和评级相结合的方式，总分设置为 100 分，等级划分为四档:90(含)-100分为优、80(含)-90分为良、60(含)-80分为中、60分以下为差。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四、绩效评价指标体系及得分情况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ind w:firstLine="1554" w:firstLineChars="740"/>
      </w:pPr>
    </w:p>
    <w:tbl>
      <w:tblPr>
        <w:tblStyle w:val="8"/>
        <w:tblW w:w="840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8"/>
        <w:gridCol w:w="674"/>
        <w:gridCol w:w="2083"/>
        <w:gridCol w:w="545"/>
        <w:gridCol w:w="3557"/>
        <w:gridCol w:w="5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8404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4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隆尧县2022年度地下水超采综合治理高效节水灌溉项目</w:t>
            </w:r>
          </w:p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财政重点绩效评价指标表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一级指标  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三级指标</w:t>
            </w:r>
          </w:p>
        </w:tc>
        <w:tc>
          <w:tcPr>
            <w:tcW w:w="54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5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54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3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“工作活动”设置（20分）</w:t>
            </w: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有政府相关政策、规划、任务等文件得2分；无不得分。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工作活动与部门职责、工作规划和重点工作相关，工作活动项下确定的预算项目合理，与工作活动密切相关，工作活动和项目预算安排合理，得4分；否则不得分。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②是否通过清晰、可衡量的指标值予以体现；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③是否与项目年度任务数或计划数相对应；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④是否与预算确定的项目投资额或资金量相匹配。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缺少一项扣1分,扣完为止。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是否有绩效评价报告，报告是否依据充分、内容真实完整；数据准确、分析透彻。每存在一项问题扣2分，扣完为止。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“工作活动”管理（20分）</w:t>
            </w: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预算调整率=（预算调整数/预算数）×100%。预算调整率每大于1%扣1分，扣完为止。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资金使用合规性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项目资金使用是否符合国家财经法规及相关的财务管理制度规定，资金支出程序是否规范,报账手续是否齐全。每存在一项不合规问题扣2分，扣完为止。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会计核算是否符合《会计法》、《政府会计制度》、《会计基础工作规范》等法律法规和相关制度规定。每存在一项不合规问题扣1分，扣完为止。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是否建立责任机制，项目管理和责任落实到有关人。每存在一项问题扣1分，扣完为止。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制定管理制度和措施（包括财务制度）是否明确、清晰、具有可操作性，能否保障工作活动顺利实施。每缺少一项制度扣1分，扣完为止。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“工作活动”产出（50分）</w:t>
            </w: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实施节水面积2.5万亩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指标3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业务工作完成率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指标3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指标4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按时完成补贴资金发放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“工作活动”效果（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满意度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5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ind w:firstLine="220" w:firstLineChars="100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pStyle w:val="7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97" w:name="_Toc2634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五、评价分析</w:t>
      </w:r>
      <w:bookmarkEnd w:id="97"/>
    </w:p>
    <w:p>
      <w:pPr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color w:val="000000"/>
          <w:sz w:val="32"/>
          <w:szCs w:val="40"/>
        </w:rPr>
      </w:pPr>
      <w:bookmarkStart w:id="98" w:name="_Toc18513_WPSOffice_Level2"/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（一）主要扣分事项及原因分析</w:t>
      </w:r>
      <w:bookmarkEnd w:id="98"/>
    </w:p>
    <w:p>
      <w:pPr>
        <w:pStyle w:val="7"/>
        <w:ind w:firstLine="560"/>
        <w:rPr>
          <w:rFonts w:hint="eastAsia" w:ascii="仿宋_GB2312" w:hAnsi="仿宋_GB2312" w:eastAsia="仿宋_GB2312" w:cs="仿宋_GB2312"/>
          <w:color w:val="000000"/>
          <w:sz w:val="32"/>
          <w:szCs w:val="40"/>
        </w:rPr>
      </w:pPr>
      <w:r>
        <w:rPr>
          <w:rFonts w:hint="eastAsia"/>
        </w:rPr>
        <w:t xml:space="preserve"> </w:t>
      </w:r>
      <w:bookmarkStart w:id="99" w:name="_Toc11279_WPSOffice_Level1"/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2022年我县任务面积2.5万亩，总项目补助资金为500万元。其中，省级财政资金250万元，县级配套250万元。比传统灌溉方式亩均减少地下水灌溉60立方米以上，预计总节约农业用水150万立方米。由于前期县资金没有配套，2.5万亩节水任务全部实施于小麦、玉米一年两熟等大田作物，目前已完成小麦田间实施。下一步加强田间管理指导，确保达到节水目标，提高农业综合生产效益，按时做好补贴发放工作，提高农民使用节水灌溉设施的积极性。</w:t>
      </w:r>
    </w:p>
    <w:p>
      <w:pPr>
        <w:pStyle w:val="7"/>
        <w:ind w:firstLine="64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六、意见及建议</w:t>
      </w:r>
      <w:bookmarkEnd w:id="99"/>
    </w:p>
    <w:p>
      <w:pPr>
        <w:pStyle w:val="7"/>
        <w:spacing w:line="560" w:lineRule="exact"/>
        <w:ind w:left="420" w:leftChars="200" w:firstLineChars="150"/>
        <w:jc w:val="left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/>
          <w:color w:val="auto"/>
        </w:rPr>
        <w:t>下一步加强田间管理指导，确保达到节水目标，提高农业综合生产效益，按时做好补贴发放工作，提高农民使用节水灌溉设施的积极性。</w:t>
      </w:r>
    </w:p>
    <w:p>
      <w:pPr>
        <w:pStyle w:val="7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7"/>
        <w:spacing w:line="560" w:lineRule="exact"/>
        <w:ind w:firstLine="0" w:firstLineChars="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60" w:lineRule="exact"/>
        <w:ind w:firstLine="5760" w:firstLineChars="1800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2023年3月14日</w:t>
      </w:r>
    </w:p>
    <w:p>
      <w:pPr>
        <w:rPr>
          <w:rFonts w:ascii="仿宋_GB2312" w:hAnsi="仿宋_GB2312" w:eastAsia="仿宋_GB2312" w:cs="仿宋_GB2312"/>
        </w:rPr>
      </w:pPr>
    </w:p>
    <w:sectPr>
      <w:footerReference r:id="rId3" w:type="default"/>
      <w:pgSz w:w="11906" w:h="16838"/>
      <w:pgMar w:top="1984" w:right="1417" w:bottom="1417" w:left="141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7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jkwNGIzMTM3NzcyODk5Y2IxNWVlMTgzMjllODBkNGUifQ=="/>
  </w:docVars>
  <w:rsids>
    <w:rsidRoot w:val="07CC499B"/>
    <w:rsid w:val="00092B14"/>
    <w:rsid w:val="000D47D0"/>
    <w:rsid w:val="001373BE"/>
    <w:rsid w:val="00197AC7"/>
    <w:rsid w:val="001F3212"/>
    <w:rsid w:val="002707C6"/>
    <w:rsid w:val="00280F82"/>
    <w:rsid w:val="002C7254"/>
    <w:rsid w:val="003170CE"/>
    <w:rsid w:val="003C4354"/>
    <w:rsid w:val="00495CE3"/>
    <w:rsid w:val="00645DBC"/>
    <w:rsid w:val="007812E3"/>
    <w:rsid w:val="00814E39"/>
    <w:rsid w:val="008B386F"/>
    <w:rsid w:val="008C7CF4"/>
    <w:rsid w:val="00A02C66"/>
    <w:rsid w:val="00A46F67"/>
    <w:rsid w:val="00AB413B"/>
    <w:rsid w:val="00AD52C5"/>
    <w:rsid w:val="00B60E03"/>
    <w:rsid w:val="00D25A69"/>
    <w:rsid w:val="00D25CC3"/>
    <w:rsid w:val="00D3165F"/>
    <w:rsid w:val="00D471F4"/>
    <w:rsid w:val="00D5394A"/>
    <w:rsid w:val="00DB6DF3"/>
    <w:rsid w:val="00E30CAE"/>
    <w:rsid w:val="00E310A2"/>
    <w:rsid w:val="00EA509F"/>
    <w:rsid w:val="00EF2BA5"/>
    <w:rsid w:val="00EF5E2D"/>
    <w:rsid w:val="00EF6DA3"/>
    <w:rsid w:val="00FA340E"/>
    <w:rsid w:val="00FC6BED"/>
    <w:rsid w:val="01B67D1F"/>
    <w:rsid w:val="01CA2AF2"/>
    <w:rsid w:val="02120645"/>
    <w:rsid w:val="03274687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A64785"/>
    <w:rsid w:val="0A3B4E4B"/>
    <w:rsid w:val="0B601B06"/>
    <w:rsid w:val="0BEB58BF"/>
    <w:rsid w:val="0C15027B"/>
    <w:rsid w:val="0C3B2A49"/>
    <w:rsid w:val="0DAA4EE9"/>
    <w:rsid w:val="0E3117D9"/>
    <w:rsid w:val="102B0836"/>
    <w:rsid w:val="1064155D"/>
    <w:rsid w:val="1156122B"/>
    <w:rsid w:val="11F11891"/>
    <w:rsid w:val="12C35BB4"/>
    <w:rsid w:val="140849FA"/>
    <w:rsid w:val="14583EA3"/>
    <w:rsid w:val="151D09B5"/>
    <w:rsid w:val="1689469A"/>
    <w:rsid w:val="16DB1E7D"/>
    <w:rsid w:val="178C6C5A"/>
    <w:rsid w:val="17CD646A"/>
    <w:rsid w:val="184F3049"/>
    <w:rsid w:val="1B3F225B"/>
    <w:rsid w:val="1B4269FF"/>
    <w:rsid w:val="1D4B3C83"/>
    <w:rsid w:val="1DBD7AB3"/>
    <w:rsid w:val="1E0B387E"/>
    <w:rsid w:val="21460607"/>
    <w:rsid w:val="21FF1E9B"/>
    <w:rsid w:val="226F5AE9"/>
    <w:rsid w:val="23C1122C"/>
    <w:rsid w:val="243D751D"/>
    <w:rsid w:val="24522B03"/>
    <w:rsid w:val="25ED2FD4"/>
    <w:rsid w:val="264A346A"/>
    <w:rsid w:val="26DB3856"/>
    <w:rsid w:val="270A41B9"/>
    <w:rsid w:val="274B3C4E"/>
    <w:rsid w:val="285356FD"/>
    <w:rsid w:val="288E37E0"/>
    <w:rsid w:val="290243B4"/>
    <w:rsid w:val="2A5C748F"/>
    <w:rsid w:val="2B10000E"/>
    <w:rsid w:val="2B2D56DA"/>
    <w:rsid w:val="2D391E20"/>
    <w:rsid w:val="30785FD3"/>
    <w:rsid w:val="31702E0D"/>
    <w:rsid w:val="33C32B3C"/>
    <w:rsid w:val="34E52524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9B23A02"/>
    <w:rsid w:val="3A4766ED"/>
    <w:rsid w:val="3A713A3B"/>
    <w:rsid w:val="3AAB2217"/>
    <w:rsid w:val="3CAE49E3"/>
    <w:rsid w:val="3DAE40CB"/>
    <w:rsid w:val="3E7103A9"/>
    <w:rsid w:val="3E7E746E"/>
    <w:rsid w:val="3EBE2184"/>
    <w:rsid w:val="3F5912F8"/>
    <w:rsid w:val="3F9B4FC0"/>
    <w:rsid w:val="41B74B09"/>
    <w:rsid w:val="43DC781A"/>
    <w:rsid w:val="441C7555"/>
    <w:rsid w:val="450A0AA4"/>
    <w:rsid w:val="45236574"/>
    <w:rsid w:val="46434BE2"/>
    <w:rsid w:val="46AA6AA7"/>
    <w:rsid w:val="478E0E32"/>
    <w:rsid w:val="48A2447B"/>
    <w:rsid w:val="49430BD9"/>
    <w:rsid w:val="494625CA"/>
    <w:rsid w:val="4B65407F"/>
    <w:rsid w:val="4BD23ED8"/>
    <w:rsid w:val="4C2846CD"/>
    <w:rsid w:val="4C7A4C55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E03285"/>
    <w:rsid w:val="5AE71036"/>
    <w:rsid w:val="5B5F30DA"/>
    <w:rsid w:val="5BAF6F84"/>
    <w:rsid w:val="5BE03A0F"/>
    <w:rsid w:val="5D5C7CBD"/>
    <w:rsid w:val="5DF86B3F"/>
    <w:rsid w:val="5F1C1ADB"/>
    <w:rsid w:val="60134031"/>
    <w:rsid w:val="60C120AA"/>
    <w:rsid w:val="622D57EC"/>
    <w:rsid w:val="6304094B"/>
    <w:rsid w:val="64165E4C"/>
    <w:rsid w:val="6536013A"/>
    <w:rsid w:val="68DA698B"/>
    <w:rsid w:val="69622A87"/>
    <w:rsid w:val="6A3E1F45"/>
    <w:rsid w:val="6CCC6D4C"/>
    <w:rsid w:val="6D5F4EC3"/>
    <w:rsid w:val="6E3F5A2C"/>
    <w:rsid w:val="7008088F"/>
    <w:rsid w:val="712634CC"/>
    <w:rsid w:val="71A3781D"/>
    <w:rsid w:val="724E698E"/>
    <w:rsid w:val="756501CF"/>
    <w:rsid w:val="778F438E"/>
    <w:rsid w:val="7A055146"/>
    <w:rsid w:val="7A757A3F"/>
    <w:rsid w:val="7C647BFE"/>
    <w:rsid w:val="7D9B64C3"/>
    <w:rsid w:val="7E5818AB"/>
    <w:rsid w:val="7FA857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rFonts w:ascii="Times New Roman" w:hAnsi="Times New Roma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7">
    <w:name w:val="Body Text First Indent 2"/>
    <w:basedOn w:val="3"/>
    <w:next w:val="1"/>
    <w:qFormat/>
    <w:uiPriority w:val="0"/>
    <w:pPr>
      <w:ind w:firstLine="420"/>
    </w:pPr>
  </w:style>
  <w:style w:type="paragraph" w:customStyle="1" w:styleId="10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1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2">
    <w:name w:val="页眉 Char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NormalCharacter"/>
    <w:qFormat/>
    <w:uiPriority w:val="0"/>
  </w:style>
  <w:style w:type="paragraph" w:customStyle="1" w:styleId="14">
    <w:name w:val="Plain Text1"/>
    <w:basedOn w:val="1"/>
    <w:qFormat/>
    <w:uiPriority w:val="99"/>
    <w:rPr>
      <w:rFonts w:ascii="??" w:hAnsi="Courier New" w:eastAsia="Times New Roman" w:cs="Courier New"/>
      <w:szCs w:val="21"/>
      <w:lang w:bidi="he-I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1902</Words>
  <Characters>2014</Characters>
  <Lines>17</Lines>
  <Paragraphs>4</Paragraphs>
  <TotalTime>16</TotalTime>
  <ScaleCrop>false</ScaleCrop>
  <LinksUpToDate>false</LinksUpToDate>
  <CharactersWithSpaces>2200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2021-07-20T09:00:00Z</dcterms:created>
  <dc:creator>user</dc:creator>
  <cp:lastModifiedBy>Administrator</cp:lastModifiedBy>
  <cp:lastPrinted>2023-04-03T06:05:16Z</cp:lastPrinted>
  <dcterms:modified xsi:type="dcterms:W3CDTF">2023-04-03T06:05:48Z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3D97BAE39B4D4152843205AC5BE19FED</vt:lpwstr>
  </property>
</Properties>
</file>