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pPr>
        <w:spacing w:line="580" w:lineRule="exact"/>
        <w:ind w:firstLine="720" w:firstLineChars="199"/>
        <w:rPr>
          <w:rFonts w:ascii="仿宋_GB2312" w:hAnsi="仿宋_GB2312" w:eastAsia="仿宋_GB2312" w:cs="仿宋_GB2312"/>
          <w:b/>
          <w:bCs/>
          <w:spacing w:val="-20"/>
          <w:sz w:val="40"/>
          <w:szCs w:val="48"/>
        </w:rPr>
      </w:pPr>
    </w:p>
    <w:p>
      <w:pPr>
        <w:spacing w:line="580" w:lineRule="exact"/>
        <w:ind w:firstLine="720" w:firstLineChars="199"/>
        <w:jc w:val="center"/>
        <w:rPr>
          <w:rFonts w:ascii="仿宋_GB2312" w:hAnsi="仿宋_GB2312" w:eastAsia="仿宋_GB2312" w:cs="仿宋_GB2312"/>
          <w:b/>
          <w:bCs/>
          <w:spacing w:val="-20"/>
          <w:sz w:val="40"/>
          <w:szCs w:val="48"/>
        </w:rPr>
      </w:pPr>
      <w:r>
        <w:rPr>
          <w:rFonts w:hint="eastAsia" w:ascii="仿宋_GB2312" w:hAnsi="仿宋_GB2312" w:eastAsia="仿宋_GB2312" w:cs="仿宋_GB2312"/>
          <w:b/>
          <w:bCs/>
          <w:spacing w:val="-20"/>
          <w:sz w:val="40"/>
          <w:szCs w:val="48"/>
        </w:rPr>
        <w:t>隆尧县农业农村局</w:t>
      </w:r>
    </w:p>
    <w:p>
      <w:pPr>
        <w:spacing w:line="580" w:lineRule="exact"/>
        <w:ind w:firstLine="799" w:firstLineChars="199"/>
        <w:jc w:val="center"/>
        <w:rPr>
          <w:rFonts w:ascii="仿宋_GB2312" w:hAnsi="仿宋_GB2312" w:eastAsia="仿宋_GB2312" w:cs="仿宋_GB2312"/>
          <w:b/>
          <w:bCs/>
          <w:sz w:val="40"/>
          <w:szCs w:val="48"/>
        </w:rPr>
      </w:pPr>
      <w:r>
        <w:rPr>
          <w:rFonts w:hint="eastAsia" w:ascii="仿宋_GB2312" w:hAnsi="仿宋_GB2312" w:eastAsia="仿宋_GB2312" w:cs="仿宋_GB2312"/>
          <w:b/>
          <w:bCs/>
          <w:sz w:val="40"/>
          <w:szCs w:val="48"/>
        </w:rPr>
        <w:t>2021年原乡镇（公社）“三员”生活补贴项目重点自评绩效报告</w:t>
      </w:r>
    </w:p>
    <w:p>
      <w:pPr>
        <w:rPr>
          <w:rFonts w:ascii="仿宋_GB2312" w:hAnsi="仿宋_GB2312" w:eastAsia="仿宋_GB2312" w:cs="仿宋_GB2312"/>
        </w:rPr>
      </w:pPr>
      <w:r>
        <w:rPr>
          <w:rFonts w:hint="eastAsia" w:ascii="仿宋_GB2312" w:hAnsi="仿宋_GB2312" w:eastAsia="仿宋_GB2312" w:cs="仿宋_GB2312"/>
          <w:sz w:val="28"/>
          <w:szCs w:val="28"/>
        </w:rPr>
        <w:t xml:space="preserve">                         </w:t>
      </w: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spacing w:line="760" w:lineRule="exact"/>
        <w:rPr>
          <w:rFonts w:hint="eastAsia" w:ascii="仿宋_GB2312" w:hAnsi="仿宋_GB2312" w:eastAsia="仿宋_GB2312" w:cs="仿宋_GB2312"/>
          <w:spacing w:val="11"/>
          <w:sz w:val="28"/>
          <w:szCs w:val="28"/>
        </w:rPr>
      </w:pPr>
    </w:p>
    <w:p>
      <w:pPr>
        <w:spacing w:line="760" w:lineRule="exact"/>
        <w:rPr>
          <w:rFonts w:hint="eastAsia" w:ascii="仿宋_GB2312" w:hAnsi="仿宋_GB2312" w:eastAsia="仿宋_GB2312" w:cs="仿宋_GB2312"/>
          <w:spacing w:val="11"/>
          <w:sz w:val="28"/>
          <w:szCs w:val="28"/>
        </w:rPr>
      </w:pPr>
    </w:p>
    <w:p>
      <w:pPr>
        <w:spacing w:line="760" w:lineRule="exact"/>
        <w:rPr>
          <w:rFonts w:hint="eastAsia" w:ascii="仿宋_GB2312" w:hAnsi="仿宋_GB2312" w:eastAsia="仿宋_GB2312" w:cs="仿宋_GB2312"/>
          <w:spacing w:val="11"/>
          <w:sz w:val="28"/>
          <w:szCs w:val="28"/>
        </w:rPr>
      </w:pPr>
    </w:p>
    <w:p>
      <w:pPr>
        <w:spacing w:line="760" w:lineRule="exact"/>
        <w:rPr>
          <w:rFonts w:ascii="仿宋_GB2312" w:hAnsi="仿宋_GB2312" w:eastAsia="仿宋_GB2312" w:cs="仿宋_GB2312"/>
          <w:spacing w:val="-20"/>
          <w:sz w:val="28"/>
          <w:szCs w:val="28"/>
          <w:u w:val="single"/>
        </w:rPr>
      </w:pPr>
      <w:bookmarkStart w:id="110" w:name="_GoBack"/>
      <w:bookmarkEnd w:id="110"/>
      <w:r>
        <w:rPr>
          <w:rFonts w:hint="eastAsia" w:ascii="仿宋_GB2312" w:hAnsi="仿宋_GB2312" w:eastAsia="仿宋_GB2312" w:cs="仿宋_GB2312"/>
          <w:spacing w:val="11"/>
          <w:sz w:val="28"/>
          <w:szCs w:val="28"/>
        </w:rPr>
        <w:t>项 目 名 称：</w:t>
      </w:r>
      <w:r>
        <w:rPr>
          <w:rFonts w:hint="eastAsia" w:ascii="仿宋_GB2312" w:hAnsi="仿宋_GB2312" w:eastAsia="仿宋_GB2312" w:cs="仿宋_GB2312"/>
          <w:kern w:val="0"/>
          <w:sz w:val="28"/>
          <w:szCs w:val="28"/>
          <w:u w:val="single"/>
        </w:rPr>
        <w:t>2021年原乡镇（公社）“三员”生活补贴</w:t>
      </w:r>
      <w:r>
        <w:rPr>
          <w:rFonts w:hint="eastAsia" w:ascii="仿宋_GB2312" w:hAnsi="仿宋_GB2312" w:eastAsia="仿宋_GB2312" w:cs="仿宋_GB2312"/>
          <w:b/>
          <w:bCs/>
          <w:sz w:val="28"/>
          <w:szCs w:val="28"/>
          <w:u w:val="single"/>
        </w:rPr>
        <w:t xml:space="preserve">项目  </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项目实施单位：</w:t>
      </w:r>
      <w:r>
        <w:rPr>
          <w:rFonts w:hint="eastAsia" w:ascii="仿宋_GB2312" w:hAnsi="仿宋_GB2312" w:eastAsia="仿宋_GB2312" w:cs="仿宋_GB2312"/>
          <w:kern w:val="0"/>
          <w:sz w:val="28"/>
          <w:szCs w:val="28"/>
          <w:u w:val="single"/>
        </w:rPr>
        <w:t>隆尧县农业农村局</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项目总金额：</w:t>
      </w:r>
      <w:r>
        <w:rPr>
          <w:rFonts w:hint="eastAsia" w:ascii="仿宋_GB2312" w:hAnsi="仿宋_GB2312" w:eastAsia="仿宋_GB2312" w:cs="仿宋_GB2312"/>
          <w:kern w:val="0"/>
          <w:sz w:val="28"/>
          <w:szCs w:val="28"/>
          <w:u w:val="single"/>
        </w:rPr>
        <w:t>101.976  万元</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11"/>
          <w:sz w:val="28"/>
          <w:szCs w:val="28"/>
        </w:rPr>
        <w:t>评 价 年 度：</w:t>
      </w:r>
      <w:r>
        <w:rPr>
          <w:rFonts w:hint="eastAsia" w:ascii="仿宋_GB2312" w:hAnsi="仿宋_GB2312" w:eastAsia="仿宋_GB2312" w:cs="仿宋_GB2312"/>
          <w:sz w:val="28"/>
          <w:szCs w:val="28"/>
          <w:u w:val="single"/>
        </w:rPr>
        <w:t>2022年度</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评价组组长：</w:t>
      </w:r>
      <w:r>
        <w:rPr>
          <w:rFonts w:hint="eastAsia" w:ascii="仿宋_GB2312" w:hAnsi="仿宋_GB2312" w:eastAsia="仿宋_GB2312" w:cs="仿宋_GB2312"/>
          <w:sz w:val="28"/>
          <w:szCs w:val="28"/>
          <w:u w:val="single"/>
        </w:rPr>
        <w:t xml:space="preserve">   李现国      </w:t>
      </w:r>
    </w:p>
    <w:p>
      <w:pPr>
        <w:spacing w:line="760" w:lineRule="exact"/>
        <w:rPr>
          <w:rFonts w:hint="eastAsia" w:ascii="仿宋_GB2312" w:hAnsi="仿宋_GB2312" w:eastAsia="仿宋_GB2312" w:cs="仿宋_GB2312"/>
        </w:rPr>
      </w:pPr>
      <w:r>
        <w:rPr>
          <w:rFonts w:hint="eastAsia" w:ascii="仿宋_GB2312" w:hAnsi="仿宋_GB2312" w:eastAsia="仿宋_GB2312" w:cs="仿宋_GB2312"/>
          <w:spacing w:val="28"/>
          <w:sz w:val="28"/>
          <w:szCs w:val="28"/>
        </w:rPr>
        <w:t>评价组成员：</w:t>
      </w:r>
      <w:r>
        <w:rPr>
          <w:rFonts w:hint="eastAsia" w:ascii="仿宋_GB2312" w:hAnsi="仿宋_GB2312" w:eastAsia="仿宋_GB2312" w:cs="仿宋_GB2312"/>
          <w:sz w:val="28"/>
          <w:szCs w:val="28"/>
          <w:u w:val="single"/>
        </w:rPr>
        <w:t xml:space="preserve">    卫计运、李青      </w:t>
      </w:r>
      <w:bookmarkStart w:id="0" w:name="_Toc18334"/>
      <w:bookmarkStart w:id="1" w:name="_Toc13153"/>
      <w:bookmarkStart w:id="2" w:name="_Toc9525"/>
      <w:bookmarkStart w:id="3" w:name="_Toc23411"/>
      <w:bookmarkStart w:id="4" w:name="_Toc6314"/>
      <w:bookmarkStart w:id="5" w:name="_Toc11301"/>
      <w:bookmarkStart w:id="6" w:name="_Toc16913"/>
      <w:bookmarkStart w:id="7" w:name="_Toc2245"/>
      <w:bookmarkStart w:id="8" w:name="_Toc4013"/>
      <w:bookmarkStart w:id="9" w:name="_Toc30335"/>
    </w:p>
    <w:p>
      <w:pPr>
        <w:spacing w:line="760" w:lineRule="exact"/>
        <w:ind w:firstLine="643" w:firstLineChars="200"/>
        <w:rPr>
          <w:rFonts w:ascii="仿宋_GB2312" w:hAnsi="仿宋_GB2312" w:eastAsia="仿宋_GB2312" w:cs="仿宋_GB2312"/>
        </w:rPr>
      </w:pPr>
      <w:r>
        <w:rPr>
          <w:rFonts w:hint="eastAsia" w:ascii="仿宋_GB2312" w:hAnsi="仿宋_GB2312" w:eastAsia="仿宋_GB2312" w:cs="仿宋_GB2312"/>
          <w:b/>
          <w:bCs/>
          <w:sz w:val="32"/>
          <w:szCs w:val="40"/>
        </w:rPr>
        <w:t>一、项目概况</w:t>
      </w:r>
      <w:bookmarkEnd w:id="0"/>
      <w:bookmarkEnd w:id="1"/>
      <w:bookmarkEnd w:id="2"/>
      <w:bookmarkEnd w:id="3"/>
      <w:bookmarkEnd w:id="4"/>
      <w:bookmarkEnd w:id="5"/>
      <w:bookmarkEnd w:id="6"/>
      <w:bookmarkEnd w:id="7"/>
      <w:bookmarkEnd w:id="8"/>
      <w:bookmarkEnd w:id="9"/>
    </w:p>
    <w:p>
      <w:pPr>
        <w:spacing w:line="580" w:lineRule="exact"/>
        <w:ind w:firstLine="640" w:firstLineChars="200"/>
        <w:outlineLvl w:val="1"/>
        <w:rPr>
          <w:rFonts w:ascii="仿宋_GB2312" w:hAnsi="仿宋_GB2312" w:eastAsia="仿宋_GB2312" w:cs="仿宋_GB2312"/>
          <w:sz w:val="32"/>
          <w:szCs w:val="40"/>
        </w:rPr>
      </w:pPr>
      <w:bookmarkStart w:id="10" w:name="_Toc937"/>
      <w:bookmarkStart w:id="11" w:name="_Toc22453"/>
      <w:bookmarkStart w:id="12" w:name="_Toc19370"/>
      <w:bookmarkStart w:id="13" w:name="_Toc24784"/>
      <w:bookmarkStart w:id="14" w:name="_Toc30895"/>
      <w:bookmarkStart w:id="15" w:name="_Toc22285"/>
      <w:bookmarkStart w:id="16" w:name="_Toc19963"/>
      <w:bookmarkStart w:id="17" w:name="_Toc32742"/>
      <w:bookmarkStart w:id="18" w:name="_Toc15831"/>
      <w:bookmarkStart w:id="19" w:name="_Toc23957"/>
      <w:r>
        <w:rPr>
          <w:rFonts w:hint="eastAsia" w:ascii="仿宋_GB2312" w:hAnsi="仿宋_GB2312" w:eastAsia="仿宋_GB2312" w:cs="仿宋_GB2312"/>
          <w:sz w:val="32"/>
          <w:szCs w:val="40"/>
        </w:rPr>
        <w:t>（一）项目单位基本情况</w:t>
      </w:r>
      <w:bookmarkEnd w:id="10"/>
      <w:bookmarkEnd w:id="11"/>
      <w:bookmarkEnd w:id="12"/>
      <w:bookmarkEnd w:id="13"/>
      <w:bookmarkEnd w:id="14"/>
      <w:bookmarkEnd w:id="15"/>
      <w:bookmarkEnd w:id="16"/>
      <w:bookmarkEnd w:id="17"/>
      <w:bookmarkEnd w:id="18"/>
      <w:bookmarkEnd w:id="19"/>
    </w:p>
    <w:p>
      <w:pPr>
        <w:spacing w:line="580" w:lineRule="exact"/>
        <w:ind w:firstLine="640" w:firstLineChars="200"/>
        <w:outlineLvl w:val="1"/>
        <w:rPr>
          <w:rFonts w:ascii="仿宋" w:hAnsi="仿宋" w:eastAsia="仿宋" w:cs="仿宋"/>
          <w:sz w:val="32"/>
          <w:szCs w:val="32"/>
        </w:rPr>
      </w:pPr>
      <w:bookmarkStart w:id="20" w:name="_Toc8843"/>
      <w:bookmarkStart w:id="21" w:name="_Toc15167"/>
      <w:bookmarkStart w:id="22" w:name="_Toc29308"/>
      <w:r>
        <w:rPr>
          <w:rFonts w:hint="eastAsia" w:ascii="仿宋" w:hAnsi="仿宋" w:eastAsia="仿宋" w:cs="仿宋"/>
          <w:sz w:val="32"/>
          <w:szCs w:val="32"/>
        </w:rPr>
        <w:t>项目单位为隆尧县农业农村局，地址隆尧县德仁路4号。行政事业单位。承担</w:t>
      </w:r>
      <w:r>
        <w:rPr>
          <w:rFonts w:hint="eastAsia" w:ascii="仿宋" w:hAnsi="仿宋" w:eastAsia="仿宋" w:cs="仿宋"/>
          <w:kern w:val="0"/>
          <w:sz w:val="32"/>
          <w:szCs w:val="32"/>
        </w:rPr>
        <w:t>2021年原乡镇（公社）“三员”生活补助项目</w:t>
      </w:r>
      <w:r>
        <w:rPr>
          <w:rFonts w:hint="eastAsia" w:ascii="仿宋" w:hAnsi="仿宋" w:eastAsia="仿宋" w:cs="仿宋"/>
          <w:sz w:val="32"/>
          <w:szCs w:val="32"/>
        </w:rPr>
        <w:t>。</w:t>
      </w:r>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（二）项目基本情况</w:t>
      </w:r>
      <w:bookmarkEnd w:id="20"/>
      <w:bookmarkEnd w:id="21"/>
      <w:bookmarkEnd w:id="22"/>
    </w:p>
    <w:p>
      <w:pPr>
        <w:ind w:firstLine="640" w:firstLineChars="200"/>
        <w:rPr>
          <w:rFonts w:eastAsia="仿宋"/>
          <w:sz w:val="32"/>
        </w:rPr>
      </w:pPr>
      <w:bookmarkStart w:id="23" w:name="_Toc24191"/>
      <w:bookmarkStart w:id="24" w:name="_Toc32656"/>
      <w:bookmarkStart w:id="25" w:name="_Toc26594"/>
      <w:bookmarkStart w:id="26" w:name="_Toc27552"/>
      <w:r>
        <w:rPr>
          <w:rFonts w:eastAsia="仿宋_GB2312"/>
          <w:sz w:val="32"/>
          <w:szCs w:val="32"/>
        </w:rPr>
        <w:t>为妥善解决原乡镇（公社）农机员、农技员、基层兽医老有所养问题，隆尧县</w:t>
      </w:r>
      <w:r>
        <w:rPr>
          <w:rFonts w:hint="eastAsia" w:eastAsia="仿宋_GB2312"/>
          <w:sz w:val="32"/>
          <w:szCs w:val="32"/>
        </w:rPr>
        <w:t>政府</w:t>
      </w:r>
      <w:r>
        <w:rPr>
          <w:rFonts w:eastAsia="仿宋_GB2312"/>
          <w:sz w:val="32"/>
          <w:szCs w:val="32"/>
        </w:rPr>
        <w:t>按照省市《关于为原乡镇（公社）农机员农技员基层兽医发放生活补贴的实施方案》参照范本，结合</w:t>
      </w:r>
      <w:r>
        <w:rPr>
          <w:rFonts w:hint="eastAsia" w:eastAsia="仿宋_GB2312"/>
          <w:sz w:val="32"/>
          <w:szCs w:val="32"/>
        </w:rPr>
        <w:t>本</w:t>
      </w:r>
      <w:r>
        <w:rPr>
          <w:rFonts w:eastAsia="仿宋_GB2312"/>
          <w:sz w:val="32"/>
          <w:szCs w:val="32"/>
        </w:rPr>
        <w:t>县实际情况，</w:t>
      </w:r>
      <w:r>
        <w:rPr>
          <w:rFonts w:hint="eastAsia" w:eastAsia="仿宋"/>
          <w:sz w:val="32"/>
        </w:rPr>
        <w:t>印发了《隆尧县为原乡镇（公社）农机员、农技员、基层兽医员发放生活补贴实施方案》隆农字【2017】号文件，</w:t>
      </w:r>
    </w:p>
    <w:p>
      <w:pPr>
        <w:rPr>
          <w:rFonts w:eastAsia="仿宋"/>
          <w:sz w:val="32"/>
        </w:rPr>
      </w:pPr>
      <w:r>
        <w:rPr>
          <w:rFonts w:eastAsia="仿宋_GB2312"/>
          <w:sz w:val="32"/>
          <w:szCs w:val="32"/>
        </w:rPr>
        <w:t>决定对我县农民身份曾经受聘在原乡镇（公社）农机站、农业技术推广站、基层兽医站工作过的农村原拖拉机驾驶员和农机管理修理人员农民技术员、基层畜牧兽医人员发放生活补贴。</w:t>
      </w:r>
      <w:r>
        <w:rPr>
          <w:rFonts w:eastAsia="仿宋"/>
          <w:sz w:val="32"/>
          <w:szCs w:val="32"/>
        </w:rPr>
        <w:t>截至2016年底满60周岁的农机员、农技员、基层兽医，按统一规定享受生活补贴；截至2016年底不满60周岁的，从达到60周岁次月起享受生活补贴。补助标准</w:t>
      </w:r>
      <w:r>
        <w:rPr>
          <w:rFonts w:hint="eastAsia" w:eastAsia="仿宋"/>
          <w:sz w:val="32"/>
          <w:szCs w:val="32"/>
        </w:rPr>
        <w:t>：</w:t>
      </w:r>
      <w:r>
        <w:rPr>
          <w:rFonts w:eastAsia="仿宋"/>
          <w:sz w:val="32"/>
          <w:szCs w:val="32"/>
        </w:rPr>
        <w:t>采取按工龄补助的形式，每个工龄每月20元，不满一年的按一年计算，最高不超过每月400元。</w:t>
      </w:r>
    </w:p>
    <w:bookmarkEnd w:id="23"/>
    <w:bookmarkEnd w:id="24"/>
    <w:bookmarkEnd w:id="25"/>
    <w:bookmarkEnd w:id="26"/>
    <w:p>
      <w:pPr>
        <w:spacing w:line="580" w:lineRule="exact"/>
        <w:ind w:firstLine="643" w:firstLineChars="200"/>
        <w:outlineLvl w:val="0"/>
        <w:rPr>
          <w:rFonts w:ascii="仿宋_GB2312" w:hAnsi="仿宋_GB2312" w:eastAsia="仿宋_GB2312" w:cs="仿宋_GB2312"/>
          <w:b/>
          <w:bCs/>
          <w:sz w:val="32"/>
          <w:szCs w:val="40"/>
        </w:rPr>
      </w:pPr>
      <w:bookmarkStart w:id="27" w:name="_Toc17782"/>
      <w:bookmarkStart w:id="28" w:name="_Toc7839"/>
      <w:bookmarkStart w:id="29" w:name="_Toc2988"/>
      <w:bookmarkStart w:id="30" w:name="_Toc26109"/>
      <w:bookmarkStart w:id="31" w:name="_Toc28908"/>
      <w:bookmarkStart w:id="32" w:name="_Toc12860"/>
      <w:bookmarkStart w:id="33" w:name="_Toc18992"/>
      <w:bookmarkStart w:id="34" w:name="_Toc14644"/>
      <w:bookmarkStart w:id="35" w:name="_Toc6781"/>
      <w:bookmarkStart w:id="36" w:name="_Toc4859"/>
      <w:r>
        <w:rPr>
          <w:rFonts w:hint="eastAsia" w:ascii="仿宋_GB2312" w:hAnsi="仿宋_GB2312" w:eastAsia="仿宋_GB2312" w:cs="仿宋_GB2312"/>
          <w:b/>
          <w:bCs/>
          <w:sz w:val="32"/>
          <w:szCs w:val="40"/>
        </w:rPr>
        <w:t>二、项目实施情况</w:t>
      </w:r>
      <w:bookmarkEnd w:id="27"/>
      <w:bookmarkEnd w:id="28"/>
      <w:bookmarkEnd w:id="29"/>
      <w:bookmarkEnd w:id="30"/>
      <w:bookmarkEnd w:id="31"/>
      <w:bookmarkEnd w:id="32"/>
      <w:bookmarkEnd w:id="33"/>
      <w:bookmarkEnd w:id="34"/>
      <w:bookmarkEnd w:id="35"/>
      <w:bookmarkEnd w:id="36"/>
    </w:p>
    <w:p>
      <w:pPr>
        <w:ind w:firstLine="640" w:firstLineChars="200"/>
        <w:rPr>
          <w:rFonts w:eastAsia="仿宋"/>
          <w:color w:val="000000"/>
          <w:sz w:val="32"/>
        </w:rPr>
      </w:pPr>
      <w:bookmarkStart w:id="37" w:name="_Toc13114"/>
      <w:bookmarkStart w:id="38" w:name="_Toc31876"/>
      <w:bookmarkStart w:id="39" w:name="_Toc20844"/>
      <w:bookmarkStart w:id="40" w:name="_Toc22812"/>
      <w:bookmarkStart w:id="41" w:name="_Toc9227"/>
      <w:bookmarkStart w:id="42" w:name="_Toc11365"/>
      <w:bookmarkStart w:id="43" w:name="_Toc4138"/>
      <w:bookmarkStart w:id="44" w:name="_Toc17743"/>
      <w:bookmarkStart w:id="45" w:name="_Toc17067"/>
      <w:bookmarkStart w:id="46" w:name="_Toc10886"/>
      <w:r>
        <w:rPr>
          <w:rFonts w:hint="eastAsia" w:eastAsia="仿宋"/>
          <w:color w:val="000000"/>
          <w:sz w:val="32"/>
        </w:rPr>
        <w:t>（一）项目预算</w:t>
      </w:r>
    </w:p>
    <w:p>
      <w:pPr>
        <w:ind w:firstLine="640" w:firstLineChars="200"/>
        <w:rPr>
          <w:rFonts w:eastAsia="仿宋"/>
          <w:color w:val="FF0000"/>
          <w:sz w:val="32"/>
        </w:rPr>
      </w:pPr>
      <w:r>
        <w:rPr>
          <w:rFonts w:hint="eastAsia" w:eastAsia="仿宋"/>
          <w:color w:val="000000"/>
          <w:sz w:val="32"/>
        </w:rPr>
        <w:t>根据河北省农业农村厅全省原乡镇（公社）农机员农技员基层兽医群众风险防范和信访稳定工作方案精神，截止2021年12月31日</w:t>
      </w:r>
      <w:r>
        <w:rPr>
          <w:rFonts w:hint="eastAsia" w:eastAsia="仿宋"/>
          <w:sz w:val="32"/>
        </w:rPr>
        <w:t>全县共核实认定“三员”377人。其中，2020年12月31日年满60周岁的“三员”共计330人，工龄合计4249年，“三员”生活补贴预算资金共计101.976万元。</w:t>
      </w:r>
    </w:p>
    <w:p>
      <w:pPr>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（二）实际发放</w:t>
      </w:r>
    </w:p>
    <w:p>
      <w:pPr>
        <w:ind w:firstLine="960" w:firstLineChars="300"/>
        <w:rPr>
          <w:rFonts w:eastAsia="仿宋"/>
          <w:sz w:val="32"/>
        </w:rPr>
      </w:pPr>
      <w:r>
        <w:rPr>
          <w:rFonts w:hint="eastAsia" w:eastAsia="仿宋"/>
          <w:sz w:val="32"/>
        </w:rPr>
        <w:t>1、为确保该项资金发放真实、准确、有效，2022年2月我局结合乡、村对2021年12月31日年满60周岁的330名“三员”健康情况核实，2021年1月1日-12月31日因病死亡11人，核减人员工龄合计120年，核减资金1.87万元，实际发放生活补助资金共计100.106万元。</w:t>
      </w:r>
    </w:p>
    <w:p>
      <w:pPr>
        <w:ind w:firstLine="960" w:firstLineChars="300"/>
        <w:rPr>
          <w:rFonts w:eastAsia="仿宋"/>
          <w:sz w:val="32"/>
        </w:rPr>
      </w:pPr>
      <w:r>
        <w:rPr>
          <w:rFonts w:hint="eastAsia" w:eastAsia="仿宋"/>
          <w:sz w:val="32"/>
        </w:rPr>
        <w:t>2、补发王改良同志2017-2019年（3年）生活补助资金差额1.08万元。</w:t>
      </w:r>
    </w:p>
    <w:p>
      <w:pPr>
        <w:spacing w:line="58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（三）资金拨付</w:t>
      </w:r>
    </w:p>
    <w:p>
      <w:pPr>
        <w:ind w:firstLine="960" w:firstLineChars="300"/>
        <w:rPr>
          <w:rFonts w:ascii="仿宋_GB2312" w:hAnsi="仿宋_GB2312" w:eastAsia="仿宋_GB2312" w:cs="仿宋_GB2312"/>
          <w:sz w:val="32"/>
          <w:szCs w:val="40"/>
        </w:rPr>
      </w:pPr>
      <w:r>
        <w:rPr>
          <w:rFonts w:hint="eastAsia" w:eastAsia="仿宋"/>
          <w:sz w:val="32"/>
        </w:rPr>
        <w:t>由代发银行</w:t>
      </w:r>
      <w:r>
        <w:rPr>
          <w:rFonts w:hint="eastAsia" w:ascii="宋体" w:hAnsi="宋体" w:eastAsia="仿宋"/>
          <w:bCs/>
          <w:sz w:val="32"/>
          <w:szCs w:val="36"/>
        </w:rPr>
        <w:t>发放至</w:t>
      </w:r>
      <w:r>
        <w:rPr>
          <w:rFonts w:hint="eastAsia" w:eastAsia="仿宋"/>
          <w:color w:val="000000"/>
          <w:sz w:val="32"/>
        </w:rPr>
        <w:t>原乡镇（公社）</w:t>
      </w:r>
      <w:bookmarkEnd w:id="37"/>
      <w:bookmarkEnd w:id="38"/>
      <w:bookmarkEnd w:id="39"/>
      <w:bookmarkEnd w:id="40"/>
      <w:bookmarkEnd w:id="41"/>
      <w:bookmarkEnd w:id="42"/>
      <w:bookmarkEnd w:id="43"/>
      <w:bookmarkEnd w:id="44"/>
      <w:bookmarkEnd w:id="45"/>
      <w:bookmarkEnd w:id="46"/>
      <w:r>
        <w:rPr>
          <w:rFonts w:hint="eastAsia" w:eastAsia="仿宋"/>
          <w:sz w:val="32"/>
        </w:rPr>
        <w:t>“三员”</w:t>
      </w:r>
      <w:r>
        <w:rPr>
          <w:rFonts w:hint="eastAsia" w:eastAsia="仿宋"/>
          <w:color w:val="000000"/>
          <w:sz w:val="32"/>
        </w:rPr>
        <w:t>社保卡中，已完成发放生活补助资金101.186万元。</w:t>
      </w:r>
    </w:p>
    <w:p>
      <w:pPr>
        <w:spacing w:line="580" w:lineRule="exact"/>
        <w:ind w:firstLine="643" w:firstLineChars="200"/>
        <w:outlineLvl w:val="0"/>
        <w:rPr>
          <w:rFonts w:ascii="仿宋_GB2312" w:hAnsi="仿宋_GB2312" w:eastAsia="仿宋_GB2312" w:cs="仿宋_GB2312"/>
          <w:b/>
          <w:bCs/>
          <w:sz w:val="32"/>
          <w:szCs w:val="40"/>
        </w:rPr>
      </w:pPr>
      <w:bookmarkStart w:id="47" w:name="_Toc10651"/>
      <w:bookmarkStart w:id="48" w:name="_Toc21501"/>
      <w:bookmarkStart w:id="49" w:name="_Toc5215"/>
      <w:bookmarkStart w:id="50" w:name="_Toc12150"/>
      <w:bookmarkStart w:id="51" w:name="_Toc6451"/>
      <w:bookmarkStart w:id="52" w:name="_Toc20904"/>
      <w:bookmarkStart w:id="53" w:name="_Toc5317"/>
      <w:bookmarkStart w:id="54" w:name="_Toc26855"/>
      <w:bookmarkStart w:id="55" w:name="_Toc29800"/>
      <w:bookmarkStart w:id="56" w:name="_Toc18915"/>
      <w:r>
        <w:rPr>
          <w:rFonts w:hint="eastAsia" w:ascii="仿宋_GB2312" w:hAnsi="仿宋_GB2312" w:eastAsia="仿宋_GB2312" w:cs="仿宋_GB2312"/>
          <w:b/>
          <w:bCs/>
          <w:sz w:val="32"/>
          <w:szCs w:val="40"/>
        </w:rPr>
        <w:t>三、绩效评价工作情况</w:t>
      </w:r>
      <w:bookmarkEnd w:id="47"/>
      <w:bookmarkEnd w:id="48"/>
      <w:bookmarkEnd w:id="49"/>
      <w:bookmarkEnd w:id="50"/>
      <w:bookmarkEnd w:id="51"/>
      <w:bookmarkEnd w:id="52"/>
      <w:bookmarkEnd w:id="53"/>
      <w:bookmarkEnd w:id="54"/>
      <w:bookmarkEnd w:id="55"/>
      <w:bookmarkEnd w:id="56"/>
    </w:p>
    <w:p>
      <w:pPr>
        <w:spacing w:line="580" w:lineRule="exact"/>
        <w:ind w:firstLine="640" w:firstLineChars="200"/>
        <w:outlineLvl w:val="1"/>
        <w:rPr>
          <w:rFonts w:ascii="仿宋_GB2312" w:hAnsi="仿宋_GB2312" w:eastAsia="仿宋_GB2312" w:cs="仿宋_GB2312"/>
          <w:sz w:val="32"/>
          <w:szCs w:val="40"/>
        </w:rPr>
      </w:pPr>
      <w:bookmarkStart w:id="57" w:name="_Toc4056"/>
      <w:bookmarkStart w:id="58" w:name="_Toc5105"/>
      <w:bookmarkStart w:id="59" w:name="_Toc15730"/>
      <w:bookmarkStart w:id="60" w:name="_Toc17355"/>
      <w:bookmarkStart w:id="61" w:name="_Toc7570"/>
      <w:bookmarkStart w:id="62" w:name="_Toc25600"/>
      <w:bookmarkStart w:id="63" w:name="_Toc23608"/>
      <w:bookmarkStart w:id="64" w:name="_Toc8077"/>
      <w:bookmarkStart w:id="65" w:name="_Toc22771"/>
      <w:bookmarkStart w:id="66" w:name="_Toc14742"/>
      <w:r>
        <w:rPr>
          <w:rFonts w:hint="eastAsia" w:ascii="仿宋_GB2312" w:hAnsi="仿宋_GB2312" w:eastAsia="仿宋_GB2312" w:cs="仿宋_GB2312"/>
          <w:sz w:val="32"/>
          <w:szCs w:val="40"/>
        </w:rPr>
        <w:t>（一）评价目的</w:t>
      </w:r>
      <w:bookmarkEnd w:id="57"/>
      <w:bookmarkEnd w:id="58"/>
      <w:bookmarkEnd w:id="59"/>
      <w:bookmarkEnd w:id="60"/>
      <w:bookmarkEnd w:id="61"/>
      <w:bookmarkEnd w:id="62"/>
      <w:bookmarkEnd w:id="63"/>
      <w:bookmarkEnd w:id="64"/>
      <w:bookmarkEnd w:id="65"/>
      <w:bookmarkEnd w:id="66"/>
    </w:p>
    <w:p>
      <w:pPr>
        <w:spacing w:line="580" w:lineRule="exact"/>
        <w:ind w:firstLine="640" w:firstLineChars="200"/>
        <w:outlineLvl w:val="1"/>
        <w:rPr>
          <w:rFonts w:ascii="仿宋" w:hAnsi="仿宋" w:eastAsia="仿宋" w:cs="仿宋"/>
          <w:sz w:val="32"/>
          <w:szCs w:val="32"/>
        </w:rPr>
      </w:pPr>
      <w:r>
        <w:rPr>
          <w:rFonts w:hint="eastAsia" w:ascii="仿宋" w:hAnsi="仿宋" w:eastAsia="仿宋" w:cs="仿宋"/>
          <w:sz w:val="32"/>
          <w:szCs w:val="32"/>
        </w:rPr>
        <w:t>通过绩效自评对比倒查的年初绩效目标设定质量情况，全面总结绩效目标设定是否清晰准确，绩效指标是否全面完整、科学合理，项目资金是否及时、足额拨付到位，服务对象满意度评价，进一步提升服务质量。</w:t>
      </w:r>
    </w:p>
    <w:p>
      <w:pPr>
        <w:numPr>
          <w:ilvl w:val="0"/>
          <w:numId w:val="1"/>
        </w:numPr>
        <w:spacing w:line="580" w:lineRule="exact"/>
        <w:ind w:firstLine="640" w:firstLineChars="200"/>
        <w:outlineLvl w:val="1"/>
        <w:rPr>
          <w:rFonts w:ascii="仿宋_GB2312" w:hAnsi="仿宋_GB2312" w:eastAsia="仿宋_GB2312" w:cs="仿宋_GB2312"/>
          <w:sz w:val="32"/>
          <w:szCs w:val="40"/>
        </w:rPr>
      </w:pPr>
      <w:bookmarkStart w:id="67" w:name="_Toc16971"/>
      <w:bookmarkStart w:id="68" w:name="_Toc22727"/>
      <w:bookmarkStart w:id="69" w:name="_Toc27199"/>
      <w:bookmarkStart w:id="70" w:name="_Toc25746"/>
      <w:bookmarkStart w:id="71" w:name="_Toc27346"/>
      <w:bookmarkStart w:id="72" w:name="_Toc18502"/>
      <w:bookmarkStart w:id="73" w:name="_Toc8288"/>
      <w:bookmarkStart w:id="74" w:name="_Toc16121"/>
      <w:bookmarkStart w:id="75" w:name="_Toc30351"/>
      <w:bookmarkStart w:id="76" w:name="_Toc3910"/>
      <w:r>
        <w:rPr>
          <w:rFonts w:hint="eastAsia" w:ascii="仿宋_GB2312" w:hAnsi="仿宋_GB2312" w:eastAsia="仿宋_GB2312" w:cs="仿宋_GB2312"/>
          <w:sz w:val="32"/>
          <w:szCs w:val="40"/>
        </w:rPr>
        <w:t>评价指标</w:t>
      </w:r>
      <w:bookmarkEnd w:id="67"/>
      <w:bookmarkEnd w:id="68"/>
      <w:bookmarkEnd w:id="69"/>
      <w:bookmarkEnd w:id="70"/>
      <w:bookmarkEnd w:id="71"/>
      <w:bookmarkEnd w:id="72"/>
      <w:bookmarkEnd w:id="73"/>
      <w:bookmarkEnd w:id="74"/>
      <w:bookmarkEnd w:id="75"/>
      <w:bookmarkEnd w:id="76"/>
    </w:p>
    <w:p>
      <w:pPr>
        <w:spacing w:line="580" w:lineRule="exact"/>
        <w:ind w:firstLine="420" w:firstLineChars="200"/>
        <w:outlineLvl w:val="1"/>
      </w:pPr>
      <w:r>
        <w:rPr>
          <w:rFonts w:hint="eastAsia"/>
        </w:rPr>
        <w:t xml:space="preserve">     </w:t>
      </w:r>
      <w:r>
        <w:rPr>
          <w:rFonts w:hint="eastAsia" w:ascii="仿宋" w:hAnsi="仿宋" w:eastAsia="仿宋" w:cs="仿宋"/>
          <w:sz w:val="32"/>
          <w:szCs w:val="32"/>
        </w:rPr>
        <w:t>评价指标。绩效评价指标共 100 分。具体为:“工作活动”设置 20分，工作活动”管理 20分，“工作活动”产出50分，“工作活动”效果10分。</w:t>
      </w:r>
    </w:p>
    <w:p>
      <w:pPr>
        <w:numPr>
          <w:ilvl w:val="0"/>
          <w:numId w:val="1"/>
        </w:numPr>
        <w:spacing w:line="580" w:lineRule="exact"/>
        <w:ind w:firstLine="640" w:firstLineChars="200"/>
        <w:outlineLvl w:val="1"/>
        <w:rPr>
          <w:rFonts w:ascii="仿宋_GB2312" w:hAnsi="仿宋_GB2312" w:eastAsia="仿宋_GB2312" w:cs="仿宋_GB2312"/>
          <w:sz w:val="32"/>
          <w:szCs w:val="40"/>
        </w:rPr>
      </w:pPr>
      <w:bookmarkStart w:id="77" w:name="_Toc11684"/>
      <w:bookmarkStart w:id="78" w:name="_Toc23270"/>
      <w:bookmarkStart w:id="79" w:name="_Toc32241"/>
      <w:bookmarkStart w:id="80" w:name="_Toc19068"/>
      <w:bookmarkStart w:id="81" w:name="_Toc25343"/>
      <w:bookmarkStart w:id="82" w:name="_Toc19154"/>
      <w:bookmarkStart w:id="83" w:name="_Toc5587"/>
      <w:bookmarkStart w:id="84" w:name="_Toc5304"/>
      <w:bookmarkStart w:id="85" w:name="_Toc12572"/>
      <w:bookmarkStart w:id="86" w:name="_Toc32306"/>
      <w:r>
        <w:rPr>
          <w:rFonts w:hint="eastAsia" w:ascii="仿宋_GB2312" w:hAnsi="仿宋_GB2312" w:eastAsia="仿宋_GB2312" w:cs="仿宋_GB2312"/>
          <w:sz w:val="32"/>
          <w:szCs w:val="40"/>
        </w:rPr>
        <w:t>评价依据</w:t>
      </w:r>
      <w:bookmarkEnd w:id="77"/>
      <w:bookmarkEnd w:id="78"/>
      <w:bookmarkEnd w:id="79"/>
      <w:bookmarkEnd w:id="80"/>
      <w:bookmarkEnd w:id="81"/>
      <w:bookmarkEnd w:id="82"/>
      <w:bookmarkEnd w:id="83"/>
      <w:bookmarkEnd w:id="84"/>
      <w:bookmarkEnd w:id="85"/>
      <w:bookmarkEnd w:id="86"/>
    </w:p>
    <w:p>
      <w:pPr>
        <w:pStyle w:val="2"/>
        <w:ind w:left="420" w:leftChars="200" w:firstLine="0" w:firstLineChars="0"/>
      </w:pPr>
      <w:r>
        <w:rPr>
          <w:rFonts w:eastAsia="仿宋_GB2312"/>
          <w:color w:val="000000" w:themeColor="text1"/>
          <w:sz w:val="32"/>
          <w:szCs w:val="32"/>
        </w:rPr>
        <w:t>《隆尧县为原乡镇（公社）农机员农技员基层兽医发放生活补贴实施方案》</w:t>
      </w:r>
      <w:r>
        <w:rPr>
          <w:rFonts w:hint="eastAsia" w:eastAsia="仿宋"/>
          <w:color w:val="000000" w:themeColor="text1"/>
          <w:sz w:val="32"/>
        </w:rPr>
        <w:t>隆农字【2017】号文件。</w:t>
      </w:r>
    </w:p>
    <w:p>
      <w:pPr>
        <w:numPr>
          <w:ilvl w:val="0"/>
          <w:numId w:val="1"/>
        </w:numPr>
        <w:spacing w:line="580" w:lineRule="exact"/>
        <w:ind w:firstLine="640" w:firstLineChars="200"/>
        <w:outlineLvl w:val="1"/>
        <w:rPr>
          <w:rFonts w:ascii="仿宋_GB2312" w:hAnsi="仿宋_GB2312" w:eastAsia="仿宋_GB2312" w:cs="仿宋_GB2312"/>
          <w:sz w:val="32"/>
          <w:szCs w:val="40"/>
        </w:rPr>
      </w:pPr>
      <w:bookmarkStart w:id="87" w:name="_Toc7393"/>
      <w:bookmarkStart w:id="88" w:name="_Toc12940"/>
      <w:bookmarkStart w:id="89" w:name="_Toc1868"/>
      <w:bookmarkStart w:id="90" w:name="_Toc24302"/>
      <w:bookmarkStart w:id="91" w:name="_Toc13179"/>
      <w:bookmarkStart w:id="92" w:name="_Toc11243"/>
      <w:bookmarkStart w:id="93" w:name="_Toc22038"/>
      <w:bookmarkStart w:id="94" w:name="_Toc9401"/>
      <w:bookmarkStart w:id="95" w:name="_Toc6747"/>
      <w:bookmarkStart w:id="96" w:name="_Toc26780"/>
      <w:r>
        <w:rPr>
          <w:rFonts w:hint="eastAsia" w:ascii="仿宋_GB2312" w:hAnsi="仿宋_GB2312" w:eastAsia="仿宋_GB2312" w:cs="仿宋_GB2312"/>
          <w:sz w:val="32"/>
          <w:szCs w:val="40"/>
        </w:rPr>
        <w:t>评价的主要方法及等级设定</w:t>
      </w:r>
      <w:bookmarkEnd w:id="87"/>
      <w:bookmarkEnd w:id="88"/>
      <w:bookmarkEnd w:id="89"/>
      <w:bookmarkEnd w:id="90"/>
      <w:bookmarkEnd w:id="91"/>
      <w:bookmarkEnd w:id="92"/>
      <w:bookmarkEnd w:id="93"/>
      <w:bookmarkEnd w:id="94"/>
      <w:bookmarkEnd w:id="95"/>
      <w:bookmarkEnd w:id="96"/>
    </w:p>
    <w:p>
      <w:pPr>
        <w:pStyle w:val="2"/>
        <w:ind w:firstLine="640"/>
      </w:pPr>
      <w:r>
        <w:rPr>
          <w:rFonts w:hint="eastAsia" w:ascii="仿宋" w:hAnsi="仿宋" w:eastAsia="仿宋" w:cs="仿宋"/>
          <w:color w:val="auto"/>
          <w:sz w:val="32"/>
          <w:szCs w:val="32"/>
        </w:rPr>
        <w:t>绩效评价采取自评的方式，结果采取评分和评级相结合的方式，总分设置为 100 分，等级划分为四档:90(含)-100分为优、80(含)-90分为良、60(含)-80分为中、60分以下为差。</w:t>
      </w:r>
    </w:p>
    <w:p>
      <w:pPr>
        <w:spacing w:line="580" w:lineRule="exact"/>
        <w:ind w:firstLine="643" w:firstLineChars="200"/>
        <w:outlineLvl w:val="0"/>
        <w:rPr>
          <w:rFonts w:ascii="仿宋_GB2312" w:hAnsi="仿宋_GB2312" w:eastAsia="仿宋_GB2312" w:cs="仿宋_GB2312"/>
          <w:b/>
          <w:bCs/>
          <w:sz w:val="32"/>
          <w:szCs w:val="40"/>
        </w:rPr>
      </w:pPr>
      <w:bookmarkStart w:id="97" w:name="_Toc10113"/>
      <w:bookmarkStart w:id="98" w:name="_Toc28621"/>
      <w:bookmarkStart w:id="99" w:name="_Toc20748"/>
      <w:bookmarkStart w:id="100" w:name="_Toc6105"/>
      <w:bookmarkStart w:id="101" w:name="_Toc18842"/>
      <w:bookmarkStart w:id="102" w:name="_Toc22222"/>
      <w:bookmarkStart w:id="103" w:name="_Toc17025"/>
      <w:bookmarkStart w:id="104" w:name="_Toc5623"/>
      <w:bookmarkStart w:id="105" w:name="_Toc30508"/>
      <w:bookmarkStart w:id="106" w:name="_Toc21014"/>
    </w:p>
    <w:p>
      <w:pPr>
        <w:spacing w:line="580" w:lineRule="exact"/>
        <w:ind w:firstLine="643" w:firstLineChars="200"/>
        <w:outlineLvl w:val="0"/>
        <w:rPr>
          <w:rFonts w:ascii="仿宋_GB2312" w:hAnsi="仿宋_GB2312" w:eastAsia="仿宋_GB2312" w:cs="仿宋_GB2312"/>
          <w:b/>
          <w:bCs/>
          <w:sz w:val="32"/>
          <w:szCs w:val="40"/>
        </w:rPr>
      </w:pPr>
    </w:p>
    <w:p>
      <w:pPr>
        <w:spacing w:line="580" w:lineRule="exact"/>
        <w:ind w:firstLine="643" w:firstLineChars="200"/>
        <w:outlineLvl w:val="0"/>
        <w:rPr>
          <w:rFonts w:ascii="仿宋_GB2312" w:hAnsi="仿宋_GB2312" w:eastAsia="仿宋_GB2312" w:cs="仿宋_GB2312"/>
          <w:b/>
          <w:bCs/>
          <w:sz w:val="32"/>
          <w:szCs w:val="40"/>
        </w:rPr>
      </w:pPr>
    </w:p>
    <w:p>
      <w:pPr>
        <w:spacing w:line="580" w:lineRule="exact"/>
        <w:ind w:firstLine="643" w:firstLineChars="200"/>
        <w:outlineLvl w:val="0"/>
        <w:rPr>
          <w:rFonts w:ascii="仿宋_GB2312" w:hAnsi="仿宋_GB2312" w:eastAsia="仿宋_GB2312" w:cs="仿宋_GB2312"/>
          <w:b/>
          <w:bCs/>
          <w:sz w:val="32"/>
          <w:szCs w:val="40"/>
        </w:rPr>
      </w:pPr>
    </w:p>
    <w:p>
      <w:pPr>
        <w:spacing w:line="580" w:lineRule="exact"/>
        <w:ind w:firstLine="643" w:firstLineChars="200"/>
        <w:outlineLvl w:val="0"/>
        <w:rPr>
          <w:rFonts w:ascii="仿宋_GB2312" w:hAnsi="仿宋_GB2312" w:eastAsia="仿宋_GB2312" w:cs="仿宋_GB2312"/>
          <w:b/>
          <w:bCs/>
          <w:sz w:val="32"/>
          <w:szCs w:val="40"/>
        </w:rPr>
      </w:pPr>
    </w:p>
    <w:p>
      <w:pPr>
        <w:spacing w:line="580" w:lineRule="exact"/>
        <w:ind w:firstLine="643" w:firstLineChars="200"/>
        <w:outlineLvl w:val="0"/>
        <w:rPr>
          <w:rFonts w:ascii="仿宋_GB2312" w:hAnsi="仿宋_GB2312" w:eastAsia="仿宋_GB2312" w:cs="仿宋_GB2312"/>
        </w:rPr>
      </w:pPr>
      <w:r>
        <w:rPr>
          <w:rFonts w:hint="eastAsia" w:ascii="仿宋_GB2312" w:hAnsi="仿宋_GB2312" w:eastAsia="仿宋_GB2312" w:cs="仿宋_GB2312"/>
          <w:b/>
          <w:bCs/>
          <w:sz w:val="32"/>
          <w:szCs w:val="40"/>
        </w:rPr>
        <w:t>四、绩效评价指标体系及得分情况</w:t>
      </w:r>
      <w:bookmarkEnd w:id="97"/>
      <w:bookmarkEnd w:id="98"/>
      <w:bookmarkEnd w:id="99"/>
      <w:bookmarkEnd w:id="100"/>
      <w:bookmarkEnd w:id="101"/>
      <w:bookmarkEnd w:id="102"/>
      <w:bookmarkEnd w:id="103"/>
      <w:bookmarkEnd w:id="104"/>
      <w:bookmarkEnd w:id="105"/>
      <w:bookmarkEnd w:id="106"/>
    </w:p>
    <w:p>
      <w:pPr>
        <w:rPr>
          <w:rFonts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2021年隆尧县原乡镇（公社）“三员”生活补贴重点绩效评价指标表</w:t>
      </w:r>
    </w:p>
    <w:tbl>
      <w:tblPr>
        <w:tblStyle w:val="7"/>
        <w:tblW w:w="8404" w:type="dxa"/>
        <w:tblInd w:w="0" w:type="dxa"/>
        <w:tblLayout w:type="fixed"/>
        <w:tblCellMar>
          <w:top w:w="0" w:type="dxa"/>
          <w:left w:w="0" w:type="dxa"/>
          <w:bottom w:w="0" w:type="dxa"/>
          <w:right w:w="0" w:type="dxa"/>
        </w:tblCellMar>
      </w:tblPr>
      <w:tblGrid>
        <w:gridCol w:w="958"/>
        <w:gridCol w:w="674"/>
        <w:gridCol w:w="2083"/>
        <w:gridCol w:w="545"/>
        <w:gridCol w:w="3557"/>
        <w:gridCol w:w="587"/>
      </w:tblGrid>
      <w:tr>
        <w:tblPrEx>
          <w:tblCellMar>
            <w:top w:w="0" w:type="dxa"/>
            <w:left w:w="0" w:type="dxa"/>
            <w:bottom w:w="0" w:type="dxa"/>
            <w:right w:w="0" w:type="dxa"/>
          </w:tblCellMar>
        </w:tblPrEx>
        <w:trPr>
          <w:trHeight w:val="585" w:hRule="atLeast"/>
        </w:trPr>
        <w:tc>
          <w:tcPr>
            <w:tcW w:w="958" w:type="dxa"/>
            <w:tcBorders>
              <w:top w:val="single" w:color="000000" w:sz="4" w:space="0"/>
              <w:left w:val="single" w:color="000000" w:sz="4" w:space="0"/>
              <w:bottom w:val="single" w:color="000000" w:sz="4" w:space="0"/>
              <w:right w:val="nil"/>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一级指标  </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二级指标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 三级指标</w:t>
            </w:r>
          </w:p>
        </w:tc>
        <w:tc>
          <w:tcPr>
            <w:tcW w:w="545" w:type="dxa"/>
            <w:vMerge w:val="restart"/>
            <w:tcBorders>
              <w:top w:val="single" w:color="000000" w:sz="4" w:space="0"/>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分值</w:t>
            </w:r>
          </w:p>
        </w:tc>
        <w:tc>
          <w:tcPr>
            <w:tcW w:w="355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指标说明</w:t>
            </w:r>
          </w:p>
        </w:tc>
        <w:tc>
          <w:tcPr>
            <w:tcW w:w="58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得分</w:t>
            </w:r>
          </w:p>
        </w:tc>
      </w:tr>
      <w:tr>
        <w:tblPrEx>
          <w:tblCellMar>
            <w:top w:w="0" w:type="dxa"/>
            <w:left w:w="0" w:type="dxa"/>
            <w:bottom w:w="0" w:type="dxa"/>
            <w:right w:w="0" w:type="dxa"/>
          </w:tblCellMar>
        </w:tblPrEx>
        <w:trPr>
          <w:trHeight w:val="345" w:hRule="atLeast"/>
        </w:trPr>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545" w:type="dxa"/>
            <w:vMerge w:val="continue"/>
            <w:tcBorders>
              <w:top w:val="single" w:color="000000" w:sz="4" w:space="0"/>
              <w:left w:val="nil"/>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355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58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r>
      <w:tr>
        <w:tblPrEx>
          <w:tblCellMar>
            <w:top w:w="0" w:type="dxa"/>
            <w:left w:w="0" w:type="dxa"/>
            <w:bottom w:w="0" w:type="dxa"/>
            <w:right w:w="0" w:type="dxa"/>
          </w:tblCellMar>
        </w:tblPrEx>
        <w:trPr>
          <w:trHeight w:val="660" w:hRule="atLeast"/>
        </w:trPr>
        <w:tc>
          <w:tcPr>
            <w:tcW w:w="95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“工作活动”设置（20分）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项目立项情况</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是否符合政府经济和社会总体发展规划</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有政府相关政策、规划、任务等文件得2分；无不得分。</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6</w:t>
            </w:r>
          </w:p>
        </w:tc>
      </w:tr>
      <w:tr>
        <w:tblPrEx>
          <w:tblCellMar>
            <w:top w:w="0" w:type="dxa"/>
            <w:left w:w="0" w:type="dxa"/>
            <w:bottom w:w="0" w:type="dxa"/>
            <w:right w:w="0" w:type="dxa"/>
          </w:tblCellMar>
        </w:tblPrEx>
        <w:trPr>
          <w:trHeight w:val="1164"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项目活动与职责相关性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工作活动与部门职责、工作规划和重点工作相关，工作活动项下确定的预算项目合理，与工作活动密切相关，工作活动和项目预算安排合理，得4分；否则不得分。</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564"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绩效自评情况</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项目设立绩效目标合理性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②是否通过清晰、可衡量的指标值予以体现；</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③是否与项目年度任务数或计划数相对应；</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④是否与预算确定的项目投资额或资金量相匹配。</w:t>
            </w:r>
          </w:p>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缺少一项扣1分,扣完为止。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1312"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自评报告情况</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是否有绩效评价报告，报告是否依据充分、内容真实完整；数据准确、分析透彻。每存在一项问题扣2分，扣完为止。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6 </w:t>
            </w:r>
          </w:p>
        </w:tc>
      </w:tr>
      <w:tr>
        <w:tblPrEx>
          <w:tblCellMar>
            <w:top w:w="0" w:type="dxa"/>
            <w:left w:w="0" w:type="dxa"/>
            <w:bottom w:w="0" w:type="dxa"/>
            <w:right w:w="0" w:type="dxa"/>
          </w:tblCellMar>
        </w:tblPrEx>
        <w:trPr>
          <w:trHeight w:val="1020" w:hRule="atLeast"/>
        </w:trPr>
        <w:tc>
          <w:tcPr>
            <w:tcW w:w="95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“工作活动”管理（20分）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资金管理</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预算调整率=（预算调整数/预算数）×100%。预算调整率每大于1%扣1分，扣完为止。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020" w:hRule="atLeast"/>
        </w:trPr>
        <w:tc>
          <w:tcPr>
            <w:tcW w:w="958"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资金使用合规性</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项目资金使用是否符合国家财经法规及相关的财务管理制度规定，资金支出程序是否规范,报账手续是否齐全。每存在一项不合规问题扣2分，扣完为止。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220"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会计核算规范性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会计核算是否符合《会计法》、《政府会计制度》、《会计基础工作规范》等法律法规和相关制度规定。每存在一项不合规问题扣1分，扣完为止。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4</w:t>
            </w:r>
          </w:p>
        </w:tc>
      </w:tr>
      <w:tr>
        <w:tblPrEx>
          <w:tblCellMar>
            <w:top w:w="0" w:type="dxa"/>
            <w:left w:w="0" w:type="dxa"/>
            <w:bottom w:w="0" w:type="dxa"/>
            <w:right w:w="0" w:type="dxa"/>
          </w:tblCellMar>
        </w:tblPrEx>
        <w:trPr>
          <w:trHeight w:val="1406"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项目管理</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项目责任机制是否健全</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是否建立责任机制，项目管理和责任落实到有关人。每存在一项问题扣1分，扣完为止。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756"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管理制度健全性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制定管理制度和措施（包括财务制度）是否明确、清晰、具有可操作性，能否保障工作活动顺利实施。每缺少一项制度扣1分，扣完为止。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90" w:hRule="atLeast"/>
        </w:trPr>
        <w:tc>
          <w:tcPr>
            <w:tcW w:w="958" w:type="dxa"/>
            <w:vMerge w:val="restart"/>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“工作活动”产出（50分）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数量指标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补助人数</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20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330人</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20</w:t>
            </w:r>
          </w:p>
        </w:tc>
      </w:tr>
      <w:tr>
        <w:tblPrEx>
          <w:tblCellMar>
            <w:top w:w="0" w:type="dxa"/>
            <w:left w:w="0" w:type="dxa"/>
            <w:bottom w:w="0" w:type="dxa"/>
            <w:right w:w="0" w:type="dxa"/>
          </w:tblCellMar>
        </w:tblPrEx>
        <w:trPr>
          <w:trHeight w:val="568"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r>
      <w:tr>
        <w:tblPrEx>
          <w:tblCellMar>
            <w:top w:w="0" w:type="dxa"/>
            <w:left w:w="0" w:type="dxa"/>
            <w:bottom w:w="0" w:type="dxa"/>
            <w:right w:w="0" w:type="dxa"/>
          </w:tblCellMar>
        </w:tblPrEx>
        <w:trPr>
          <w:trHeight w:val="642"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质量指标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项目完成情况</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20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发放生活补助已完成</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20 </w:t>
            </w:r>
          </w:p>
        </w:tc>
      </w:tr>
      <w:tr>
        <w:tblPrEx>
          <w:tblCellMar>
            <w:top w:w="0" w:type="dxa"/>
            <w:left w:w="0" w:type="dxa"/>
            <w:bottom w:w="0" w:type="dxa"/>
            <w:right w:w="0" w:type="dxa"/>
          </w:tblCellMar>
        </w:tblPrEx>
        <w:trPr>
          <w:trHeight w:val="488"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w:t>
            </w:r>
          </w:p>
        </w:tc>
      </w:tr>
      <w:tr>
        <w:tblPrEx>
          <w:tblCellMar>
            <w:top w:w="0" w:type="dxa"/>
            <w:left w:w="0" w:type="dxa"/>
            <w:bottom w:w="0" w:type="dxa"/>
            <w:right w:w="0" w:type="dxa"/>
          </w:tblCellMar>
        </w:tblPrEx>
        <w:trPr>
          <w:trHeight w:val="586"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时效指标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预算执行率</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预算执行100%</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10</w:t>
            </w:r>
          </w:p>
        </w:tc>
      </w:tr>
      <w:tr>
        <w:tblPrEx>
          <w:tblCellMar>
            <w:top w:w="0" w:type="dxa"/>
            <w:left w:w="0" w:type="dxa"/>
            <w:bottom w:w="0" w:type="dxa"/>
            <w:right w:w="0" w:type="dxa"/>
          </w:tblCellMar>
        </w:tblPrEx>
        <w:trPr>
          <w:trHeight w:val="470"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w:t>
            </w:r>
          </w:p>
        </w:tc>
      </w:tr>
      <w:tr>
        <w:tblPrEx>
          <w:tblCellMar>
            <w:top w:w="0" w:type="dxa"/>
            <w:left w:w="0" w:type="dxa"/>
            <w:bottom w:w="0" w:type="dxa"/>
            <w:right w:w="0" w:type="dxa"/>
          </w:tblCellMar>
        </w:tblPrEx>
        <w:trPr>
          <w:trHeight w:val="405" w:hRule="atLeast"/>
        </w:trPr>
        <w:tc>
          <w:tcPr>
            <w:tcW w:w="958"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“工作活动”效果（</w:t>
            </w:r>
            <w:r>
              <w:rPr>
                <w:rFonts w:hint="eastAsia" w:ascii="仿宋_GB2312" w:hAnsi="仿宋_GB2312" w:eastAsia="仿宋_GB2312" w:cs="仿宋_GB2312"/>
                <w:color w:val="000000"/>
                <w:kern w:val="0"/>
                <w:sz w:val="22"/>
                <w:szCs w:val="22"/>
              </w:rPr>
              <w:t>10</w:t>
            </w:r>
            <w:r>
              <w:rPr>
                <w:rFonts w:hint="eastAsia" w:ascii="仿宋_GB2312" w:hAnsi="仿宋_GB2312" w:eastAsia="仿宋_GB2312" w:cs="仿宋_GB2312"/>
                <w:color w:val="000000"/>
                <w:sz w:val="22"/>
                <w:szCs w:val="22"/>
              </w:rPr>
              <w:t>分）</w:t>
            </w:r>
          </w:p>
        </w:tc>
        <w:tc>
          <w:tcPr>
            <w:tcW w:w="674"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r>
              <w:rPr>
                <w:rFonts w:hint="eastAsia" w:ascii="仿宋_GB2312" w:hAnsi="仿宋_GB2312" w:eastAsia="仿宋_GB2312" w:cs="仿宋_GB2312"/>
              </w:rPr>
              <w:t>满意度</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服务对象满意度</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受益对象满意率100%</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r>
      <w:tr>
        <w:tblPrEx>
          <w:tblCellMar>
            <w:top w:w="0" w:type="dxa"/>
            <w:left w:w="0" w:type="dxa"/>
            <w:bottom w:w="0" w:type="dxa"/>
            <w:right w:w="0" w:type="dxa"/>
          </w:tblCellMar>
        </w:tblPrEx>
        <w:trPr>
          <w:trHeight w:val="405" w:hRule="atLeast"/>
        </w:trPr>
        <w:tc>
          <w:tcPr>
            <w:tcW w:w="958"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r>
      <w:tr>
        <w:tblPrEx>
          <w:tblCellMar>
            <w:top w:w="0" w:type="dxa"/>
            <w:left w:w="0" w:type="dxa"/>
            <w:bottom w:w="0" w:type="dxa"/>
            <w:right w:w="0" w:type="dxa"/>
          </w:tblCellMar>
        </w:tblPrEx>
        <w:trPr>
          <w:trHeight w:val="405" w:hRule="atLeast"/>
        </w:trPr>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560" w:lineRule="exact"/>
              <w:ind w:firstLine="220" w:firstLineChars="100"/>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合计</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560" w:lineRule="exact"/>
              <w:jc w:val="center"/>
              <w:rPr>
                <w:rFonts w:ascii="仿宋_GB2312" w:hAnsi="仿宋_GB2312" w:eastAsia="仿宋_GB2312" w:cs="仿宋_GB231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color w:val="000000"/>
                <w:kern w:val="0"/>
                <w:sz w:val="22"/>
                <w:szCs w:val="22"/>
              </w:rPr>
            </w:pP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560" w:lineRule="exact"/>
              <w:jc w:val="left"/>
              <w:textAlignment w:val="center"/>
              <w:rPr>
                <w:rFonts w:ascii="仿宋_GB2312" w:hAnsi="仿宋_GB2312" w:eastAsia="仿宋_GB2312" w:cs="仿宋_GB2312"/>
                <w:color w:val="000000"/>
                <w:kern w:val="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r>
    </w:tbl>
    <w:p>
      <w:pPr>
        <w:pStyle w:val="2"/>
        <w:ind w:firstLine="560"/>
      </w:pPr>
    </w:p>
    <w:p>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107" w:name="_Toc2634_WPSOffice_Level1"/>
      <w:r>
        <w:rPr>
          <w:rFonts w:hint="eastAsia" w:ascii="仿宋_GB2312" w:hAnsi="仿宋_GB2312" w:eastAsia="仿宋_GB2312" w:cs="仿宋_GB2312"/>
          <w:color w:val="000000"/>
          <w:sz w:val="32"/>
          <w:szCs w:val="32"/>
        </w:rPr>
        <w:t>五、评价分析</w:t>
      </w:r>
      <w:bookmarkEnd w:id="107"/>
    </w:p>
    <w:p>
      <w:pPr>
        <w:spacing w:line="560" w:lineRule="exact"/>
        <w:ind w:firstLine="640" w:firstLineChars="200"/>
        <w:outlineLvl w:val="1"/>
        <w:rPr>
          <w:rFonts w:ascii="仿宋_GB2312" w:hAnsi="仿宋_GB2312" w:eastAsia="仿宋_GB2312" w:cs="仿宋_GB2312"/>
          <w:color w:val="000000"/>
          <w:sz w:val="32"/>
          <w:szCs w:val="40"/>
        </w:rPr>
      </w:pPr>
      <w:bookmarkStart w:id="108" w:name="_Toc18513_WPSOffice_Level2"/>
      <w:r>
        <w:rPr>
          <w:rFonts w:hint="eastAsia" w:ascii="仿宋_GB2312" w:hAnsi="仿宋_GB2312" w:eastAsia="仿宋_GB2312" w:cs="仿宋_GB2312"/>
          <w:color w:val="000000"/>
          <w:sz w:val="32"/>
          <w:szCs w:val="40"/>
        </w:rPr>
        <w:t>（一）主要扣分事项及原因分析</w:t>
      </w:r>
      <w:bookmarkEnd w:id="108"/>
    </w:p>
    <w:p>
      <w:pPr>
        <w:pStyle w:val="2"/>
        <w:ind w:firstLine="560"/>
        <w:rPr>
          <w:color w:val="000000" w:themeColor="text1"/>
        </w:rPr>
      </w:pPr>
      <w:r>
        <w:rPr>
          <w:rFonts w:hint="eastAsia"/>
        </w:rPr>
        <w:t xml:space="preserve"> </w:t>
      </w:r>
      <w:r>
        <w:rPr>
          <w:rFonts w:hint="eastAsia"/>
          <w:color w:val="000000" w:themeColor="text1"/>
        </w:rPr>
        <w:t>无</w:t>
      </w:r>
    </w:p>
    <w:p>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109" w:name="_Toc11279_WPSOffice_Level1"/>
      <w:r>
        <w:rPr>
          <w:rFonts w:hint="eastAsia" w:ascii="仿宋_GB2312" w:hAnsi="仿宋_GB2312" w:eastAsia="仿宋_GB2312" w:cs="仿宋_GB2312"/>
          <w:color w:val="000000"/>
          <w:sz w:val="32"/>
          <w:szCs w:val="32"/>
        </w:rPr>
        <w:t>六、意见及建议</w:t>
      </w:r>
      <w:bookmarkEnd w:id="109"/>
    </w:p>
    <w:p>
      <w:pPr>
        <w:pStyle w:val="2"/>
        <w:spacing w:line="560" w:lineRule="exact"/>
        <w:ind w:firstLine="0" w:firstLineChars="0"/>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无</w:t>
      </w: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2023年1月15日</w:t>
      </w:r>
    </w:p>
    <w:p>
      <w:pPr>
        <w:pStyle w:val="2"/>
        <w:spacing w:line="560" w:lineRule="exact"/>
        <w:ind w:firstLine="0" w:firstLineChars="0"/>
        <w:outlineLvl w:val="0"/>
        <w:rPr>
          <w:rFonts w:ascii="仿宋_GB2312" w:hAnsi="仿宋_GB2312" w:eastAsia="仿宋_GB2312" w:cs="仿宋_GB2312"/>
          <w:color w:val="000000"/>
          <w:sz w:val="32"/>
          <w:szCs w:val="32"/>
        </w:rPr>
      </w:pPr>
    </w:p>
    <w:p>
      <w:pPr>
        <w:rPr>
          <w:rFonts w:ascii="仿宋_GB2312" w:hAnsi="仿宋_GB2312" w:eastAsia="仿宋_GB2312" w:cs="仿宋_GB2312"/>
        </w:rPr>
      </w:pPr>
    </w:p>
    <w:sectPr>
      <w:footerReference r:id="rId3" w:type="default"/>
      <w:pgSz w:w="11906" w:h="16838"/>
      <w:pgMar w:top="2154"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886BD7"/>
    <w:multiLevelType w:val="singleLevel"/>
    <w:tmpl w:val="52886BD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kwNGIzMTM3NzcyODk5Y2IxNWVlMTgzMjllODBkNGUifQ=="/>
    <w:docVar w:name="KSO_WPS_MARK_KEY" w:val="80ee7054-53e3-4ba4-aa5b-52b0994f2f1a"/>
  </w:docVars>
  <w:rsids>
    <w:rsidRoot w:val="07CC499B"/>
    <w:rsid w:val="0004468A"/>
    <w:rsid w:val="00061E7A"/>
    <w:rsid w:val="00092B14"/>
    <w:rsid w:val="000D47D0"/>
    <w:rsid w:val="00132FFB"/>
    <w:rsid w:val="001373BE"/>
    <w:rsid w:val="001F3212"/>
    <w:rsid w:val="001F5289"/>
    <w:rsid w:val="002707C6"/>
    <w:rsid w:val="00280F82"/>
    <w:rsid w:val="003170CE"/>
    <w:rsid w:val="003C4354"/>
    <w:rsid w:val="004F1EB5"/>
    <w:rsid w:val="005130BC"/>
    <w:rsid w:val="00645DBC"/>
    <w:rsid w:val="006F4240"/>
    <w:rsid w:val="007313EC"/>
    <w:rsid w:val="007812E3"/>
    <w:rsid w:val="00814E39"/>
    <w:rsid w:val="008C7CF4"/>
    <w:rsid w:val="00A02C66"/>
    <w:rsid w:val="00A2385E"/>
    <w:rsid w:val="00AB413B"/>
    <w:rsid w:val="00AF16E1"/>
    <w:rsid w:val="00B60E03"/>
    <w:rsid w:val="00D25A69"/>
    <w:rsid w:val="00D25CC3"/>
    <w:rsid w:val="00D3165F"/>
    <w:rsid w:val="00D471F4"/>
    <w:rsid w:val="00D5394A"/>
    <w:rsid w:val="00D75A90"/>
    <w:rsid w:val="00DB6DF3"/>
    <w:rsid w:val="00DF7F63"/>
    <w:rsid w:val="00E30CAE"/>
    <w:rsid w:val="00E310A2"/>
    <w:rsid w:val="00EF2BA5"/>
    <w:rsid w:val="00EF6DA3"/>
    <w:rsid w:val="00F86226"/>
    <w:rsid w:val="00FA340E"/>
    <w:rsid w:val="01B67D1F"/>
    <w:rsid w:val="01CA2AF2"/>
    <w:rsid w:val="03274687"/>
    <w:rsid w:val="04064A0C"/>
    <w:rsid w:val="04321BCD"/>
    <w:rsid w:val="04FF4482"/>
    <w:rsid w:val="057A0A50"/>
    <w:rsid w:val="064C4C17"/>
    <w:rsid w:val="068F12D4"/>
    <w:rsid w:val="076C3175"/>
    <w:rsid w:val="07CC499B"/>
    <w:rsid w:val="0815567D"/>
    <w:rsid w:val="0909607F"/>
    <w:rsid w:val="09A64785"/>
    <w:rsid w:val="0A3B4E4B"/>
    <w:rsid w:val="0B601B06"/>
    <w:rsid w:val="0BEB58BF"/>
    <w:rsid w:val="0C15027B"/>
    <w:rsid w:val="0C3B2A49"/>
    <w:rsid w:val="0DAA4EE9"/>
    <w:rsid w:val="0E3117D9"/>
    <w:rsid w:val="102B0836"/>
    <w:rsid w:val="1064155D"/>
    <w:rsid w:val="1156122B"/>
    <w:rsid w:val="11F11891"/>
    <w:rsid w:val="12C35BB4"/>
    <w:rsid w:val="13891A96"/>
    <w:rsid w:val="140849FA"/>
    <w:rsid w:val="14583EA3"/>
    <w:rsid w:val="151D09B5"/>
    <w:rsid w:val="1689469A"/>
    <w:rsid w:val="16DB1E7D"/>
    <w:rsid w:val="178C6C5A"/>
    <w:rsid w:val="17CD646A"/>
    <w:rsid w:val="184F3049"/>
    <w:rsid w:val="1B3F225B"/>
    <w:rsid w:val="1B4269FF"/>
    <w:rsid w:val="1D4B3C83"/>
    <w:rsid w:val="1DBD7AB3"/>
    <w:rsid w:val="1E0B387E"/>
    <w:rsid w:val="21460607"/>
    <w:rsid w:val="21FF1E9B"/>
    <w:rsid w:val="23C1122C"/>
    <w:rsid w:val="243D751D"/>
    <w:rsid w:val="24522B03"/>
    <w:rsid w:val="25ED2FD4"/>
    <w:rsid w:val="264A346A"/>
    <w:rsid w:val="270A41B9"/>
    <w:rsid w:val="274B3C4E"/>
    <w:rsid w:val="285356FD"/>
    <w:rsid w:val="288E37E0"/>
    <w:rsid w:val="290243B4"/>
    <w:rsid w:val="2A5C748F"/>
    <w:rsid w:val="2B10000E"/>
    <w:rsid w:val="2B2D56DA"/>
    <w:rsid w:val="2D391E20"/>
    <w:rsid w:val="30785FD3"/>
    <w:rsid w:val="31702E0D"/>
    <w:rsid w:val="33C32B3C"/>
    <w:rsid w:val="34E52524"/>
    <w:rsid w:val="35CA4ECD"/>
    <w:rsid w:val="35CE5164"/>
    <w:rsid w:val="35F07825"/>
    <w:rsid w:val="360C2FBA"/>
    <w:rsid w:val="363913FE"/>
    <w:rsid w:val="36D6548C"/>
    <w:rsid w:val="376918C7"/>
    <w:rsid w:val="37832AC7"/>
    <w:rsid w:val="38195BED"/>
    <w:rsid w:val="39B23A02"/>
    <w:rsid w:val="3A4766ED"/>
    <w:rsid w:val="3A713A3B"/>
    <w:rsid w:val="3AAB2217"/>
    <w:rsid w:val="3CAE49E3"/>
    <w:rsid w:val="3DAE40CB"/>
    <w:rsid w:val="3E7103A9"/>
    <w:rsid w:val="3E7E746E"/>
    <w:rsid w:val="3EBE2184"/>
    <w:rsid w:val="3F5912F8"/>
    <w:rsid w:val="3F9B4FC0"/>
    <w:rsid w:val="41B74B09"/>
    <w:rsid w:val="43DC781A"/>
    <w:rsid w:val="441C7555"/>
    <w:rsid w:val="450A0AA4"/>
    <w:rsid w:val="45236574"/>
    <w:rsid w:val="46434BE2"/>
    <w:rsid w:val="46AA6AA7"/>
    <w:rsid w:val="478E0E32"/>
    <w:rsid w:val="48A2447B"/>
    <w:rsid w:val="49430BD9"/>
    <w:rsid w:val="494625CA"/>
    <w:rsid w:val="4BD23ED8"/>
    <w:rsid w:val="4C2846CD"/>
    <w:rsid w:val="4C7A4C55"/>
    <w:rsid w:val="4F6A54EE"/>
    <w:rsid w:val="4FDF6ED1"/>
    <w:rsid w:val="514C0EC5"/>
    <w:rsid w:val="51F50157"/>
    <w:rsid w:val="52866F20"/>
    <w:rsid w:val="52EE7A8B"/>
    <w:rsid w:val="535B290E"/>
    <w:rsid w:val="53F1208F"/>
    <w:rsid w:val="54DE5250"/>
    <w:rsid w:val="55495194"/>
    <w:rsid w:val="56115CEE"/>
    <w:rsid w:val="56D42516"/>
    <w:rsid w:val="56FE5044"/>
    <w:rsid w:val="57E03285"/>
    <w:rsid w:val="5AE71036"/>
    <w:rsid w:val="5B5F30DA"/>
    <w:rsid w:val="5BAF6F84"/>
    <w:rsid w:val="5BE03A0F"/>
    <w:rsid w:val="5D5C7CBD"/>
    <w:rsid w:val="5DF86B3F"/>
    <w:rsid w:val="5F1C1ADB"/>
    <w:rsid w:val="60134031"/>
    <w:rsid w:val="60C120AA"/>
    <w:rsid w:val="6304094B"/>
    <w:rsid w:val="64165E4C"/>
    <w:rsid w:val="6536013A"/>
    <w:rsid w:val="68DA698B"/>
    <w:rsid w:val="6A3E1F45"/>
    <w:rsid w:val="6CCC6D4C"/>
    <w:rsid w:val="6D5F4EC3"/>
    <w:rsid w:val="6E3F5A2C"/>
    <w:rsid w:val="7008088F"/>
    <w:rsid w:val="712634CC"/>
    <w:rsid w:val="71A3781D"/>
    <w:rsid w:val="724E698E"/>
    <w:rsid w:val="756501CF"/>
    <w:rsid w:val="778F438E"/>
    <w:rsid w:val="7A055146"/>
    <w:rsid w:val="7A757A3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next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WPSOffice手动目录 1"/>
    <w:qFormat/>
    <w:uiPriority w:val="0"/>
    <w:rPr>
      <w:rFonts w:ascii="Times New Roman" w:hAnsi="Times New Roman" w:eastAsia="宋体" w:cs="Times New Roman"/>
      <w:lang w:val="en-US" w:eastAsia="zh-CN" w:bidi="ar-SA"/>
    </w:rPr>
  </w:style>
  <w:style w:type="paragraph" w:customStyle="1" w:styleId="1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1">
    <w:name w:val="页眉 Char"/>
    <w:basedOn w:val="8"/>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2011</Words>
  <Characters>2178</Characters>
  <Lines>17</Lines>
  <Paragraphs>4</Paragraphs>
  <TotalTime>35</TotalTime>
  <ScaleCrop>false</ScaleCrop>
  <LinksUpToDate>false</LinksUpToDate>
  <CharactersWithSpaces>2262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Administrator</cp:lastModifiedBy>
  <dcterms:modified xsi:type="dcterms:W3CDTF">2023-04-03T03:11:50Z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A9E6203679774625B4B2A8A63AFA7837</vt:lpwstr>
  </property>
</Properties>
</file>