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2885" w:firstLineChars="798"/>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隆尧县农业农村局单位</w:t>
      </w:r>
    </w:p>
    <w:p>
      <w:pPr>
        <w:pStyle w:val="2"/>
        <w:spacing w:line="560" w:lineRule="exact"/>
        <w:ind w:firstLine="0" w:firstLineChars="0"/>
        <w:jc w:val="center"/>
        <w:textAlignment w:val="auto"/>
        <w:rPr>
          <w:rFonts w:ascii="仿宋_GB2312" w:hAnsi="仿宋_GB2312" w:eastAsia="仿宋_GB2312" w:cs="仿宋_GB2312"/>
          <w:b/>
          <w:bCs/>
          <w:color w:val="auto"/>
          <w:sz w:val="40"/>
          <w:szCs w:val="48"/>
        </w:rPr>
      </w:pPr>
      <w:r>
        <w:rPr>
          <w:rFonts w:hint="eastAsia" w:ascii="仿宋_GB2312" w:hAnsi="仿宋_GB2312" w:eastAsia="仿宋_GB2312" w:cs="仿宋_GB2312"/>
          <w:b/>
          <w:bCs/>
          <w:color w:val="auto"/>
          <w:sz w:val="40"/>
          <w:szCs w:val="48"/>
        </w:rPr>
        <w:t xml:space="preserve">   鲜活农产品应急保供冷藏保鲜设施建设项目</w:t>
      </w:r>
    </w:p>
    <w:p>
      <w:pPr>
        <w:pStyle w:val="2"/>
        <w:spacing w:line="560" w:lineRule="exact"/>
        <w:ind w:firstLine="0" w:firstLineChars="0"/>
        <w:jc w:val="center"/>
        <w:textAlignment w:val="auto"/>
        <w:rPr>
          <w:rFonts w:ascii="仿宋_GB2312" w:hAnsi="仿宋_GB2312" w:eastAsia="仿宋_GB2312" w:cs="仿宋_GB2312"/>
          <w:b/>
          <w:bCs/>
          <w:color w:val="auto"/>
          <w:sz w:val="40"/>
          <w:szCs w:val="48"/>
        </w:rPr>
      </w:pPr>
      <w:r>
        <w:rPr>
          <w:rFonts w:hint="eastAsia" w:ascii="仿宋_GB2312" w:hAnsi="仿宋_GB2312" w:eastAsia="仿宋_GB2312" w:cs="仿宋_GB2312"/>
          <w:b/>
          <w:bCs/>
          <w:color w:val="auto"/>
          <w:sz w:val="40"/>
          <w:szCs w:val="48"/>
        </w:rPr>
        <w:t xml:space="preserve">  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ascii="仿宋_GB2312" w:hAnsi="仿宋_GB2312" w:eastAsia="仿宋_GB2312" w:cs="仿宋_GB2312"/>
          <w:spacing w:val="-20"/>
          <w:sz w:val="28"/>
          <w:szCs w:val="28"/>
          <w:u w:val="single"/>
        </w:rPr>
      </w:pPr>
      <w:bookmarkStart w:id="102" w:name="_GoBack"/>
      <w:bookmarkEnd w:id="102"/>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kern w:val="0"/>
          <w:sz w:val="28"/>
          <w:szCs w:val="28"/>
        </w:rPr>
        <w:t>鲜活农产品应急保供冷藏保鲜设施建设</w:t>
      </w:r>
      <w:r>
        <w:rPr>
          <w:rFonts w:hint="eastAsia" w:ascii="仿宋_GB2312" w:hAnsi="仿宋_GB2312" w:eastAsia="仿宋_GB2312" w:cs="仿宋_GB2312"/>
          <w:b/>
          <w:bCs/>
          <w:sz w:val="28"/>
          <w:szCs w:val="28"/>
          <w:u w:val="single"/>
        </w:rPr>
        <w:t xml:space="preserve">项目  </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rPr>
        <w:t>隆尧县农业农村局单位</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rPr>
        <w:t>100万元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z w:val="28"/>
          <w:szCs w:val="28"/>
          <w:u w:val="single"/>
        </w:rPr>
        <w:t xml:space="preserve">  李现国      </w:t>
      </w:r>
    </w:p>
    <w:p>
      <w:pPr>
        <w:spacing w:line="760" w:lineRule="exact"/>
        <w:rPr>
          <w:rFonts w:ascii="仿宋_GB2312" w:hAnsi="仿宋_GB2312" w:eastAsia="仿宋_GB2312" w:cs="仿宋_GB2312"/>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z w:val="28"/>
          <w:szCs w:val="28"/>
          <w:u w:val="single"/>
        </w:rPr>
        <w:t xml:space="preserve">   董景泉、梁晓峰、李青       </w:t>
      </w:r>
    </w:p>
    <w:p>
      <w:pPr>
        <w:rPr>
          <w:rFonts w:ascii="仿宋_GB2312" w:hAnsi="仿宋_GB2312" w:eastAsia="仿宋_GB2312" w:cs="仿宋_GB2312"/>
        </w:rPr>
      </w:pPr>
      <w:bookmarkStart w:id="0" w:name="_Toc7470_WPSOffice_Level1"/>
      <w:bookmarkStart w:id="1" w:name="_Toc5909_WPSOffice_Level1"/>
    </w:p>
    <w:bookmarkEnd w:id="0"/>
    <w:bookmarkEnd w:id="1"/>
    <w:p>
      <w:pPr>
        <w:pStyle w:val="2"/>
        <w:spacing w:line="120" w:lineRule="exact"/>
        <w:ind w:firstLine="560"/>
        <w:rPr>
          <w:rFonts w:ascii="仿宋_GB2312" w:hAnsi="仿宋_GB2312" w:eastAsia="仿宋_GB2312" w:cs="仿宋_GB2312"/>
        </w:rPr>
      </w:pPr>
    </w:p>
    <w:p>
      <w:pPr>
        <w:spacing w:line="580" w:lineRule="exact"/>
        <w:ind w:firstLine="643" w:firstLineChars="200"/>
        <w:outlineLvl w:val="0"/>
        <w:rPr>
          <w:rFonts w:ascii="仿宋_GB2312" w:hAnsi="仿宋_GB2312" w:eastAsia="仿宋_GB2312" w:cs="仿宋_GB2312"/>
          <w:b/>
          <w:bCs/>
          <w:sz w:val="32"/>
          <w:szCs w:val="40"/>
        </w:rPr>
      </w:pPr>
      <w:bookmarkStart w:id="2" w:name="_Toc30335"/>
      <w:bookmarkStart w:id="3" w:name="_Toc4013"/>
      <w:bookmarkStart w:id="4" w:name="_Toc11301"/>
      <w:bookmarkStart w:id="5" w:name="_Toc23411"/>
      <w:bookmarkStart w:id="6" w:name="_Toc2245"/>
      <w:bookmarkStart w:id="7" w:name="_Toc16913"/>
      <w:bookmarkStart w:id="8" w:name="_Toc9525"/>
      <w:bookmarkStart w:id="9" w:name="_Toc6314"/>
      <w:bookmarkStart w:id="10" w:name="_Toc13153"/>
      <w:bookmarkStart w:id="11" w:name="_Toc18334"/>
    </w:p>
    <w:p>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ascii="仿宋_GB2312" w:hAnsi="仿宋_GB2312" w:eastAsia="仿宋_GB2312" w:cs="仿宋_GB2312"/>
          <w:sz w:val="32"/>
          <w:szCs w:val="40"/>
        </w:rPr>
      </w:pPr>
      <w:bookmarkStart w:id="12" w:name="_Toc23957"/>
      <w:bookmarkStart w:id="13" w:name="_Toc15831"/>
      <w:bookmarkStart w:id="14" w:name="_Toc32742"/>
      <w:bookmarkStart w:id="15" w:name="_Toc19963"/>
      <w:bookmarkStart w:id="16" w:name="_Toc22285"/>
      <w:bookmarkStart w:id="17" w:name="_Toc30895"/>
      <w:bookmarkStart w:id="18" w:name="_Toc24784"/>
      <w:bookmarkStart w:id="19" w:name="_Toc19370"/>
      <w:bookmarkStart w:id="20" w:name="_Toc22453"/>
      <w:bookmarkStart w:id="21" w:name="_Toc937"/>
      <w:r>
        <w:rPr>
          <w:rFonts w:hint="eastAsia" w:ascii="仿宋_GB2312" w:hAnsi="仿宋_GB2312" w:eastAsia="仿宋_GB2312" w:cs="仿宋_GB2312"/>
          <w:sz w:val="32"/>
          <w:szCs w:val="40"/>
        </w:rPr>
        <w:t>（一）项目单位基本情况</w:t>
      </w:r>
      <w:bookmarkEnd w:id="12"/>
      <w:bookmarkEnd w:id="13"/>
      <w:bookmarkEnd w:id="14"/>
      <w:bookmarkEnd w:id="15"/>
      <w:bookmarkEnd w:id="16"/>
      <w:bookmarkEnd w:id="17"/>
      <w:bookmarkEnd w:id="18"/>
      <w:bookmarkEnd w:id="19"/>
      <w:bookmarkEnd w:id="20"/>
      <w:bookmarkEnd w:id="21"/>
    </w:p>
    <w:p>
      <w:pPr>
        <w:snapToGrid w:val="0"/>
        <w:spacing w:line="580" w:lineRule="atLeast"/>
        <w:ind w:firstLine="640" w:firstLineChars="200"/>
        <w:rPr>
          <w:rFonts w:ascii="Times New Roman" w:hAnsi="Times New Roman" w:eastAsia="仿宋"/>
          <w:sz w:val="32"/>
          <w:szCs w:val="32"/>
        </w:rPr>
      </w:pPr>
      <w:bookmarkStart w:id="22" w:name="_Toc29308"/>
      <w:bookmarkStart w:id="23" w:name="_Toc8843"/>
      <w:bookmarkStart w:id="24" w:name="_Toc15167"/>
      <w:r>
        <w:rPr>
          <w:rFonts w:ascii="仿宋_GB2312" w:hAnsi="仿宋_GB2312" w:eastAsia="仿宋_GB2312" w:cs="仿宋_GB2312"/>
          <w:sz w:val="32"/>
          <w:szCs w:val="40"/>
        </w:rPr>
        <w:t>邢台东恒农贸市场服务有限公司位于隆尧县南环工业园区西侧东河村村南，距离石家庄100公里，距离京津不到400公里。</w:t>
      </w:r>
      <w:r>
        <w:rPr>
          <w:rFonts w:ascii="Times New Roman" w:hAnsi="Times New Roman" w:eastAsia="仿宋"/>
          <w:sz w:val="32"/>
          <w:szCs w:val="32"/>
        </w:rPr>
        <w:t>邢台东恒农贸市场服务有限公司创建于2003年，是我县唯一的一家集鲜活农产品销售储运、鲜花苗木交易平台，公司总占地90余亩，现拥有固定资产3900万元，商铺900余间，带动就业岗位2100多个，入驻商户700多家其中（生熟肉食100余家、蔬菜干鲜果品160多家、粮油食品90余家，调料水产80余家、特色餐饮50多家、日杂百货服装鞋类及鲜花苗木90多家）。各类后勤保障设施（变压器、输电线路、供排水、消防环卫、安防监控）500多套，广场、街道30多亩，该市场是供应县城和周边乡镇民生保供基地，是全县最大的农贸市场。</w:t>
      </w:r>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（二）项目基本情况</w:t>
      </w:r>
      <w:bookmarkEnd w:id="22"/>
      <w:bookmarkEnd w:id="23"/>
      <w:bookmarkEnd w:id="24"/>
    </w:p>
    <w:p>
      <w:pPr>
        <w:snapToGrid w:val="0"/>
        <w:spacing w:line="580" w:lineRule="atLeast"/>
        <w:ind w:firstLine="640" w:firstLineChars="200"/>
        <w:rPr>
          <w:rFonts w:ascii="仿宋_GB2312" w:hAnsi="仿宋_GB2312" w:eastAsia="仿宋_GB2312" w:cs="仿宋_GB2312"/>
          <w:sz w:val="32"/>
          <w:szCs w:val="40"/>
        </w:rPr>
      </w:pPr>
      <w:bookmarkStart w:id="25" w:name="_Toc24191"/>
      <w:bookmarkStart w:id="26" w:name="_Toc32656"/>
      <w:bookmarkStart w:id="27" w:name="_Toc26594"/>
      <w:bookmarkStart w:id="28" w:name="_Toc27552"/>
      <w:bookmarkStart w:id="29" w:name="_Toc14644"/>
      <w:bookmarkStart w:id="30" w:name="_Toc12860"/>
      <w:bookmarkStart w:id="31" w:name="_Toc7839"/>
      <w:bookmarkStart w:id="32" w:name="_Toc17782"/>
      <w:bookmarkStart w:id="33" w:name="_Toc18992"/>
      <w:bookmarkStart w:id="34" w:name="_Toc6781"/>
      <w:bookmarkStart w:id="35" w:name="_Toc28908"/>
      <w:bookmarkStart w:id="36" w:name="_Toc26109"/>
      <w:bookmarkStart w:id="37" w:name="_Toc2988"/>
      <w:bookmarkStart w:id="38" w:name="_Toc4859"/>
      <w:r>
        <w:rPr>
          <w:rFonts w:ascii="Times New Roman" w:hAnsi="Times New Roman" w:eastAsia="仿宋_GB2312"/>
          <w:snapToGrid w:val="0"/>
          <w:kern w:val="0"/>
          <w:sz w:val="32"/>
          <w:szCs w:val="32"/>
        </w:rPr>
        <w:t>项目计划总投入约</w:t>
      </w:r>
      <w:r>
        <w:rPr>
          <w:rFonts w:hint="eastAsia" w:ascii="Times New Roman" w:hAnsi="Times New Roman" w:eastAsia="仿宋_GB2312"/>
          <w:snapToGrid w:val="0"/>
          <w:kern w:val="0"/>
          <w:sz w:val="32"/>
          <w:szCs w:val="32"/>
        </w:rPr>
        <w:t>330</w:t>
      </w:r>
      <w:r>
        <w:rPr>
          <w:rFonts w:ascii="Times New Roman" w:hAnsi="Times New Roman" w:eastAsia="仿宋_GB2312"/>
          <w:snapToGrid w:val="0"/>
          <w:kern w:val="0"/>
          <w:sz w:val="32"/>
          <w:szCs w:val="32"/>
        </w:rPr>
        <w:t>万元左右，建设</w:t>
      </w:r>
      <w:r>
        <w:rPr>
          <w:rFonts w:ascii="Times New Roman" w:hAnsi="Times New Roman" w:eastAsia="仿宋"/>
          <w:b/>
          <w:bCs/>
          <w:sz w:val="32"/>
          <w:szCs w:val="32"/>
        </w:rPr>
        <w:t>≥1200吨</w:t>
      </w:r>
      <w:r>
        <w:rPr>
          <w:rFonts w:ascii="Times New Roman" w:hAnsi="Times New Roman" w:eastAsia="仿宋"/>
          <w:sz w:val="32"/>
          <w:szCs w:val="32"/>
        </w:rPr>
        <w:t>农产品仓储保鲜冷链设施及配套设施，</w:t>
      </w:r>
      <w:r>
        <w:rPr>
          <w:rFonts w:ascii="Times New Roman" w:hAnsi="Times New Roman" w:eastAsia="仿宋_GB2312"/>
          <w:bCs/>
          <w:snapToGrid w:val="0"/>
          <w:kern w:val="0"/>
          <w:sz w:val="32"/>
          <w:szCs w:val="32"/>
        </w:rPr>
        <w:t>预计项目奖补资金不超100万元</w:t>
      </w:r>
      <w:r>
        <w:rPr>
          <w:rFonts w:hint="eastAsia" w:ascii="Times New Roman" w:hAnsi="Times New Roman" w:eastAsia="仿宋_GB2312"/>
          <w:bCs/>
          <w:snapToGrid w:val="0"/>
          <w:kern w:val="0"/>
          <w:sz w:val="32"/>
          <w:szCs w:val="32"/>
        </w:rPr>
        <w:t>。</w:t>
      </w:r>
    </w:p>
    <w:bookmarkEnd w:id="25"/>
    <w:bookmarkEnd w:id="26"/>
    <w:bookmarkEnd w:id="27"/>
    <w:bookmarkEnd w:id="28"/>
    <w:p>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二、项目实施情况</w:t>
      </w:r>
      <w:bookmarkEnd w:id="29"/>
      <w:bookmarkEnd w:id="30"/>
      <w:bookmarkEnd w:id="31"/>
      <w:bookmarkEnd w:id="32"/>
      <w:bookmarkEnd w:id="33"/>
      <w:bookmarkEnd w:id="34"/>
      <w:bookmarkEnd w:id="35"/>
      <w:bookmarkEnd w:id="36"/>
      <w:bookmarkEnd w:id="37"/>
      <w:bookmarkEnd w:id="38"/>
    </w:p>
    <w:p>
      <w:pPr>
        <w:spacing w:line="580" w:lineRule="exact"/>
        <w:ind w:firstLine="640" w:firstLineChars="200"/>
        <w:rPr>
          <w:rFonts w:ascii="仿宋_GB2312" w:hAnsi="仿宋_GB2312" w:eastAsia="仿宋_GB2312" w:cs="仿宋_GB2312"/>
          <w:sz w:val="32"/>
          <w:szCs w:val="40"/>
        </w:rPr>
      </w:pPr>
      <w:bookmarkStart w:id="39" w:name="_Toc20904"/>
      <w:bookmarkStart w:id="40" w:name="_Toc5317"/>
      <w:bookmarkStart w:id="41" w:name="_Toc29800"/>
      <w:bookmarkStart w:id="42" w:name="_Toc12150"/>
      <w:bookmarkStart w:id="43" w:name="_Toc21501"/>
      <w:bookmarkStart w:id="44" w:name="_Toc6451"/>
      <w:bookmarkStart w:id="45" w:name="_Toc26855"/>
      <w:bookmarkStart w:id="46" w:name="_Toc18915"/>
      <w:bookmarkStart w:id="47" w:name="_Toc5215"/>
      <w:bookmarkStart w:id="48" w:name="_Toc10651"/>
      <w:r>
        <w:rPr>
          <w:rFonts w:hint="eastAsia" w:ascii="仿宋_GB2312" w:hAnsi="仿宋_GB2312" w:eastAsia="仿宋_GB2312" w:cs="仿宋_GB2312"/>
          <w:sz w:val="32"/>
          <w:szCs w:val="40"/>
        </w:rPr>
        <w:t>项目还未实施。该市场目前没有一座冷库设施，只有商户自建小型冷藏室，严重制约市场的发展和报供能力。同时因该市场没有土地手续，属违法占地，无法在市场建设规模性冷库。为做好京津、我省大中城市、县城鲜活农产品日常供应和应急保供能力，年初经市场申请，计划申请使用省资金100万元在距该市场3公里处，利用一座长83.5米、宽17.2米、高5米的闲置仓库，建设一座≥1200吨仓储能力的低温冷藏库。今年5月，为加快市场的建设，县政府拟将该土地通过招拍挂将该90亩土地用于市场建设，现土地前期手续已经完成，拟近期完成土地招拍挂。</w:t>
      </w:r>
    </w:p>
    <w:p>
      <w:pPr>
        <w:tabs>
          <w:tab w:val="left" w:pos="0"/>
        </w:tabs>
        <w:snapToGrid w:val="0"/>
        <w:spacing w:line="580" w:lineRule="atLeast"/>
        <w:ind w:right="6" w:firstLine="640" w:firstLineChars="200"/>
        <w:rPr>
          <w:rFonts w:ascii="Times New Roman" w:hAnsi="Times New Roman" w:eastAsia="仿宋"/>
          <w:sz w:val="32"/>
          <w:szCs w:val="32"/>
        </w:rPr>
      </w:pPr>
      <w:r>
        <w:rPr>
          <w:rFonts w:hint="eastAsia" w:ascii="仿宋_GB2312" w:hAnsi="仿宋_GB2312" w:eastAsia="仿宋_GB2312" w:cs="仿宋_GB2312"/>
          <w:sz w:val="32"/>
          <w:szCs w:val="40"/>
        </w:rPr>
        <w:t>该市场在即将有建设用地可以建冷库的情况下，建设主体从经济、实用、就近有利于市场发展情况下变更了建设地点，将原计划3公里外建设地点更改在市场建设，致使该项目目前无法开工。</w:t>
      </w:r>
    </w:p>
    <w:p>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三、绩效评价工作情况</w:t>
      </w:r>
      <w:bookmarkEnd w:id="39"/>
      <w:bookmarkEnd w:id="40"/>
      <w:bookmarkEnd w:id="41"/>
      <w:bookmarkEnd w:id="42"/>
      <w:bookmarkEnd w:id="43"/>
      <w:bookmarkEnd w:id="44"/>
      <w:bookmarkEnd w:id="45"/>
      <w:bookmarkEnd w:id="46"/>
      <w:bookmarkEnd w:id="47"/>
      <w:bookmarkEnd w:id="48"/>
    </w:p>
    <w:p>
      <w:pPr>
        <w:spacing w:line="580" w:lineRule="exact"/>
        <w:ind w:firstLine="640" w:firstLineChars="200"/>
        <w:outlineLvl w:val="1"/>
        <w:rPr>
          <w:rFonts w:ascii="仿宋_GB2312" w:hAnsi="仿宋_GB2312" w:eastAsia="仿宋_GB2312" w:cs="仿宋_GB2312"/>
          <w:sz w:val="32"/>
          <w:szCs w:val="40"/>
        </w:rPr>
      </w:pPr>
      <w:bookmarkStart w:id="49" w:name="_Toc17355"/>
      <w:bookmarkStart w:id="50" w:name="_Toc8077"/>
      <w:bookmarkStart w:id="51" w:name="_Toc4056"/>
      <w:bookmarkStart w:id="52" w:name="_Toc22771"/>
      <w:bookmarkStart w:id="53" w:name="_Toc25600"/>
      <w:bookmarkStart w:id="54" w:name="_Toc5105"/>
      <w:bookmarkStart w:id="55" w:name="_Toc15730"/>
      <w:bookmarkStart w:id="56" w:name="_Toc23608"/>
      <w:bookmarkStart w:id="57" w:name="_Toc7570"/>
      <w:bookmarkStart w:id="58" w:name="_Toc14742"/>
      <w:r>
        <w:rPr>
          <w:rFonts w:hint="eastAsia" w:ascii="仿宋_GB2312" w:hAnsi="仿宋_GB2312" w:eastAsia="仿宋_GB2312" w:cs="仿宋_GB2312"/>
          <w:sz w:val="32"/>
          <w:szCs w:val="40"/>
        </w:rPr>
        <w:t>（一）评价目的</w:t>
      </w:r>
      <w:bookmarkEnd w:id="49"/>
      <w:bookmarkEnd w:id="50"/>
      <w:bookmarkEnd w:id="51"/>
      <w:bookmarkEnd w:id="52"/>
      <w:bookmarkEnd w:id="53"/>
      <w:bookmarkEnd w:id="54"/>
      <w:bookmarkEnd w:id="55"/>
      <w:bookmarkEnd w:id="56"/>
      <w:bookmarkEnd w:id="57"/>
      <w:bookmarkEnd w:id="58"/>
    </w:p>
    <w:p>
      <w:pPr>
        <w:spacing w:line="580" w:lineRule="exact"/>
        <w:ind w:firstLine="640" w:firstLineChars="200"/>
        <w:outlineLvl w:val="1"/>
      </w:pPr>
      <w:r>
        <w:rPr>
          <w:rFonts w:hint="eastAsia" w:ascii="仿宋" w:hAnsi="仿宋" w:eastAsia="仿宋"/>
          <w:sz w:val="32"/>
          <w:szCs w:val="32"/>
        </w:rPr>
        <w:t>通过对项目实施全过程的评价，看项目是否完成了既定的实施目标。</w:t>
      </w:r>
    </w:p>
    <w:p>
      <w:pPr>
        <w:spacing w:line="580" w:lineRule="exact"/>
        <w:ind w:firstLine="640" w:firstLineChars="200"/>
        <w:outlineLvl w:val="1"/>
        <w:rPr>
          <w:rFonts w:ascii="仿宋_GB2312" w:hAnsi="仿宋_GB2312" w:eastAsia="仿宋_GB2312" w:cs="仿宋_GB2312"/>
          <w:sz w:val="32"/>
          <w:szCs w:val="40"/>
        </w:rPr>
      </w:pPr>
      <w:bookmarkStart w:id="59" w:name="_Toc16121"/>
      <w:bookmarkStart w:id="60" w:name="_Toc8288"/>
      <w:bookmarkStart w:id="61" w:name="_Toc16971"/>
      <w:bookmarkStart w:id="62" w:name="_Toc27346"/>
      <w:bookmarkStart w:id="63" w:name="_Toc18502"/>
      <w:bookmarkStart w:id="64" w:name="_Toc22727"/>
      <w:bookmarkStart w:id="65" w:name="_Toc30351"/>
      <w:bookmarkStart w:id="66" w:name="_Toc25746"/>
      <w:bookmarkStart w:id="67" w:name="_Toc27199"/>
      <w:bookmarkStart w:id="68" w:name="_Toc3910"/>
      <w:r>
        <w:rPr>
          <w:rFonts w:hint="eastAsia" w:ascii="仿宋_GB2312" w:hAnsi="仿宋_GB2312" w:eastAsia="仿宋_GB2312" w:cs="仿宋_GB2312"/>
          <w:sz w:val="32"/>
          <w:szCs w:val="40"/>
        </w:rPr>
        <w:t>（二）评价指标</w:t>
      </w:r>
      <w:bookmarkEnd w:id="59"/>
      <w:bookmarkEnd w:id="60"/>
      <w:bookmarkEnd w:id="61"/>
      <w:bookmarkEnd w:id="62"/>
      <w:bookmarkEnd w:id="63"/>
      <w:bookmarkEnd w:id="64"/>
      <w:bookmarkEnd w:id="65"/>
      <w:bookmarkEnd w:id="66"/>
      <w:bookmarkEnd w:id="67"/>
      <w:bookmarkEnd w:id="68"/>
    </w:p>
    <w:p>
      <w:pPr>
        <w:spacing w:line="580" w:lineRule="exact"/>
        <w:ind w:firstLine="640" w:firstLineChars="200"/>
        <w:outlineLvl w:val="1"/>
      </w:pPr>
      <w:r>
        <w:rPr>
          <w:rFonts w:hint="eastAsia" w:ascii="仿宋" w:hAnsi="仿宋" w:eastAsia="仿宋" w:cs="仿宋"/>
          <w:sz w:val="32"/>
          <w:szCs w:val="32"/>
        </w:rPr>
        <w:t>评价指标。绩效评价指标共 100 分。具体为:“工作活动”设置 20分，工作活动”管理 20分，“工作活动”产出50分，“工作活动”效果10分。</w:t>
      </w:r>
    </w:p>
    <w:p>
      <w:pPr>
        <w:spacing w:line="580" w:lineRule="exact"/>
        <w:ind w:firstLine="640" w:firstLineChars="200"/>
        <w:outlineLvl w:val="1"/>
        <w:rPr>
          <w:rFonts w:ascii="仿宋_GB2312" w:hAnsi="仿宋_GB2312" w:eastAsia="仿宋_GB2312" w:cs="仿宋_GB2312"/>
          <w:sz w:val="32"/>
          <w:szCs w:val="40"/>
        </w:rPr>
      </w:pPr>
      <w:bookmarkStart w:id="69" w:name="_Toc11684"/>
      <w:bookmarkStart w:id="70" w:name="_Toc32241"/>
      <w:bookmarkStart w:id="71" w:name="_Toc23270"/>
      <w:bookmarkStart w:id="72" w:name="_Toc12572"/>
      <w:bookmarkStart w:id="73" w:name="_Toc25343"/>
      <w:bookmarkStart w:id="74" w:name="_Toc19068"/>
      <w:bookmarkStart w:id="75" w:name="_Toc5587"/>
      <w:bookmarkStart w:id="76" w:name="_Toc19154"/>
      <w:bookmarkStart w:id="77" w:name="_Toc5304"/>
      <w:bookmarkStart w:id="78" w:name="_Toc32306"/>
      <w:r>
        <w:rPr>
          <w:rFonts w:hint="eastAsia" w:ascii="仿宋_GB2312" w:hAnsi="仿宋_GB2312" w:eastAsia="仿宋_GB2312" w:cs="仿宋_GB2312"/>
          <w:sz w:val="32"/>
          <w:szCs w:val="40"/>
        </w:rPr>
        <w:t>（三）评价依据</w:t>
      </w:r>
      <w:bookmarkEnd w:id="69"/>
      <w:bookmarkEnd w:id="70"/>
      <w:bookmarkEnd w:id="71"/>
      <w:bookmarkEnd w:id="72"/>
      <w:bookmarkEnd w:id="73"/>
      <w:bookmarkEnd w:id="74"/>
      <w:bookmarkEnd w:id="75"/>
      <w:bookmarkEnd w:id="76"/>
      <w:bookmarkEnd w:id="77"/>
      <w:bookmarkEnd w:id="78"/>
    </w:p>
    <w:p>
      <w:pPr>
        <w:spacing w:line="580" w:lineRule="exact"/>
        <w:ind w:firstLine="640" w:firstLineChars="200"/>
        <w:outlineLvl w:val="1"/>
        <w:rPr>
          <w:rFonts w:ascii="仿宋" w:hAnsi="仿宋" w:eastAsia="仿宋" w:cs="仿宋"/>
          <w:sz w:val="32"/>
          <w:szCs w:val="32"/>
        </w:rPr>
      </w:pPr>
      <w:bookmarkStart w:id="79" w:name="_Toc26780"/>
      <w:bookmarkStart w:id="80" w:name="_Toc6747"/>
      <w:bookmarkStart w:id="81" w:name="_Toc9401"/>
      <w:bookmarkStart w:id="82" w:name="_Toc22038"/>
      <w:bookmarkStart w:id="83" w:name="_Toc11243"/>
      <w:bookmarkStart w:id="84" w:name="_Toc13179"/>
      <w:bookmarkStart w:id="85" w:name="_Toc24302"/>
      <w:bookmarkStart w:id="86" w:name="_Toc1868"/>
      <w:bookmarkStart w:id="87" w:name="_Toc12940"/>
      <w:bookmarkStart w:id="88" w:name="_Toc7393"/>
      <w:r>
        <w:rPr>
          <w:rFonts w:ascii="仿宋" w:hAnsi="仿宋" w:eastAsia="仿宋" w:cs="仿宋"/>
          <w:sz w:val="32"/>
          <w:szCs w:val="32"/>
        </w:rPr>
        <w:t>邢台市农业农村局（邢农财发〔2022〕7号）通知和《河北省2022年省级财政提前下达农业转移支付项目（鲜活农产品应急保供冷藏保鲜设施建设方案）实施方案》（冀农财发〔2022〕5号）精神，</w:t>
      </w:r>
      <w:r>
        <w:rPr>
          <w:rFonts w:hint="eastAsia" w:ascii="仿宋" w:hAnsi="仿宋" w:eastAsia="仿宋" w:cs="仿宋"/>
          <w:sz w:val="32"/>
          <w:szCs w:val="32"/>
        </w:rPr>
        <w:t>制定</w:t>
      </w:r>
      <w:r>
        <w:rPr>
          <w:rFonts w:ascii="仿宋" w:hAnsi="仿宋" w:eastAsia="仿宋" w:cs="仿宋"/>
          <w:sz w:val="32"/>
          <w:szCs w:val="32"/>
        </w:rPr>
        <w:t>《河北省2022年省级财政提前下达农业转移支付项目（鲜活农产品应急保供冷藏保鲜设施建设方案）实施方案》</w:t>
      </w:r>
      <w:r>
        <w:rPr>
          <w:rFonts w:hint="eastAsia" w:ascii="仿宋" w:hAnsi="仿宋" w:eastAsia="仿宋" w:cs="仿宋"/>
          <w:sz w:val="32"/>
          <w:szCs w:val="32"/>
        </w:rPr>
        <w:t>，结合走访调查。</w:t>
      </w:r>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（四）评价的主要方法及等级设定</w:t>
      </w:r>
      <w:bookmarkEnd w:id="79"/>
      <w:bookmarkEnd w:id="80"/>
      <w:bookmarkEnd w:id="81"/>
      <w:bookmarkEnd w:id="82"/>
      <w:bookmarkEnd w:id="83"/>
      <w:bookmarkEnd w:id="84"/>
      <w:bookmarkEnd w:id="85"/>
      <w:bookmarkEnd w:id="86"/>
      <w:bookmarkEnd w:id="87"/>
      <w:bookmarkEnd w:id="88"/>
    </w:p>
    <w:p>
      <w:pPr>
        <w:spacing w:line="580" w:lineRule="exact"/>
        <w:ind w:firstLine="643" w:firstLineChars="200"/>
        <w:outlineLvl w:val="0"/>
        <w:rPr>
          <w:rFonts w:ascii="仿宋_GB2312" w:hAnsi="仿宋_GB2312" w:eastAsia="仿宋_GB2312" w:cs="仿宋_GB2312"/>
        </w:rPr>
      </w:pPr>
      <w:bookmarkStart w:id="89" w:name="_Toc21014"/>
      <w:bookmarkStart w:id="90" w:name="_Toc17025"/>
      <w:bookmarkStart w:id="91" w:name="_Toc30508"/>
      <w:bookmarkStart w:id="92" w:name="_Toc5623"/>
      <w:bookmarkStart w:id="93" w:name="_Toc22222"/>
      <w:bookmarkStart w:id="94" w:name="_Toc18842"/>
      <w:bookmarkStart w:id="95" w:name="_Toc6105"/>
      <w:bookmarkStart w:id="96" w:name="_Toc20748"/>
      <w:bookmarkStart w:id="97" w:name="_Toc28621"/>
      <w:bookmarkStart w:id="98" w:name="_Toc10113"/>
      <w:r>
        <w:rPr>
          <w:rFonts w:hint="eastAsia" w:ascii="仿宋_GB2312" w:hAnsi="仿宋_GB2312" w:eastAsia="仿宋_GB2312" w:cs="仿宋_GB2312"/>
          <w:b/>
          <w:bCs/>
          <w:sz w:val="32"/>
          <w:szCs w:val="40"/>
        </w:rPr>
        <w:t>四、绩效评价指标体系及得分情况</w:t>
      </w:r>
      <w:bookmarkEnd w:id="89"/>
      <w:bookmarkEnd w:id="90"/>
      <w:bookmarkEnd w:id="91"/>
      <w:bookmarkEnd w:id="92"/>
      <w:bookmarkEnd w:id="93"/>
      <w:bookmarkEnd w:id="94"/>
      <w:bookmarkEnd w:id="95"/>
      <w:bookmarkEnd w:id="96"/>
      <w:bookmarkEnd w:id="97"/>
      <w:bookmarkEnd w:id="98"/>
    </w:p>
    <w:p>
      <w:pPr>
        <w:ind w:firstLine="840" w:firstLineChars="300"/>
      </w:pPr>
      <w:r>
        <w:rPr>
          <w:rFonts w:hint="eastAsia" w:ascii="仿宋_GB2312" w:hAnsi="仿宋_GB2312" w:eastAsia="仿宋_GB2312" w:cs="仿宋_GB2312"/>
          <w:kern w:val="0"/>
          <w:sz w:val="28"/>
          <w:szCs w:val="28"/>
        </w:rPr>
        <w:t>鲜活农产品应急保供冷藏保鲜设施建设</w:t>
      </w:r>
      <w:r>
        <w:rPr>
          <w:rFonts w:hint="eastAsia" w:ascii="仿宋_GB2312" w:hAnsi="仿宋_GB2312" w:eastAsia="仿宋_GB2312" w:cs="仿宋_GB2312"/>
          <w:b/>
          <w:color w:val="000000"/>
          <w:kern w:val="0"/>
          <w:sz w:val="28"/>
          <w:szCs w:val="28"/>
        </w:rPr>
        <w:t>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96"/>
        <w:gridCol w:w="711"/>
      </w:tblGrid>
      <w:tr>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69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69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“工作活动”设置（20分）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569"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③是否与项目年度任务数或计划数相对应；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④是否与预算确定的项目投资额或资金量相匹配。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缺少一项扣*分,扣完为止。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“工作活动”管理（20分）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696"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906"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“工作活动”产出（50分）</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支持1个农贸市场建设仓储设施</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r>
      <w:tr>
        <w:tblPrEx>
          <w:tblCellMar>
            <w:top w:w="0" w:type="dxa"/>
            <w:left w:w="0" w:type="dxa"/>
            <w:bottom w:w="0" w:type="dxa"/>
            <w:right w:w="0" w:type="dxa"/>
          </w:tblCellMar>
        </w:tblPrEx>
        <w:trPr>
          <w:trHeight w:val="738"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建设库容量1200吨以上</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8</w:t>
            </w:r>
          </w:p>
        </w:tc>
      </w:tr>
      <w:tr>
        <w:tblPrEx>
          <w:tblCellMar>
            <w:top w:w="0" w:type="dxa"/>
            <w:left w:w="0" w:type="dxa"/>
            <w:bottom w:w="0" w:type="dxa"/>
            <w:right w:w="0" w:type="dxa"/>
          </w:tblCellMar>
        </w:tblPrEx>
        <w:trPr>
          <w:trHeight w:val="90"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成本指标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预算安排资金</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9</w:t>
            </w:r>
          </w:p>
        </w:tc>
      </w:tr>
      <w:tr>
        <w:tblPrEx>
          <w:tblCellMar>
            <w:top w:w="0" w:type="dxa"/>
            <w:left w:w="0" w:type="dxa"/>
            <w:bottom w:w="0" w:type="dxa"/>
            <w:right w:w="0" w:type="dxa"/>
          </w:tblCellMar>
        </w:tblPrEx>
        <w:trPr>
          <w:trHeight w:val="10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经济效益指标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提升市场农产品保供能力</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增加市场对全县菜篮子保供能力</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r>
      <w:tr>
        <w:tblPrEx>
          <w:tblCellMar>
            <w:top w:w="0" w:type="dxa"/>
            <w:left w:w="0" w:type="dxa"/>
            <w:bottom w:w="0" w:type="dxa"/>
            <w:right w:w="0" w:type="dxa"/>
          </w:tblCellMar>
        </w:tblPrEx>
        <w:trPr>
          <w:trHeight w:val="103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社会效益指标</w:t>
            </w:r>
          </w:p>
        </w:tc>
        <w:tc>
          <w:tcPr>
            <w:tcW w:w="2498"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鲜活农产品损耗</w:t>
            </w:r>
          </w:p>
        </w:tc>
        <w:tc>
          <w:tcPr>
            <w:tcW w:w="426"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96"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降低农产品减损10%以上</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r>
      <w:tr>
        <w:tblPrEx>
          <w:tblCellMar>
            <w:top w:w="0" w:type="dxa"/>
            <w:left w:w="0" w:type="dxa"/>
            <w:bottom w:w="0" w:type="dxa"/>
            <w:right w:w="0" w:type="dxa"/>
          </w:tblCellMar>
        </w:tblPrEx>
        <w:trPr>
          <w:trHeight w:val="42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498"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完成率</w:t>
            </w:r>
          </w:p>
        </w:tc>
        <w:tc>
          <w:tcPr>
            <w:tcW w:w="426"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96"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711"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w:t>
            </w:r>
          </w:p>
        </w:tc>
      </w:tr>
      <w:tr>
        <w:tblPrEx>
          <w:tblCellMar>
            <w:top w:w="0" w:type="dxa"/>
            <w:left w:w="0" w:type="dxa"/>
            <w:bottom w:w="0" w:type="dxa"/>
            <w:right w:w="0" w:type="dxa"/>
          </w:tblCellMar>
        </w:tblPrEx>
        <w:trPr>
          <w:trHeight w:val="421" w:hRule="atLeast"/>
        </w:trPr>
        <w:tc>
          <w:tcPr>
            <w:tcW w:w="1276"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49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2498"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预算执行率</w:t>
            </w:r>
          </w:p>
        </w:tc>
        <w:tc>
          <w:tcPr>
            <w:tcW w:w="426" w:type="dxa"/>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5</w:t>
            </w:r>
          </w:p>
        </w:tc>
        <w:tc>
          <w:tcPr>
            <w:tcW w:w="3696" w:type="dxa"/>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711" w:type="dxa"/>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w:t>
            </w:r>
          </w:p>
        </w:tc>
      </w:tr>
      <w:tr>
        <w:tblPrEx>
          <w:tblCellMar>
            <w:top w:w="0" w:type="dxa"/>
            <w:left w:w="0" w:type="dxa"/>
            <w:bottom w:w="0" w:type="dxa"/>
            <w:right w:w="0" w:type="dxa"/>
          </w:tblCellMar>
        </w:tblPrEx>
        <w:trPr>
          <w:trHeight w:val="840"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498"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群众满意率</w:t>
            </w:r>
          </w:p>
        </w:tc>
        <w:tc>
          <w:tcPr>
            <w:tcW w:w="426"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696"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受益群众满意率</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88</w:t>
            </w:r>
          </w:p>
        </w:tc>
      </w:tr>
    </w:tbl>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9" w:name="_Toc2634_WPSOffice_Level1"/>
      <w:r>
        <w:rPr>
          <w:rFonts w:hint="eastAsia" w:ascii="仿宋_GB2312" w:hAnsi="仿宋_GB2312" w:eastAsia="仿宋_GB2312" w:cs="仿宋_GB2312"/>
          <w:color w:val="000000"/>
          <w:sz w:val="32"/>
          <w:szCs w:val="32"/>
        </w:rPr>
        <w:t>五、评价分析</w:t>
      </w:r>
      <w:bookmarkEnd w:id="99"/>
    </w:p>
    <w:p>
      <w:pPr>
        <w:spacing w:line="560" w:lineRule="exact"/>
        <w:ind w:firstLine="640" w:firstLineChars="200"/>
        <w:outlineLvl w:val="1"/>
        <w:rPr>
          <w:rFonts w:ascii="仿宋_GB2312" w:hAnsi="仿宋_GB2312" w:eastAsia="仿宋_GB2312" w:cs="仿宋_GB2312"/>
          <w:color w:val="000000"/>
          <w:sz w:val="32"/>
          <w:szCs w:val="40"/>
        </w:rPr>
      </w:pPr>
      <w:bookmarkStart w:id="100" w:name="_Toc18513_WPSOffice_Level2"/>
      <w:r>
        <w:rPr>
          <w:rFonts w:hint="eastAsia" w:ascii="仿宋_GB2312" w:hAnsi="仿宋_GB2312" w:eastAsia="仿宋_GB2312" w:cs="仿宋_GB2312"/>
          <w:color w:val="000000"/>
          <w:sz w:val="32"/>
          <w:szCs w:val="40"/>
        </w:rPr>
        <w:t>（一）主要扣分事项及原因分析</w:t>
      </w:r>
      <w:bookmarkEnd w:id="100"/>
    </w:p>
    <w:p>
      <w:pPr>
        <w:pStyle w:val="2"/>
        <w:spacing w:line="560" w:lineRule="exact"/>
        <w:ind w:left="699" w:leftChars="333" w:firstLine="560"/>
        <w:outlineLvl w:val="0"/>
        <w:rPr>
          <w:rFonts w:eastAsia="仿宋_GB2312"/>
        </w:rPr>
      </w:pPr>
      <w:r>
        <w:rPr>
          <w:rFonts w:hint="eastAsia"/>
        </w:rPr>
        <w:t xml:space="preserve"> </w:t>
      </w:r>
      <w:r>
        <w:rPr>
          <w:rFonts w:hint="eastAsia" w:ascii="仿宋_GB2312" w:hAnsi="仿宋_GB2312" w:eastAsia="仿宋_GB2312" w:cs="仿宋_GB2312"/>
          <w:color w:val="000000"/>
          <w:sz w:val="32"/>
          <w:szCs w:val="32"/>
        </w:rPr>
        <w:t>实施主体从有利于市场发展的考虑，变更了建设地点，是项目未能按时实施的主要原因。</w:t>
      </w: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101" w:name="_Toc11279_WPSOffice_Level1"/>
      <w:r>
        <w:rPr>
          <w:rFonts w:hint="eastAsia" w:ascii="仿宋_GB2312" w:hAnsi="仿宋_GB2312" w:eastAsia="仿宋_GB2312" w:cs="仿宋_GB2312"/>
          <w:color w:val="000000"/>
          <w:sz w:val="32"/>
          <w:szCs w:val="32"/>
        </w:rPr>
        <w:t>六、意见及建议</w:t>
      </w:r>
      <w:bookmarkEnd w:id="101"/>
    </w:p>
    <w:p>
      <w:pPr>
        <w:pStyle w:val="2"/>
        <w:spacing w:line="560" w:lineRule="exact"/>
        <w:ind w:left="638" w:leftChars="304" w:firstLine="64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下一步，将加大督导协调力度，与县自然资源规划局沟通，早日完成土地手续，力争尽快开工建设。</w:t>
      </w: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firstLine="4800" w:firstLineChars="150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2023年3月9日</w:t>
      </w:r>
    </w:p>
    <w:p>
      <w:pPr>
        <w:rPr>
          <w:rFonts w:ascii="仿宋_GB2312" w:hAnsi="仿宋_GB2312" w:eastAsia="仿宋_GB2312" w:cs="仿宋_GB2312"/>
        </w:rPr>
      </w:pPr>
    </w:p>
    <w:sectPr>
      <w:headerReference r:id="rId3" w:type="default"/>
      <w:footerReference r:id="rId4"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EYQVhSwAQAA&#10;WQMAAA4AAAAAAAAAAQAgAAAAHgEAAGRycy9lMm9Eb2MueG1sUEsFBgAAAAAGAAYAWQEAAEAFAAAA&#10;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wNGIzMTM3NzcyODk5Y2IxNWVlMTgzMjllODBkNGUifQ=="/>
  </w:docVars>
  <w:rsids>
    <w:rsidRoot w:val="07CC499B"/>
    <w:rsid w:val="00092B14"/>
    <w:rsid w:val="000D47D0"/>
    <w:rsid w:val="001373BE"/>
    <w:rsid w:val="001F3212"/>
    <w:rsid w:val="002707C6"/>
    <w:rsid w:val="00280F82"/>
    <w:rsid w:val="003170CE"/>
    <w:rsid w:val="003C4354"/>
    <w:rsid w:val="00645DBC"/>
    <w:rsid w:val="006C3549"/>
    <w:rsid w:val="007812E3"/>
    <w:rsid w:val="00814E39"/>
    <w:rsid w:val="008C7CF4"/>
    <w:rsid w:val="00942DA1"/>
    <w:rsid w:val="0097229B"/>
    <w:rsid w:val="00A02C66"/>
    <w:rsid w:val="00AB413B"/>
    <w:rsid w:val="00B60E03"/>
    <w:rsid w:val="00B7000B"/>
    <w:rsid w:val="00D25A69"/>
    <w:rsid w:val="00D25CC3"/>
    <w:rsid w:val="00D3165F"/>
    <w:rsid w:val="00D471F4"/>
    <w:rsid w:val="00D5394A"/>
    <w:rsid w:val="00DB6DF3"/>
    <w:rsid w:val="00E30CAE"/>
    <w:rsid w:val="00E310A2"/>
    <w:rsid w:val="00EF2BA5"/>
    <w:rsid w:val="00EF6DA3"/>
    <w:rsid w:val="00F91C4F"/>
    <w:rsid w:val="00FA340E"/>
    <w:rsid w:val="01B67D1F"/>
    <w:rsid w:val="01CA2AF2"/>
    <w:rsid w:val="03274687"/>
    <w:rsid w:val="04064A0C"/>
    <w:rsid w:val="04321BCD"/>
    <w:rsid w:val="04FF4482"/>
    <w:rsid w:val="057A0A50"/>
    <w:rsid w:val="064C4C17"/>
    <w:rsid w:val="076C3175"/>
    <w:rsid w:val="07CC499B"/>
    <w:rsid w:val="07F1514B"/>
    <w:rsid w:val="0815567D"/>
    <w:rsid w:val="0909607F"/>
    <w:rsid w:val="09A64785"/>
    <w:rsid w:val="0A3B4E4B"/>
    <w:rsid w:val="0B601B06"/>
    <w:rsid w:val="0BEB58BF"/>
    <w:rsid w:val="0C15027B"/>
    <w:rsid w:val="0C3B2A49"/>
    <w:rsid w:val="0DAA4EE9"/>
    <w:rsid w:val="0E3117D9"/>
    <w:rsid w:val="102B0836"/>
    <w:rsid w:val="1064155D"/>
    <w:rsid w:val="1156122B"/>
    <w:rsid w:val="11F11891"/>
    <w:rsid w:val="12C35BB4"/>
    <w:rsid w:val="140849FA"/>
    <w:rsid w:val="14583EA3"/>
    <w:rsid w:val="151D09B5"/>
    <w:rsid w:val="1689469A"/>
    <w:rsid w:val="16DB1E7D"/>
    <w:rsid w:val="178C6C5A"/>
    <w:rsid w:val="17CD646A"/>
    <w:rsid w:val="184F3049"/>
    <w:rsid w:val="1B3F225B"/>
    <w:rsid w:val="1B4269FF"/>
    <w:rsid w:val="1D4B3C83"/>
    <w:rsid w:val="1DBD7AB3"/>
    <w:rsid w:val="1E0B387E"/>
    <w:rsid w:val="21460607"/>
    <w:rsid w:val="21FF1E9B"/>
    <w:rsid w:val="23C1122C"/>
    <w:rsid w:val="243B5479"/>
    <w:rsid w:val="243D751D"/>
    <w:rsid w:val="24522B03"/>
    <w:rsid w:val="25ED2FD4"/>
    <w:rsid w:val="264A346A"/>
    <w:rsid w:val="270A41B9"/>
    <w:rsid w:val="274B3C4E"/>
    <w:rsid w:val="285356FD"/>
    <w:rsid w:val="288E37E0"/>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8DA698B"/>
    <w:rsid w:val="6A3E1F45"/>
    <w:rsid w:val="6CCC6D4C"/>
    <w:rsid w:val="6D5F4EC3"/>
    <w:rsid w:val="6E3F5A2C"/>
    <w:rsid w:val="7008088F"/>
    <w:rsid w:val="712634CC"/>
    <w:rsid w:val="71A3781D"/>
    <w:rsid w:val="724E698E"/>
    <w:rsid w:val="756501CF"/>
    <w:rsid w:val="778F438E"/>
    <w:rsid w:val="781179A4"/>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next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2107</Words>
  <Characters>2204</Characters>
  <Lines>17</Lines>
  <Paragraphs>4</Paragraphs>
  <TotalTime>3</TotalTime>
  <ScaleCrop>false</ScaleCrop>
  <LinksUpToDate>false</LinksUpToDate>
  <CharactersWithSpaces>2268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dcterms:modified xsi:type="dcterms:W3CDTF">2023-04-03T03:37:20Z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C27F79ED887E46AF81365BF49090EA14</vt:lpwstr>
  </property>
</Properties>
</file>