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隆尧县农业农村局2022年高标准农田建设</w:t>
      </w:r>
      <w:r>
        <w:rPr>
          <w:rFonts w:hint="eastAsia" w:ascii="仿宋_GB2312" w:hAnsi="仿宋_GB2312" w:eastAsia="仿宋_GB2312" w:cs="仿宋_GB2312"/>
          <w:b/>
          <w:bCs/>
          <w:sz w:val="40"/>
          <w:szCs w:val="48"/>
        </w:rPr>
        <w:t>项目  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2022年高标准农田建设项目</w:t>
      </w:r>
      <w:r>
        <w:rPr>
          <w:rFonts w:hint="eastAsia" w:ascii="仿宋_GB2312" w:hAnsi="仿宋_GB2312" w:eastAsia="仿宋_GB2312" w:cs="仿宋_GB2312"/>
          <w:b/>
          <w:bCs/>
          <w:sz w:val="28"/>
          <w:szCs w:val="28"/>
          <w:u w:val="single"/>
        </w:rPr>
        <w:t xml:space="preserve">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农业农村局</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658 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bookmarkStart w:id="99" w:name="_GoBack"/>
      <w:bookmarkEnd w:id="99"/>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李军锋、李青          </w:t>
      </w:r>
    </w:p>
    <w:p>
      <w:pPr>
        <w:spacing w:line="580" w:lineRule="exact"/>
        <w:ind w:firstLine="482" w:firstLineChars="150"/>
        <w:outlineLvl w:val="0"/>
        <w:rPr>
          <w:rFonts w:ascii="仿宋" w:hAnsi="仿宋" w:eastAsia="仿宋" w:cs="仿宋"/>
          <w:b/>
          <w:bCs/>
          <w:sz w:val="32"/>
          <w:szCs w:val="32"/>
        </w:rPr>
      </w:pPr>
      <w:bookmarkStart w:id="0" w:name="_Toc13153"/>
      <w:bookmarkStart w:id="1" w:name="_Toc6314"/>
      <w:bookmarkStart w:id="2" w:name="_Toc16913"/>
      <w:bookmarkStart w:id="3" w:name="_Toc9525"/>
      <w:bookmarkStart w:id="4" w:name="_Toc23411"/>
      <w:bookmarkStart w:id="5" w:name="_Toc4013"/>
      <w:bookmarkStart w:id="6" w:name="_Toc11301"/>
      <w:bookmarkStart w:id="7" w:name="_Toc2245"/>
      <w:bookmarkStart w:id="8" w:name="_Toc18334"/>
      <w:bookmarkStart w:id="9" w:name="_Toc30335"/>
      <w:r>
        <w:rPr>
          <w:rFonts w:hint="eastAsia" w:ascii="仿宋" w:hAnsi="仿宋" w:eastAsia="仿宋" w:cs="仿宋"/>
          <w:b/>
          <w:bCs/>
          <w:sz w:val="32"/>
          <w:szCs w:val="32"/>
        </w:rPr>
        <w:t>一、项目概况</w:t>
      </w:r>
      <w:bookmarkEnd w:id="0"/>
      <w:bookmarkEnd w:id="1"/>
      <w:bookmarkEnd w:id="2"/>
      <w:bookmarkEnd w:id="3"/>
      <w:bookmarkEnd w:id="4"/>
      <w:bookmarkEnd w:id="5"/>
      <w:bookmarkEnd w:id="6"/>
      <w:bookmarkEnd w:id="7"/>
      <w:bookmarkEnd w:id="8"/>
      <w:bookmarkEnd w:id="9"/>
    </w:p>
    <w:p>
      <w:pPr>
        <w:spacing w:line="580" w:lineRule="exact"/>
        <w:ind w:firstLine="640" w:firstLineChars="200"/>
        <w:outlineLvl w:val="1"/>
        <w:rPr>
          <w:rFonts w:ascii="仿宋" w:hAnsi="仿宋" w:eastAsia="仿宋" w:cs="仿宋"/>
          <w:sz w:val="32"/>
          <w:szCs w:val="32"/>
        </w:rPr>
      </w:pPr>
      <w:bookmarkStart w:id="10" w:name="_Toc22285"/>
      <w:bookmarkStart w:id="11" w:name="_Toc22453"/>
      <w:bookmarkStart w:id="12" w:name="_Toc19370"/>
      <w:bookmarkStart w:id="13" w:name="_Toc24784"/>
      <w:bookmarkStart w:id="14" w:name="_Toc23957"/>
      <w:bookmarkStart w:id="15" w:name="_Toc937"/>
      <w:bookmarkStart w:id="16" w:name="_Toc19963"/>
      <w:bookmarkStart w:id="17" w:name="_Toc32742"/>
      <w:bookmarkStart w:id="18" w:name="_Toc15831"/>
      <w:bookmarkStart w:id="19" w:name="_Toc30895"/>
      <w:r>
        <w:rPr>
          <w:rFonts w:hint="eastAsia" w:ascii="仿宋" w:hAnsi="仿宋" w:eastAsia="仿宋" w:cs="仿宋"/>
          <w:sz w:val="32"/>
          <w:szCs w:val="32"/>
        </w:rPr>
        <w:t>（一）项目单位基本情况</w:t>
      </w:r>
      <w:bookmarkEnd w:id="10"/>
      <w:bookmarkEnd w:id="11"/>
      <w:bookmarkEnd w:id="12"/>
      <w:bookmarkEnd w:id="13"/>
      <w:bookmarkEnd w:id="14"/>
      <w:bookmarkEnd w:id="15"/>
      <w:bookmarkEnd w:id="16"/>
      <w:bookmarkEnd w:id="17"/>
      <w:bookmarkEnd w:id="18"/>
      <w:bookmarkEnd w:id="19"/>
    </w:p>
    <w:p>
      <w:pPr>
        <w:spacing w:line="580" w:lineRule="exact"/>
        <w:ind w:firstLine="640" w:firstLineChars="200"/>
        <w:outlineLvl w:val="1"/>
        <w:rPr>
          <w:rFonts w:ascii="仿宋" w:hAnsi="仿宋" w:eastAsia="仿宋" w:cs="仿宋"/>
          <w:sz w:val="32"/>
          <w:szCs w:val="32"/>
        </w:rPr>
      </w:pPr>
      <w:bookmarkStart w:id="20" w:name="_Toc15167"/>
      <w:bookmarkStart w:id="21" w:name="_Toc8843"/>
      <w:bookmarkStart w:id="22" w:name="_Toc29308"/>
      <w:r>
        <w:rPr>
          <w:rFonts w:hint="eastAsia" w:ascii="仿宋" w:hAnsi="仿宋" w:eastAsia="仿宋" w:cs="仿宋"/>
          <w:sz w:val="32"/>
          <w:szCs w:val="32"/>
        </w:rPr>
        <w:t>项目单位为隆尧县农业农村局，地址隆尧县德仁路4号。行政事业单位。承担</w:t>
      </w:r>
      <w:r>
        <w:rPr>
          <w:rFonts w:hint="eastAsia" w:ascii="仿宋" w:hAnsi="仿宋" w:eastAsia="仿宋" w:cs="仿宋"/>
          <w:kern w:val="0"/>
          <w:sz w:val="32"/>
          <w:szCs w:val="32"/>
        </w:rPr>
        <w:t>2022年高标准农田建设项目</w:t>
      </w:r>
      <w:r>
        <w:rPr>
          <w:rFonts w:hint="eastAsia" w:ascii="仿宋" w:hAnsi="仿宋" w:eastAsia="仿宋" w:cs="仿宋"/>
          <w:sz w:val="32"/>
          <w:szCs w:val="32"/>
        </w:rPr>
        <w:t>。</w:t>
      </w:r>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（二）项目基本情况</w:t>
      </w:r>
    </w:p>
    <w:p>
      <w:pPr>
        <w:spacing w:line="560" w:lineRule="exact"/>
        <w:ind w:firstLine="560"/>
        <w:rPr>
          <w:rFonts w:ascii="仿宋" w:hAnsi="仿宋" w:eastAsia="仿宋" w:cs="仿宋"/>
          <w:sz w:val="32"/>
          <w:szCs w:val="32"/>
        </w:rPr>
      </w:pPr>
      <w:r>
        <w:rPr>
          <w:rFonts w:hint="eastAsia" w:ascii="仿宋" w:hAnsi="仿宋" w:eastAsia="仿宋" w:cs="仿宋"/>
          <w:sz w:val="32"/>
          <w:szCs w:val="32"/>
        </w:rPr>
        <w:t>项目区位于隆尧县东良镇泽畔村、北楼乡西曲村、尹村镇西候村、牛家桥乡北吴町村等四个行政村，项目总投资2694万元，其中：中央财政资金2036万元，省级配套资金658万元。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设计主要建设内容：土壤改良2000亩；新建农用井台450个，埋设防渗管道161公里，配小白龙（聚乙烯白水带）19.1公里；新建田间机耕道路19.5公里，修建作业通道320座；农田防护林植树5300株；10kv高压输电线路5公里，低压地埋线缆15公里，新增100KVA变压器53台。658万元资金已未支付。</w:t>
      </w:r>
      <w:bookmarkEnd w:id="20"/>
      <w:bookmarkEnd w:id="21"/>
      <w:bookmarkEnd w:id="22"/>
      <w:bookmarkStart w:id="23" w:name="_Toc26594"/>
      <w:bookmarkStart w:id="24" w:name="_Toc27552"/>
      <w:bookmarkStart w:id="25" w:name="_Toc32656"/>
      <w:bookmarkStart w:id="26" w:name="_Toc24191"/>
    </w:p>
    <w:bookmarkEnd w:id="23"/>
    <w:bookmarkEnd w:id="24"/>
    <w:bookmarkEnd w:id="25"/>
    <w:bookmarkEnd w:id="26"/>
    <w:p>
      <w:pPr>
        <w:spacing w:line="580" w:lineRule="exact"/>
        <w:ind w:firstLine="643" w:firstLineChars="200"/>
        <w:outlineLvl w:val="0"/>
        <w:rPr>
          <w:rFonts w:ascii="仿宋" w:hAnsi="仿宋" w:eastAsia="仿宋" w:cs="仿宋"/>
          <w:b/>
          <w:bCs/>
          <w:sz w:val="32"/>
          <w:szCs w:val="32"/>
        </w:rPr>
      </w:pPr>
      <w:bookmarkStart w:id="27" w:name="_Toc26109"/>
      <w:bookmarkStart w:id="28" w:name="_Toc7839"/>
      <w:bookmarkStart w:id="29" w:name="_Toc17782"/>
      <w:bookmarkStart w:id="30" w:name="_Toc2988"/>
      <w:bookmarkStart w:id="31" w:name="_Toc12860"/>
      <w:bookmarkStart w:id="32" w:name="_Toc28908"/>
      <w:bookmarkStart w:id="33" w:name="_Toc18992"/>
      <w:bookmarkStart w:id="34" w:name="_Toc4859"/>
      <w:bookmarkStart w:id="35" w:name="_Toc6781"/>
      <w:bookmarkStart w:id="36" w:name="_Toc14644"/>
      <w:r>
        <w:rPr>
          <w:rFonts w:hint="eastAsia" w:ascii="仿宋" w:hAnsi="仿宋" w:eastAsia="仿宋" w:cs="仿宋"/>
          <w:b/>
          <w:bCs/>
          <w:sz w:val="32"/>
          <w:szCs w:val="32"/>
        </w:rPr>
        <w:t>二、项目实施情况</w:t>
      </w:r>
      <w:bookmarkEnd w:id="27"/>
      <w:bookmarkEnd w:id="28"/>
      <w:bookmarkEnd w:id="29"/>
      <w:bookmarkEnd w:id="30"/>
      <w:bookmarkEnd w:id="31"/>
      <w:bookmarkEnd w:id="32"/>
      <w:bookmarkEnd w:id="33"/>
      <w:bookmarkEnd w:id="34"/>
      <w:bookmarkEnd w:id="35"/>
      <w:bookmarkEnd w:id="36"/>
    </w:p>
    <w:p>
      <w:pPr>
        <w:widowControl/>
        <w:spacing w:line="560" w:lineRule="exact"/>
        <w:ind w:firstLine="320" w:firstLineChars="100"/>
        <w:rPr>
          <w:rFonts w:ascii="仿宋" w:hAnsi="仿宋" w:eastAsia="仿宋" w:cs="仿宋"/>
          <w:kern w:val="0"/>
          <w:sz w:val="32"/>
          <w:szCs w:val="32"/>
        </w:rPr>
      </w:pPr>
      <w:r>
        <w:rPr>
          <w:rFonts w:hint="eastAsia" w:ascii="仿宋" w:hAnsi="仿宋" w:eastAsia="仿宋" w:cs="仿宋"/>
          <w:kern w:val="0"/>
          <w:sz w:val="32"/>
          <w:szCs w:val="32"/>
        </w:rPr>
        <w:t>（一）计划制定和落实情况。</w:t>
      </w:r>
    </w:p>
    <w:p>
      <w:pPr>
        <w:widowControl/>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按照省农业农村厅批复项目计划完成建设任务</w:t>
      </w:r>
    </w:p>
    <w:p>
      <w:pPr>
        <w:widowControl/>
        <w:spacing w:line="560" w:lineRule="exact"/>
        <w:ind w:firstLine="320" w:firstLineChars="100"/>
        <w:rPr>
          <w:rFonts w:ascii="仿宋" w:hAnsi="仿宋" w:eastAsia="仿宋" w:cs="仿宋"/>
          <w:color w:val="000000"/>
          <w:kern w:val="0"/>
          <w:sz w:val="32"/>
          <w:szCs w:val="32"/>
        </w:rPr>
      </w:pPr>
      <w:r>
        <w:rPr>
          <w:rFonts w:hint="eastAsia" w:ascii="仿宋" w:hAnsi="仿宋" w:eastAsia="仿宋" w:cs="仿宋"/>
          <w:color w:val="000000"/>
          <w:kern w:val="0"/>
          <w:sz w:val="32"/>
          <w:szCs w:val="32"/>
        </w:rPr>
        <w:t>（二）执行绩效监控情况。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严格按照各级农业农村部门制定的农田治理项目管理要求进行规范管理。一是严格按照立项办法，规范项目库管理，坚持竞争立项；二是严格项目公示制度；三是严格实行招标制度；四是严格坚持工程建设高标准、高质量；五是实施工程监理制；六是明确工程产权和责任主体；七是严格资金管理，严格执行报账制和质量保证金制，保证资金专款专用。</w:t>
      </w:r>
    </w:p>
    <w:p>
      <w:pPr>
        <w:widowControl/>
        <w:spacing w:line="56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（三）资金管理情况。</w:t>
      </w:r>
    </w:p>
    <w:p>
      <w:pPr>
        <w:spacing w:line="560" w:lineRule="exact"/>
        <w:ind w:firstLine="540"/>
        <w:rPr>
          <w:rFonts w:ascii="仿宋" w:hAnsi="仿宋" w:eastAsia="仿宋" w:cs="仿宋"/>
          <w:sz w:val="32"/>
          <w:szCs w:val="32"/>
        </w:rPr>
      </w:pPr>
      <w:r>
        <w:rPr>
          <w:rFonts w:hint="eastAsia" w:ascii="仿宋" w:hAnsi="仿宋" w:eastAsia="仿宋" w:cs="仿宋"/>
          <w:sz w:val="32"/>
          <w:szCs w:val="32"/>
        </w:rPr>
        <w:t>资金的使用和管理严格按照河北省财政厅、河北省农业农村厅《河北省农田建设补助资金管理实施细则》（冀财规[2019]28号）文件精神执行，规范财政资金报账程序。高标准农田建设工程建设所需的大宗物资必须通过招标采购，工程的施工要通过招投标确定施工单位。实施中县农业农村局与中标单位要签订物资采购合同和工程施工合同，工程施工中工程监理人员要现场实施监理，县农业农村局有关人员随时监督、检查，发现问题及时解决，确保工程建设质量达到设计要求标准。工程完工后由县农业农村局牵头，组织项目设计单位、项目监理人员、施工单位技术人员组成验收组，对项目进行了自验，验收合格后，施工单位方可办理报帐手续。</w:t>
      </w:r>
    </w:p>
    <w:p>
      <w:pPr>
        <w:spacing w:line="580" w:lineRule="exact"/>
        <w:ind w:firstLine="643" w:firstLineChars="200"/>
        <w:outlineLvl w:val="0"/>
        <w:rPr>
          <w:rFonts w:ascii="仿宋" w:hAnsi="仿宋" w:eastAsia="仿宋" w:cs="仿宋"/>
          <w:b/>
          <w:bCs/>
          <w:sz w:val="32"/>
          <w:szCs w:val="32"/>
        </w:rPr>
      </w:pPr>
      <w:bookmarkStart w:id="37" w:name="_Toc21501"/>
      <w:bookmarkStart w:id="38" w:name="_Toc10651"/>
      <w:bookmarkStart w:id="39" w:name="_Toc12150"/>
      <w:bookmarkStart w:id="40" w:name="_Toc5215"/>
      <w:bookmarkStart w:id="41" w:name="_Toc6451"/>
      <w:bookmarkStart w:id="42" w:name="_Toc29800"/>
      <w:bookmarkStart w:id="43" w:name="_Toc5317"/>
      <w:bookmarkStart w:id="44" w:name="_Toc20904"/>
      <w:bookmarkStart w:id="45" w:name="_Toc26855"/>
      <w:bookmarkStart w:id="46" w:name="_Toc18915"/>
      <w:r>
        <w:rPr>
          <w:rFonts w:hint="eastAsia" w:ascii="仿宋" w:hAnsi="仿宋" w:eastAsia="仿宋" w:cs="仿宋"/>
          <w:b/>
          <w:bCs/>
          <w:sz w:val="32"/>
          <w:szCs w:val="32"/>
        </w:rPr>
        <w:t>三、绩效评价工作情况</w:t>
      </w:r>
      <w:bookmarkEnd w:id="37"/>
      <w:bookmarkEnd w:id="38"/>
      <w:bookmarkEnd w:id="39"/>
      <w:bookmarkEnd w:id="40"/>
      <w:bookmarkEnd w:id="41"/>
      <w:bookmarkEnd w:id="42"/>
      <w:bookmarkEnd w:id="43"/>
      <w:bookmarkEnd w:id="44"/>
      <w:bookmarkEnd w:id="45"/>
      <w:bookmarkEnd w:id="46"/>
    </w:p>
    <w:p>
      <w:pPr>
        <w:spacing w:line="580" w:lineRule="exact"/>
        <w:ind w:firstLine="640" w:firstLineChars="200"/>
        <w:outlineLvl w:val="1"/>
        <w:rPr>
          <w:rFonts w:ascii="仿宋" w:hAnsi="仿宋" w:eastAsia="仿宋" w:cs="仿宋"/>
          <w:sz w:val="32"/>
          <w:szCs w:val="32"/>
        </w:rPr>
      </w:pPr>
      <w:bookmarkStart w:id="47" w:name="_Toc17355"/>
      <w:bookmarkStart w:id="48" w:name="_Toc22771"/>
      <w:bookmarkStart w:id="49" w:name="_Toc15730"/>
      <w:bookmarkStart w:id="50" w:name="_Toc7570"/>
      <w:bookmarkStart w:id="51" w:name="_Toc23608"/>
      <w:bookmarkStart w:id="52" w:name="_Toc25600"/>
      <w:bookmarkStart w:id="53" w:name="_Toc14742"/>
      <w:bookmarkStart w:id="54" w:name="_Toc8077"/>
      <w:bookmarkStart w:id="55" w:name="_Toc4056"/>
      <w:bookmarkStart w:id="56" w:name="_Toc5105"/>
      <w:r>
        <w:rPr>
          <w:rFonts w:hint="eastAsia" w:ascii="仿宋" w:hAnsi="仿宋" w:eastAsia="仿宋" w:cs="仿宋"/>
          <w:sz w:val="32"/>
          <w:szCs w:val="32"/>
        </w:rPr>
        <w:t>（一）评价目的</w:t>
      </w:r>
      <w:bookmarkEnd w:id="47"/>
      <w:bookmarkEnd w:id="48"/>
      <w:bookmarkEnd w:id="49"/>
      <w:bookmarkEnd w:id="50"/>
      <w:bookmarkEnd w:id="51"/>
      <w:bookmarkEnd w:id="52"/>
      <w:bookmarkEnd w:id="53"/>
      <w:bookmarkEnd w:id="54"/>
      <w:bookmarkEnd w:id="55"/>
      <w:bookmarkEnd w:id="56"/>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通过绩效自评结果对比倒查的年初绩效目标设定质量情况，全面总结绩效目标设定是否清晰准确，绩效指标是否全面完整、科学合理，绩效标准是否恰当适宜、易于评价，深入分析原因，逐项查找差距。</w:t>
      </w:r>
    </w:p>
    <w:p>
      <w:pPr>
        <w:numPr>
          <w:ilvl w:val="0"/>
          <w:numId w:val="1"/>
        </w:numPr>
        <w:spacing w:line="580" w:lineRule="exact"/>
        <w:ind w:firstLine="640" w:firstLineChars="200"/>
        <w:outlineLvl w:val="1"/>
        <w:rPr>
          <w:rFonts w:ascii="仿宋" w:hAnsi="仿宋" w:eastAsia="仿宋" w:cs="仿宋"/>
          <w:sz w:val="32"/>
          <w:szCs w:val="32"/>
        </w:rPr>
      </w:pPr>
      <w:bookmarkStart w:id="57" w:name="_Toc30351"/>
      <w:bookmarkStart w:id="58" w:name="_Toc25746"/>
      <w:bookmarkStart w:id="59" w:name="_Toc27346"/>
      <w:bookmarkStart w:id="60" w:name="_Toc22727"/>
      <w:bookmarkStart w:id="61" w:name="_Toc8288"/>
      <w:bookmarkStart w:id="62" w:name="_Toc16121"/>
      <w:bookmarkStart w:id="63" w:name="_Toc27199"/>
      <w:bookmarkStart w:id="64" w:name="_Toc3910"/>
      <w:bookmarkStart w:id="65" w:name="_Toc16971"/>
      <w:bookmarkStart w:id="66" w:name="_Toc18502"/>
      <w:r>
        <w:rPr>
          <w:rFonts w:hint="eastAsia" w:ascii="仿宋" w:hAnsi="仿宋" w:eastAsia="仿宋" w:cs="仿宋"/>
          <w:sz w:val="32"/>
          <w:szCs w:val="32"/>
        </w:rPr>
        <w:t>评价指标</w:t>
      </w:r>
      <w:bookmarkEnd w:id="57"/>
      <w:bookmarkEnd w:id="58"/>
      <w:bookmarkEnd w:id="59"/>
      <w:bookmarkEnd w:id="60"/>
      <w:bookmarkEnd w:id="61"/>
      <w:bookmarkEnd w:id="62"/>
      <w:bookmarkEnd w:id="63"/>
      <w:bookmarkEnd w:id="64"/>
      <w:bookmarkEnd w:id="65"/>
      <w:bookmarkEnd w:id="66"/>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评价指标。绩效评价指标共 100 分。具体为:“工作活动”设置 20分，工作活动”管理 20分，“工作活动”产出50分，“工作活动”效果10分。</w:t>
      </w:r>
    </w:p>
    <w:p>
      <w:pPr>
        <w:numPr>
          <w:ilvl w:val="0"/>
          <w:numId w:val="1"/>
        </w:numPr>
        <w:spacing w:line="580" w:lineRule="exact"/>
        <w:ind w:firstLine="640" w:firstLineChars="200"/>
        <w:outlineLvl w:val="1"/>
        <w:rPr>
          <w:rFonts w:ascii="仿宋" w:hAnsi="仿宋" w:eastAsia="仿宋" w:cs="仿宋"/>
          <w:sz w:val="32"/>
          <w:szCs w:val="32"/>
        </w:rPr>
      </w:pPr>
      <w:bookmarkStart w:id="67" w:name="_Toc11684"/>
      <w:bookmarkStart w:id="68" w:name="_Toc19154"/>
      <w:bookmarkStart w:id="69" w:name="_Toc5304"/>
      <w:bookmarkStart w:id="70" w:name="_Toc32306"/>
      <w:bookmarkStart w:id="71" w:name="_Toc12572"/>
      <w:bookmarkStart w:id="72" w:name="_Toc32241"/>
      <w:bookmarkStart w:id="73" w:name="_Toc23270"/>
      <w:bookmarkStart w:id="74" w:name="_Toc19068"/>
      <w:bookmarkStart w:id="75" w:name="_Toc5587"/>
      <w:bookmarkStart w:id="76" w:name="_Toc25343"/>
      <w:r>
        <w:rPr>
          <w:rFonts w:hint="eastAsia" w:ascii="仿宋" w:hAnsi="仿宋" w:eastAsia="仿宋" w:cs="仿宋"/>
          <w:sz w:val="32"/>
          <w:szCs w:val="32"/>
        </w:rPr>
        <w:t>评价依据</w:t>
      </w:r>
      <w:bookmarkEnd w:id="67"/>
      <w:bookmarkEnd w:id="68"/>
      <w:bookmarkEnd w:id="69"/>
      <w:bookmarkEnd w:id="70"/>
      <w:bookmarkEnd w:id="71"/>
      <w:bookmarkEnd w:id="72"/>
      <w:bookmarkEnd w:id="73"/>
      <w:bookmarkEnd w:id="74"/>
      <w:bookmarkEnd w:id="75"/>
      <w:bookmarkEnd w:id="76"/>
    </w:p>
    <w:p>
      <w:pPr>
        <w:pStyle w:val="2"/>
        <w:ind w:firstLine="640"/>
        <w:rPr>
          <w:rFonts w:ascii="仿宋" w:hAnsi="仿宋" w:eastAsia="仿宋" w:cs="仿宋"/>
          <w:color w:val="auto"/>
          <w:sz w:val="32"/>
          <w:szCs w:val="32"/>
        </w:rPr>
      </w:pPr>
      <w:r>
        <w:rPr>
          <w:rFonts w:hint="eastAsia" w:ascii="仿宋" w:hAnsi="仿宋" w:eastAsia="仿宋" w:cs="仿宋"/>
          <w:color w:val="auto"/>
          <w:sz w:val="32"/>
          <w:szCs w:val="32"/>
        </w:rPr>
        <w:t>依据河北省财政厅、河北省农业农村厅《河北省农田建设补助资金管理实施细则》（冀财规[2019]28号）</w:t>
      </w:r>
    </w:p>
    <w:p>
      <w:pPr>
        <w:spacing w:line="580" w:lineRule="exact"/>
        <w:ind w:firstLine="640" w:firstLineChars="200"/>
        <w:outlineLvl w:val="1"/>
        <w:rPr>
          <w:rFonts w:ascii="仿宋" w:hAnsi="仿宋" w:eastAsia="仿宋" w:cs="仿宋"/>
          <w:sz w:val="32"/>
          <w:szCs w:val="32"/>
        </w:rPr>
      </w:pPr>
      <w:bookmarkStart w:id="77" w:name="_Toc1868"/>
      <w:bookmarkStart w:id="78" w:name="_Toc24302"/>
      <w:bookmarkStart w:id="79" w:name="_Toc13179"/>
      <w:bookmarkStart w:id="80" w:name="_Toc11243"/>
      <w:bookmarkStart w:id="81" w:name="_Toc22038"/>
      <w:bookmarkStart w:id="82" w:name="_Toc9401"/>
      <w:bookmarkStart w:id="83" w:name="_Toc6747"/>
      <w:bookmarkStart w:id="84" w:name="_Toc12940"/>
      <w:bookmarkStart w:id="85" w:name="_Toc26780"/>
      <w:bookmarkStart w:id="86" w:name="_Toc7393"/>
      <w:r>
        <w:rPr>
          <w:rFonts w:hint="eastAsia" w:ascii="仿宋" w:hAnsi="仿宋" w:eastAsia="仿宋" w:cs="仿宋"/>
          <w:sz w:val="32"/>
          <w:szCs w:val="32"/>
        </w:rPr>
        <w:t>（四）评价的主要方法及等级设定</w:t>
      </w:r>
      <w:bookmarkEnd w:id="77"/>
      <w:bookmarkEnd w:id="78"/>
      <w:bookmarkEnd w:id="79"/>
      <w:bookmarkEnd w:id="80"/>
      <w:bookmarkEnd w:id="81"/>
      <w:bookmarkEnd w:id="82"/>
      <w:bookmarkEnd w:id="83"/>
      <w:bookmarkEnd w:id="84"/>
      <w:bookmarkEnd w:id="85"/>
      <w:bookmarkEnd w:id="86"/>
    </w:p>
    <w:p>
      <w:pPr>
        <w:spacing w:line="580" w:lineRule="exact"/>
        <w:ind w:firstLine="640" w:firstLineChars="200"/>
        <w:outlineLvl w:val="1"/>
        <w:rPr>
          <w:rFonts w:ascii="仿宋" w:hAnsi="仿宋" w:eastAsia="仿宋" w:cs="仿宋"/>
          <w:sz w:val="32"/>
          <w:szCs w:val="32"/>
        </w:rPr>
      </w:pPr>
      <w:r>
        <w:rPr>
          <w:rFonts w:hint="eastAsia" w:ascii="仿宋" w:hAnsi="仿宋" w:eastAsia="仿宋" w:cs="仿宋"/>
          <w:sz w:val="32"/>
          <w:szCs w:val="32"/>
        </w:rPr>
        <w:t>绩效评价想、采取自评的方式，结果采取评分和评级相结合的方式，总分设置为 100 分，等级划分为四档:90(含)-100分为优、80(含)-90分为良、60(含)-80分为中、60分以下为差。</w:t>
      </w:r>
    </w:p>
    <w:p>
      <w:pPr>
        <w:spacing w:line="580" w:lineRule="exact"/>
        <w:ind w:firstLine="643" w:firstLineChars="200"/>
        <w:outlineLvl w:val="0"/>
        <w:rPr>
          <w:rFonts w:ascii="仿宋" w:hAnsi="仿宋" w:eastAsia="仿宋" w:cs="仿宋"/>
          <w:sz w:val="32"/>
          <w:szCs w:val="32"/>
        </w:rPr>
      </w:pPr>
      <w:bookmarkStart w:id="87" w:name="_Toc28621"/>
      <w:bookmarkStart w:id="88" w:name="_Toc17025"/>
      <w:bookmarkStart w:id="89" w:name="_Toc10113"/>
      <w:bookmarkStart w:id="90" w:name="_Toc18842"/>
      <w:bookmarkStart w:id="91" w:name="_Toc5623"/>
      <w:bookmarkStart w:id="92" w:name="_Toc6105"/>
      <w:bookmarkStart w:id="93" w:name="_Toc20748"/>
      <w:bookmarkStart w:id="94" w:name="_Toc22222"/>
      <w:bookmarkStart w:id="95" w:name="_Toc30508"/>
      <w:bookmarkStart w:id="96" w:name="_Toc21014"/>
      <w:r>
        <w:rPr>
          <w:rFonts w:hint="eastAsia" w:ascii="仿宋" w:hAnsi="仿宋" w:eastAsia="仿宋" w:cs="仿宋"/>
          <w:b/>
          <w:bCs/>
          <w:sz w:val="32"/>
          <w:szCs w:val="32"/>
        </w:rPr>
        <w:t>四、绩效评价指标体系及得分情况</w:t>
      </w:r>
      <w:bookmarkEnd w:id="87"/>
      <w:bookmarkEnd w:id="88"/>
      <w:bookmarkEnd w:id="89"/>
      <w:bookmarkEnd w:id="90"/>
      <w:bookmarkEnd w:id="91"/>
      <w:bookmarkEnd w:id="92"/>
      <w:bookmarkEnd w:id="93"/>
      <w:bookmarkEnd w:id="94"/>
      <w:bookmarkEnd w:id="95"/>
      <w:bookmarkEnd w:id="96"/>
    </w:p>
    <w:p>
      <w:pPr>
        <w:ind w:firstLine="964" w:firstLineChars="300"/>
        <w:rPr>
          <w:rFonts w:ascii="仿宋" w:hAnsi="仿宋" w:eastAsia="仿宋" w:cs="仿宋"/>
          <w:b/>
          <w:bCs/>
          <w:sz w:val="32"/>
          <w:szCs w:val="32"/>
        </w:rPr>
      </w:pPr>
      <w:r>
        <w:rPr>
          <w:rFonts w:hint="eastAsia" w:ascii="仿宋" w:hAnsi="仿宋" w:eastAsia="仿宋" w:cs="仿宋"/>
          <w:b/>
          <w:bCs/>
          <w:kern w:val="0"/>
          <w:sz w:val="32"/>
          <w:szCs w:val="32"/>
        </w:rPr>
        <w:t>2022年高标准农田建设</w:t>
      </w:r>
      <w:r>
        <w:rPr>
          <w:rFonts w:hint="eastAsia" w:ascii="仿宋" w:hAnsi="仿宋" w:eastAsia="仿宋" w:cs="仿宋"/>
          <w:b/>
          <w:bCs/>
          <w:sz w:val="32"/>
          <w:szCs w:val="32"/>
        </w:rPr>
        <w:t>项目</w:t>
      </w:r>
      <w:r>
        <w:rPr>
          <w:rFonts w:hint="eastAsia" w:ascii="仿宋" w:hAnsi="仿宋" w:eastAsia="仿宋" w:cs="仿宋"/>
          <w:b/>
          <w:bCs/>
          <w:color w:val="000000"/>
          <w:kern w:val="0"/>
          <w:sz w:val="32"/>
          <w:szCs w:val="32"/>
        </w:rPr>
        <w:t>重点绩效评价指标表</w:t>
      </w: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312"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40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高标准农田建设面积</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完成任务得分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56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工程寿命</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项目工程使用寿命大于15年</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20 </w:t>
            </w:r>
          </w:p>
        </w:tc>
      </w:tr>
      <w:tr>
        <w:tblPrEx>
          <w:tblCellMar>
            <w:top w:w="0" w:type="dxa"/>
            <w:left w:w="0" w:type="dxa"/>
            <w:bottom w:w="0" w:type="dxa"/>
            <w:right w:w="0" w:type="dxa"/>
          </w:tblCellMar>
        </w:tblPrEx>
        <w:trPr>
          <w:trHeight w:val="488"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预算执行率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0</w:t>
            </w:r>
          </w:p>
        </w:tc>
      </w:tr>
      <w:tr>
        <w:tblPrEx>
          <w:tblCellMar>
            <w:top w:w="0" w:type="dxa"/>
            <w:left w:w="0" w:type="dxa"/>
            <w:bottom w:w="0" w:type="dxa"/>
            <w:right w:w="0" w:type="dxa"/>
          </w:tblCellMar>
        </w:tblPrEx>
        <w:trPr>
          <w:trHeight w:val="47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w:t>
            </w:r>
          </w:p>
        </w:tc>
      </w:tr>
      <w:tr>
        <w:tblPrEx>
          <w:tblCellMar>
            <w:top w:w="0" w:type="dxa"/>
            <w:left w:w="0" w:type="dxa"/>
            <w:bottom w:w="0" w:type="dxa"/>
            <w:right w:w="0" w:type="dxa"/>
          </w:tblCellMar>
        </w:tblPrEx>
        <w:trPr>
          <w:trHeight w:val="405" w:hRule="atLeast"/>
        </w:trPr>
        <w:tc>
          <w:tcPr>
            <w:tcW w:w="958"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vMerge w:val="restart"/>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群众满意度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受益群众满意率</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560" w:lineRule="exact"/>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spacing w:line="560" w:lineRule="exact"/>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spacing w:line="560" w:lineRule="exact"/>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90</w:t>
            </w:r>
          </w:p>
        </w:tc>
      </w:tr>
    </w:tbl>
    <w:p>
      <w:pPr>
        <w:pStyle w:val="2"/>
        <w:spacing w:line="560" w:lineRule="exact"/>
        <w:ind w:firstLine="640"/>
        <w:outlineLvl w:val="0"/>
        <w:rPr>
          <w:rFonts w:ascii="仿宋" w:hAnsi="仿宋" w:eastAsia="仿宋" w:cs="仿宋"/>
          <w:color w:val="000000"/>
          <w:sz w:val="32"/>
          <w:szCs w:val="32"/>
        </w:rPr>
      </w:pPr>
      <w:bookmarkStart w:id="97" w:name="_Toc2634_WPSOffice_Level1"/>
      <w:r>
        <w:rPr>
          <w:rFonts w:hint="eastAsia" w:ascii="仿宋" w:hAnsi="仿宋" w:eastAsia="仿宋" w:cs="仿宋"/>
          <w:color w:val="000000"/>
          <w:sz w:val="32"/>
          <w:szCs w:val="32"/>
        </w:rPr>
        <w:t>五、评价分析</w:t>
      </w:r>
      <w:bookmarkEnd w:id="97"/>
    </w:p>
    <w:p>
      <w:pPr>
        <w:pStyle w:val="2"/>
        <w:spacing w:line="560" w:lineRule="exact"/>
        <w:ind w:firstLine="640"/>
        <w:jc w:val="left"/>
        <w:outlineLvl w:val="0"/>
        <w:rPr>
          <w:rFonts w:ascii="仿宋" w:hAnsi="仿宋" w:eastAsia="仿宋" w:cs="仿宋"/>
          <w:color w:val="000000"/>
          <w:sz w:val="32"/>
          <w:szCs w:val="32"/>
        </w:rPr>
      </w:pPr>
      <w:bookmarkStart w:id="98" w:name="_Toc11279_WPSOffice_Level1"/>
      <w:r>
        <w:rPr>
          <w:rFonts w:hint="eastAsia" w:ascii="仿宋" w:hAnsi="仿宋" w:eastAsia="仿宋" w:cs="仿宋"/>
          <w:color w:val="000000"/>
          <w:sz w:val="32"/>
          <w:szCs w:val="32"/>
        </w:rPr>
        <w:t>该项目为跨年度项目，在资金支付过程中，优先支付中央资金，资金预算执行率项扣分。</w:t>
      </w:r>
    </w:p>
    <w:p>
      <w:pPr>
        <w:pStyle w:val="2"/>
        <w:spacing w:line="560" w:lineRule="exact"/>
        <w:ind w:firstLine="640"/>
        <w:outlineLvl w:val="0"/>
        <w:rPr>
          <w:rFonts w:ascii="仿宋" w:hAnsi="仿宋" w:eastAsia="仿宋" w:cs="仿宋"/>
          <w:color w:val="000000"/>
          <w:sz w:val="32"/>
          <w:szCs w:val="32"/>
        </w:rPr>
      </w:pPr>
      <w:r>
        <w:rPr>
          <w:rFonts w:hint="eastAsia" w:ascii="仿宋" w:hAnsi="仿宋" w:eastAsia="仿宋" w:cs="仿宋"/>
          <w:color w:val="000000"/>
          <w:sz w:val="32"/>
          <w:szCs w:val="32"/>
        </w:rPr>
        <w:t>六、意见及建议</w:t>
      </w:r>
      <w:bookmarkEnd w:id="98"/>
    </w:p>
    <w:p>
      <w:pPr>
        <w:spacing w:line="560" w:lineRule="exact"/>
        <w:rPr>
          <w:rFonts w:ascii="仿宋" w:hAnsi="仿宋" w:eastAsia="仿宋" w:cs="仿宋"/>
          <w:sz w:val="32"/>
          <w:szCs w:val="32"/>
        </w:rPr>
      </w:pPr>
      <w:r>
        <w:rPr>
          <w:rFonts w:hint="eastAsia" w:ascii="仿宋" w:hAnsi="仿宋" w:eastAsia="仿宋" w:cs="仿宋"/>
          <w:sz w:val="32"/>
          <w:szCs w:val="32"/>
        </w:rPr>
        <w:t xml:space="preserve">       无</w:t>
      </w:r>
    </w:p>
    <w:p>
      <w:pPr>
        <w:pStyle w:val="2"/>
        <w:spacing w:line="560" w:lineRule="exact"/>
        <w:ind w:firstLine="4960" w:firstLineChars="1550"/>
        <w:outlineLvl w:val="0"/>
        <w:rPr>
          <w:rFonts w:ascii="仿宋" w:hAnsi="仿宋" w:eastAsia="仿宋" w:cs="仿宋"/>
          <w:color w:val="000000"/>
          <w:sz w:val="32"/>
          <w:szCs w:val="32"/>
        </w:rPr>
      </w:pPr>
    </w:p>
    <w:p>
      <w:pPr>
        <w:pStyle w:val="2"/>
        <w:spacing w:line="560" w:lineRule="exact"/>
        <w:ind w:firstLine="4960" w:firstLineChars="1550"/>
        <w:outlineLvl w:val="0"/>
        <w:rPr>
          <w:rFonts w:ascii="仿宋" w:hAnsi="仿宋" w:eastAsia="仿宋" w:cs="仿宋"/>
          <w:color w:val="000000"/>
          <w:sz w:val="32"/>
          <w:szCs w:val="32"/>
        </w:rPr>
      </w:pPr>
      <w:r>
        <w:rPr>
          <w:rFonts w:hint="eastAsia" w:ascii="仿宋" w:hAnsi="仿宋" w:eastAsia="仿宋" w:cs="仿宋"/>
          <w:color w:val="000000"/>
          <w:sz w:val="32"/>
          <w:szCs w:val="32"/>
        </w:rPr>
        <w:t>2023年3月15日</w:t>
      </w:r>
    </w:p>
    <w:p>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BADC3"/>
    <w:multiLevelType w:val="singleLevel"/>
    <w:tmpl w:val="18BBAD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s>
  <w:rsids>
    <w:rsidRoot w:val="07CC499B"/>
    <w:rsid w:val="00092B14"/>
    <w:rsid w:val="000D47D0"/>
    <w:rsid w:val="001373BE"/>
    <w:rsid w:val="001F3212"/>
    <w:rsid w:val="002707C6"/>
    <w:rsid w:val="00280F82"/>
    <w:rsid w:val="003170CE"/>
    <w:rsid w:val="003C4354"/>
    <w:rsid w:val="00516BB7"/>
    <w:rsid w:val="006059B6"/>
    <w:rsid w:val="00645DBC"/>
    <w:rsid w:val="007812E3"/>
    <w:rsid w:val="00814E39"/>
    <w:rsid w:val="008C7CF4"/>
    <w:rsid w:val="00A02C66"/>
    <w:rsid w:val="00AB413B"/>
    <w:rsid w:val="00B60E03"/>
    <w:rsid w:val="00D25A69"/>
    <w:rsid w:val="00D25CC3"/>
    <w:rsid w:val="00D3165F"/>
    <w:rsid w:val="00D471F4"/>
    <w:rsid w:val="00D5394A"/>
    <w:rsid w:val="00DB6DF3"/>
    <w:rsid w:val="00E30CAE"/>
    <w:rsid w:val="00E310A2"/>
    <w:rsid w:val="00EC7E56"/>
    <w:rsid w:val="00EF2BA5"/>
    <w:rsid w:val="00EF6DA3"/>
    <w:rsid w:val="00FA340E"/>
    <w:rsid w:val="01B67D1F"/>
    <w:rsid w:val="01CA2AF2"/>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1F6B07"/>
    <w:rsid w:val="0E3117D9"/>
    <w:rsid w:val="100E76C7"/>
    <w:rsid w:val="102B0836"/>
    <w:rsid w:val="1064155D"/>
    <w:rsid w:val="1156122B"/>
    <w:rsid w:val="11F11891"/>
    <w:rsid w:val="12C35BB4"/>
    <w:rsid w:val="140849FA"/>
    <w:rsid w:val="14583EA3"/>
    <w:rsid w:val="151D09B5"/>
    <w:rsid w:val="157E3426"/>
    <w:rsid w:val="162177D0"/>
    <w:rsid w:val="1689469A"/>
    <w:rsid w:val="16DB1E7D"/>
    <w:rsid w:val="178C6C5A"/>
    <w:rsid w:val="17CD646A"/>
    <w:rsid w:val="184F3049"/>
    <w:rsid w:val="1B3F225B"/>
    <w:rsid w:val="1B4269FF"/>
    <w:rsid w:val="1D4B3C83"/>
    <w:rsid w:val="1DBD7AB3"/>
    <w:rsid w:val="1E0B387E"/>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C624D21"/>
    <w:rsid w:val="2D391E20"/>
    <w:rsid w:val="30785FD3"/>
    <w:rsid w:val="30DE29C7"/>
    <w:rsid w:val="3118486D"/>
    <w:rsid w:val="31702E0D"/>
    <w:rsid w:val="33C32B3C"/>
    <w:rsid w:val="34E52524"/>
    <w:rsid w:val="35CA4ECD"/>
    <w:rsid w:val="35CE5164"/>
    <w:rsid w:val="35F07825"/>
    <w:rsid w:val="360C2FBA"/>
    <w:rsid w:val="363913FE"/>
    <w:rsid w:val="36D6548C"/>
    <w:rsid w:val="376918C7"/>
    <w:rsid w:val="37832AC7"/>
    <w:rsid w:val="38195BED"/>
    <w:rsid w:val="38EC3D6B"/>
    <w:rsid w:val="39B23A02"/>
    <w:rsid w:val="3A4766ED"/>
    <w:rsid w:val="3A713A3B"/>
    <w:rsid w:val="3AAB2217"/>
    <w:rsid w:val="3CAE49E3"/>
    <w:rsid w:val="3D1C4922"/>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A541B9F"/>
    <w:rsid w:val="4BD23ED8"/>
    <w:rsid w:val="4C2846CD"/>
    <w:rsid w:val="4C7A4C55"/>
    <w:rsid w:val="4F6A54EE"/>
    <w:rsid w:val="4FDF6ED1"/>
    <w:rsid w:val="514C0EC5"/>
    <w:rsid w:val="51F50157"/>
    <w:rsid w:val="52866F20"/>
    <w:rsid w:val="52EE7A8B"/>
    <w:rsid w:val="535B290E"/>
    <w:rsid w:val="53F1208F"/>
    <w:rsid w:val="54DE5250"/>
    <w:rsid w:val="552D264C"/>
    <w:rsid w:val="55495194"/>
    <w:rsid w:val="56115CEE"/>
    <w:rsid w:val="56D42516"/>
    <w:rsid w:val="56FE5044"/>
    <w:rsid w:val="57E03285"/>
    <w:rsid w:val="589B2BBF"/>
    <w:rsid w:val="59356E83"/>
    <w:rsid w:val="5AE71036"/>
    <w:rsid w:val="5B5F30DA"/>
    <w:rsid w:val="5BAF6F84"/>
    <w:rsid w:val="5BE03A0F"/>
    <w:rsid w:val="5D5C7CBD"/>
    <w:rsid w:val="5DCB1D21"/>
    <w:rsid w:val="5DF86B3F"/>
    <w:rsid w:val="5F1C1ADB"/>
    <w:rsid w:val="60134031"/>
    <w:rsid w:val="606F4BE5"/>
    <w:rsid w:val="60C120AA"/>
    <w:rsid w:val="6304094B"/>
    <w:rsid w:val="64165E4C"/>
    <w:rsid w:val="64A85991"/>
    <w:rsid w:val="6536013A"/>
    <w:rsid w:val="68DA698B"/>
    <w:rsid w:val="6A3E1F45"/>
    <w:rsid w:val="6CCC6D4C"/>
    <w:rsid w:val="6D5F4EC3"/>
    <w:rsid w:val="6E3F5A2C"/>
    <w:rsid w:val="7008088F"/>
    <w:rsid w:val="712634CC"/>
    <w:rsid w:val="71A3781D"/>
    <w:rsid w:val="724E698E"/>
    <w:rsid w:val="738C067A"/>
    <w:rsid w:val="756501CF"/>
    <w:rsid w:val="762F65D1"/>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2057</Words>
  <Characters>2175</Characters>
  <Lines>17</Lines>
  <Paragraphs>4</Paragraphs>
  <TotalTime>7</TotalTime>
  <ScaleCrop>false</ScaleCrop>
  <LinksUpToDate>false</LinksUpToDate>
  <CharactersWithSpaces>2291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cp:lastPrinted>2023-03-15T08:14:00Z</cp:lastPrinted>
  <dcterms:modified xsi:type="dcterms:W3CDTF">2023-04-03T03:29:35Z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706D0927467A4601979B5623CD07EAF2</vt:lpwstr>
  </property>
</Properties>
</file>