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附件5：</w:t>
      </w:r>
    </w:p>
    <w:p>
      <w:pPr>
        <w:spacing w:line="580" w:lineRule="exact"/>
        <w:ind w:firstLine="720" w:firstLineChars="199"/>
        <w:rPr>
          <w:rFonts w:ascii="仿宋_GB2312" w:hAnsi="仿宋_GB2312" w:eastAsia="仿宋_GB2312" w:cs="仿宋_GB2312"/>
          <w:b/>
          <w:bCs/>
          <w:spacing w:val="-20"/>
          <w:sz w:val="40"/>
          <w:szCs w:val="48"/>
        </w:rPr>
      </w:pPr>
    </w:p>
    <w:p>
      <w:pPr>
        <w:spacing w:line="580" w:lineRule="exact"/>
        <w:jc w:val="center"/>
        <w:rPr>
          <w:rFonts w:ascii="仿宋_GB2312" w:hAnsi="仿宋_GB2312" w:eastAsia="仿宋_GB2312" w:cs="仿宋_GB2312"/>
          <w:b/>
          <w:bCs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隆尧县农业农村局</w:t>
      </w:r>
    </w:p>
    <w:p>
      <w:pPr>
        <w:spacing w:line="580" w:lineRule="exact"/>
        <w:jc w:val="center"/>
        <w:rPr>
          <w:rFonts w:ascii="仿宋_GB2312" w:hAnsi="仿宋_GB2312" w:eastAsia="仿宋_GB2312" w:cs="仿宋_GB2312"/>
          <w:b/>
          <w:bCs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盘活存量资金/2022年农村问题厕所整改奖补资金</w:t>
      </w:r>
    </w:p>
    <w:p>
      <w:pPr>
        <w:spacing w:line="580" w:lineRule="exact"/>
        <w:jc w:val="center"/>
        <w:rPr>
          <w:rFonts w:ascii="仿宋_GB2312" w:hAnsi="仿宋_GB2312" w:eastAsia="仿宋_GB2312" w:cs="仿宋_GB2312"/>
          <w:b/>
          <w:bCs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重点自评绩效报告</w:t>
      </w:r>
    </w:p>
    <w:p>
      <w:pPr>
        <w:spacing w:line="580" w:lineRule="exact"/>
        <w:ind w:firstLine="799" w:firstLineChars="199"/>
        <w:jc w:val="center"/>
        <w:rPr>
          <w:rFonts w:ascii="仿宋_GB2312" w:hAnsi="仿宋_GB2312" w:eastAsia="仿宋_GB2312" w:cs="仿宋_GB2312"/>
          <w:b/>
          <w:bCs/>
          <w:sz w:val="40"/>
          <w:szCs w:val="48"/>
        </w:rPr>
      </w:pPr>
    </w:p>
    <w:p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</w:t>
      </w: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spacing w:line="580" w:lineRule="exact"/>
        <w:rPr>
          <w:rFonts w:hint="eastAsia"/>
        </w:rPr>
      </w:pPr>
    </w:p>
    <w:p>
      <w:pPr>
        <w:spacing w:line="580" w:lineRule="exact"/>
        <w:rPr>
          <w:rFonts w:hint="eastAsia"/>
        </w:rPr>
      </w:pPr>
    </w:p>
    <w:p>
      <w:pPr>
        <w:spacing w:line="580" w:lineRule="exact"/>
        <w:rPr>
          <w:rFonts w:hint="eastAsia"/>
        </w:rPr>
      </w:pPr>
    </w:p>
    <w:p>
      <w:pPr>
        <w:spacing w:line="580" w:lineRule="exact"/>
        <w:rPr>
          <w:rFonts w:hint="eastAsia"/>
        </w:rPr>
      </w:pPr>
    </w:p>
    <w:p>
      <w:pPr>
        <w:spacing w:line="580" w:lineRule="exact"/>
        <w:rPr>
          <w:rFonts w:hint="eastAsia"/>
          <w:sz w:val="28"/>
          <w:szCs w:val="28"/>
          <w:u w:val="single"/>
        </w:rPr>
      </w:pPr>
      <w:bookmarkStart w:id="100" w:name="_GoBack"/>
      <w:bookmarkEnd w:id="100"/>
      <w:r>
        <w:rPr>
          <w:rFonts w:hint="eastAsia"/>
        </w:rPr>
        <w:t>项 目 名 称：</w:t>
      </w:r>
      <w:r>
        <w:rPr>
          <w:rFonts w:hint="eastAsia"/>
          <w:sz w:val="28"/>
          <w:szCs w:val="28"/>
          <w:u w:val="single"/>
        </w:rPr>
        <w:t>2022年农村问题厕所整改奖补资金</w:t>
      </w:r>
    </w:p>
    <w:p>
      <w:pPr>
        <w:spacing w:line="580" w:lineRule="exact"/>
        <w:rPr>
          <w:sz w:val="28"/>
          <w:szCs w:val="28"/>
          <w:u w:val="single"/>
        </w:rPr>
      </w:pPr>
      <w:r>
        <w:rPr>
          <w:rFonts w:hint="eastAsia"/>
        </w:rPr>
        <w:t>项目实施单位：</w:t>
      </w:r>
      <w:r>
        <w:rPr>
          <w:rFonts w:hint="eastAsia"/>
          <w:u w:val="single"/>
        </w:rPr>
        <w:t xml:space="preserve">            隆尧县农业农村局      </w:t>
      </w:r>
    </w:p>
    <w:p>
      <w:pPr>
        <w:spacing w:line="760" w:lineRule="exact"/>
      </w:pPr>
      <w:r>
        <w:rPr>
          <w:rFonts w:hint="eastAsia"/>
        </w:rPr>
        <w:t>项目总金额：</w:t>
      </w:r>
      <w:r>
        <w:rPr>
          <w:rFonts w:hint="eastAsia"/>
          <w:u w:val="single"/>
        </w:rPr>
        <w:t xml:space="preserve">          144.557万元                 </w:t>
      </w:r>
    </w:p>
    <w:p>
      <w:pPr>
        <w:spacing w:line="760" w:lineRule="exact"/>
      </w:pPr>
      <w:r>
        <w:rPr>
          <w:rFonts w:hint="eastAsia"/>
        </w:rPr>
        <w:t>评 价 年 度：</w:t>
      </w:r>
      <w:r>
        <w:rPr>
          <w:rFonts w:hint="eastAsia"/>
          <w:u w:val="single"/>
        </w:rPr>
        <w:t xml:space="preserve">                 2022年度          </w:t>
      </w:r>
    </w:p>
    <w:p>
      <w:pPr>
        <w:spacing w:line="760" w:lineRule="exact"/>
      </w:pPr>
      <w:r>
        <w:rPr>
          <w:rFonts w:hint="eastAsia"/>
        </w:rPr>
        <w:t>评价组组长：</w:t>
      </w:r>
      <w:r>
        <w:rPr>
          <w:rFonts w:hint="eastAsia"/>
          <w:u w:val="single"/>
        </w:rPr>
        <w:t xml:space="preserve">            李现国                      </w:t>
      </w:r>
    </w:p>
    <w:p>
      <w:pPr>
        <w:spacing w:line="760" w:lineRule="exact"/>
        <w:rPr>
          <w:u w:val="single"/>
        </w:rPr>
      </w:pPr>
      <w:r>
        <w:rPr>
          <w:rFonts w:hint="eastAsia"/>
        </w:rPr>
        <w:t>评价组成员：</w:t>
      </w:r>
      <w:r>
        <w:rPr>
          <w:rFonts w:hint="eastAsia"/>
          <w:u w:val="single"/>
        </w:rPr>
        <w:t xml:space="preserve">        韩现华、李青                  </w:t>
      </w: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0" w:name="_Toc13153"/>
      <w:bookmarkStart w:id="1" w:name="_Toc23411"/>
      <w:bookmarkStart w:id="2" w:name="_Toc9525"/>
      <w:bookmarkStart w:id="3" w:name="_Toc16913"/>
      <w:bookmarkStart w:id="4" w:name="_Toc2245"/>
      <w:bookmarkStart w:id="5" w:name="_Toc18334"/>
      <w:bookmarkStart w:id="6" w:name="_Toc6314"/>
      <w:bookmarkStart w:id="7" w:name="_Toc30335"/>
      <w:bookmarkStart w:id="8" w:name="_Toc11301"/>
      <w:bookmarkStart w:id="9" w:name="_Toc4013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一、项目概况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10" w:name="_Toc23957"/>
      <w:bookmarkStart w:id="11" w:name="_Toc32742"/>
      <w:bookmarkStart w:id="12" w:name="_Toc15831"/>
      <w:bookmarkStart w:id="13" w:name="_Toc19963"/>
      <w:bookmarkStart w:id="14" w:name="_Toc19370"/>
      <w:bookmarkStart w:id="15" w:name="_Toc22285"/>
      <w:bookmarkStart w:id="16" w:name="_Toc937"/>
      <w:bookmarkStart w:id="17" w:name="_Toc22453"/>
      <w:bookmarkStart w:id="18" w:name="_Toc24784"/>
      <w:bookmarkStart w:id="19" w:name="_Toc30895"/>
      <w:r>
        <w:rPr>
          <w:rFonts w:hint="eastAsia" w:ascii="仿宋_GB2312" w:hAnsi="仿宋_GB2312" w:eastAsia="仿宋_GB2312" w:cs="仿宋_GB2312"/>
          <w:sz w:val="32"/>
          <w:szCs w:val="40"/>
        </w:rPr>
        <w:t>（一）项目单位基本情况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20" w:name="_Toc15167"/>
      <w:bookmarkStart w:id="21" w:name="_Toc29308"/>
      <w:bookmarkStart w:id="22" w:name="_Toc8843"/>
      <w:r>
        <w:rPr>
          <w:rFonts w:hint="eastAsia" w:ascii="仿宋_GB2312" w:hAnsi="仿宋_GB2312" w:eastAsia="仿宋_GB2312" w:cs="仿宋_GB2312"/>
          <w:sz w:val="32"/>
          <w:szCs w:val="40"/>
        </w:rPr>
        <w:t>项目单位为隆尧县农业农村局，地址隆尧县德仁路4号。行政事业单位。承担隆尧县农村问题厕所“歼灭战”行动中厕所改造项目。</w:t>
      </w:r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（二）项目基本情况</w:t>
      </w:r>
      <w:bookmarkEnd w:id="20"/>
      <w:bookmarkEnd w:id="21"/>
      <w:bookmarkEnd w:id="22"/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bookmarkStart w:id="23" w:name="_Toc32656"/>
      <w:bookmarkStart w:id="24" w:name="_Toc26594"/>
      <w:bookmarkStart w:id="25" w:name="_Toc24191"/>
      <w:bookmarkStart w:id="26" w:name="_Toc27552"/>
      <w:r>
        <w:rPr>
          <w:rFonts w:hint="eastAsia" w:ascii="仿宋_GB2312" w:hAnsi="仿宋_GB2312" w:eastAsia="仿宋_GB2312" w:cs="仿宋_GB2312"/>
          <w:sz w:val="32"/>
          <w:szCs w:val="40"/>
        </w:rPr>
        <w:t>本项目资金144.557万元 ，具体项目1个，工程量为整改各类问题厕所8415座。资金已全部支付到位。</w:t>
      </w:r>
    </w:p>
    <w:bookmarkEnd w:id="23"/>
    <w:bookmarkEnd w:id="24"/>
    <w:bookmarkEnd w:id="25"/>
    <w:bookmarkEnd w:id="26"/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27" w:name="_Toc18992"/>
      <w:bookmarkStart w:id="28" w:name="_Toc12860"/>
      <w:bookmarkStart w:id="29" w:name="_Toc14644"/>
      <w:bookmarkStart w:id="30" w:name="_Toc2988"/>
      <w:bookmarkStart w:id="31" w:name="_Toc28908"/>
      <w:bookmarkStart w:id="32" w:name="_Toc17782"/>
      <w:bookmarkStart w:id="33" w:name="_Toc7839"/>
      <w:bookmarkStart w:id="34" w:name="_Toc26109"/>
      <w:bookmarkStart w:id="35" w:name="_Toc6781"/>
      <w:bookmarkStart w:id="36" w:name="_Toc4859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二、项目实施情况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pStyle w:val="2"/>
        <w:ind w:firstLine="640"/>
        <w:rPr>
          <w:rFonts w:ascii="仿宋_GB2312" w:hAnsi="仿宋_GB2312" w:eastAsia="仿宋_GB2312" w:cs="仿宋_GB2312"/>
          <w:color w:val="auto"/>
          <w:sz w:val="32"/>
          <w:szCs w:val="40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按照国家、省、市统一部署，全县持续开展农村问题厕所摸排整改工作，取得了明显成效。为进一步推动农村问题厕所摸排整改工作走深走实，我县制定了《隆尧县农村问题厕所“歼灭战”行动方案》，并按照方案进行了农村问题厕所摸排整改。共需整改各类问题厕所8415座。</w:t>
      </w:r>
    </w:p>
    <w:p>
      <w:pPr>
        <w:pStyle w:val="2"/>
        <w:ind w:firstLine="640"/>
        <w:rPr>
          <w:rFonts w:ascii="仿宋_GB2312" w:hAnsi="仿宋_GB2312" w:eastAsia="仿宋_GB2312" w:cs="仿宋_GB2312"/>
          <w:color w:val="auto"/>
          <w:sz w:val="32"/>
          <w:szCs w:val="40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按照县政府统一安排，2022年农村问题厕所整改由各乡镇负责实施，县财政给予资金奖补。根据各乡镇上报的农村问题厕所整改所需奖补资金，共计需要奖补资金1445570元。</w:t>
      </w:r>
    </w:p>
    <w:p>
      <w:pPr>
        <w:pStyle w:val="2"/>
        <w:ind w:firstLine="640"/>
        <w:rPr>
          <w:rFonts w:ascii="仿宋_GB2312" w:hAnsi="仿宋_GB2312" w:eastAsia="仿宋_GB2312" w:cs="仿宋_GB2312"/>
          <w:color w:val="auto"/>
          <w:sz w:val="32"/>
          <w:szCs w:val="40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在实际工作中，将农村问题户厕分为排气管问题、冲水气管问题、过粪管问题、积水桶问题、便器问题、挤压变形问题、厕顶问题、地面问题、水泥单坑问题等，针对不同问题按照不同的补助标准进行补助。</w:t>
      </w:r>
    </w:p>
    <w:p>
      <w:pPr>
        <w:pStyle w:val="2"/>
        <w:spacing w:line="560" w:lineRule="exact"/>
        <w:ind w:firstLine="640"/>
        <w:textAlignment w:val="auto"/>
        <w:rPr>
          <w:rFonts w:ascii="仿宋_GB2312" w:hAnsi="仿宋_GB2312" w:eastAsia="仿宋_GB2312" w:cs="仿宋_GB2312"/>
          <w:color w:val="auto"/>
          <w:sz w:val="32"/>
          <w:szCs w:val="40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目前需整的改各类问题厕所8415座已全部完成，奖补资金1445570元已全部拨付到位。</w:t>
      </w: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37" w:name="_Toc12150"/>
      <w:bookmarkStart w:id="38" w:name="_Toc6451"/>
      <w:bookmarkStart w:id="39" w:name="_Toc5215"/>
      <w:bookmarkStart w:id="40" w:name="_Toc20904"/>
      <w:bookmarkStart w:id="41" w:name="_Toc29800"/>
      <w:bookmarkStart w:id="42" w:name="_Toc26855"/>
      <w:bookmarkStart w:id="43" w:name="_Toc5317"/>
      <w:bookmarkStart w:id="44" w:name="_Toc18915"/>
      <w:bookmarkStart w:id="45" w:name="_Toc10651"/>
      <w:bookmarkStart w:id="46" w:name="_Toc21501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三、绩效评价工作情况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47" w:name="_Toc5105"/>
      <w:bookmarkStart w:id="48" w:name="_Toc15730"/>
      <w:bookmarkStart w:id="49" w:name="_Toc23608"/>
      <w:bookmarkStart w:id="50" w:name="_Toc17355"/>
      <w:bookmarkStart w:id="51" w:name="_Toc22771"/>
      <w:bookmarkStart w:id="52" w:name="_Toc14742"/>
      <w:bookmarkStart w:id="53" w:name="_Toc8077"/>
      <w:bookmarkStart w:id="54" w:name="_Toc25600"/>
      <w:bookmarkStart w:id="55" w:name="_Toc7570"/>
      <w:bookmarkStart w:id="56" w:name="_Toc4056"/>
      <w:bookmarkStart w:id="57" w:name="_Toc5623"/>
      <w:bookmarkStart w:id="58" w:name="_Toc21014"/>
      <w:bookmarkStart w:id="59" w:name="_Toc10113"/>
      <w:bookmarkStart w:id="60" w:name="_Toc17025"/>
      <w:bookmarkStart w:id="61" w:name="_Toc20748"/>
      <w:bookmarkStart w:id="62" w:name="_Toc22222"/>
      <w:bookmarkStart w:id="63" w:name="_Toc28621"/>
      <w:bookmarkStart w:id="64" w:name="_Toc18842"/>
      <w:bookmarkStart w:id="65" w:name="_Toc6105"/>
      <w:bookmarkStart w:id="66" w:name="_Toc30508"/>
      <w:r>
        <w:rPr>
          <w:rFonts w:hint="eastAsia" w:ascii="仿宋_GB2312" w:hAnsi="仿宋_GB2312" w:eastAsia="仿宋_GB2312" w:cs="仿宋_GB2312"/>
          <w:sz w:val="32"/>
          <w:szCs w:val="40"/>
        </w:rPr>
        <w:t>（一）评价目的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通过绩效自评结果对比倒查的年初绩效目标设定质量情况，全面总结绩效目标设定是否清晰准确，绩效指标是否全面完整、科学合理，绩效标准是否恰当适宜、易于评价，深入分析原因，逐项查找差距。</w:t>
      </w:r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67" w:name="_Toc27346"/>
      <w:bookmarkStart w:id="68" w:name="_Toc18502"/>
      <w:bookmarkStart w:id="69" w:name="_Toc16971"/>
      <w:bookmarkStart w:id="70" w:name="_Toc22727"/>
      <w:bookmarkStart w:id="71" w:name="_Toc3910"/>
      <w:bookmarkStart w:id="72" w:name="_Toc25746"/>
      <w:bookmarkStart w:id="73" w:name="_Toc16121"/>
      <w:bookmarkStart w:id="74" w:name="_Toc27199"/>
      <w:bookmarkStart w:id="75" w:name="_Toc8288"/>
      <w:bookmarkStart w:id="76" w:name="_Toc30351"/>
      <w:r>
        <w:rPr>
          <w:rFonts w:hint="eastAsia" w:ascii="仿宋_GB2312" w:hAnsi="仿宋_GB2312" w:eastAsia="仿宋_GB2312" w:cs="仿宋_GB2312"/>
          <w:sz w:val="32"/>
          <w:szCs w:val="40"/>
        </w:rPr>
        <w:t>（二）评价指标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评价指标。绩效评价指标共 100 分。具体为:“工作活动”设置 20分，工作活动”管理 20分，“工作活动”产出50分，“工作活动”效果10分。</w:t>
      </w:r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77" w:name="_Toc11684"/>
      <w:bookmarkStart w:id="78" w:name="_Toc32241"/>
      <w:bookmarkStart w:id="79" w:name="_Toc19068"/>
      <w:bookmarkStart w:id="80" w:name="_Toc19154"/>
      <w:bookmarkStart w:id="81" w:name="_Toc5587"/>
      <w:bookmarkStart w:id="82" w:name="_Toc5304"/>
      <w:bookmarkStart w:id="83" w:name="_Toc12572"/>
      <w:bookmarkStart w:id="84" w:name="_Toc25343"/>
      <w:bookmarkStart w:id="85" w:name="_Toc32306"/>
      <w:bookmarkStart w:id="86" w:name="_Toc23270"/>
      <w:r>
        <w:rPr>
          <w:rFonts w:hint="eastAsia" w:ascii="仿宋_GB2312" w:hAnsi="仿宋_GB2312" w:eastAsia="仿宋_GB2312" w:cs="仿宋_GB2312"/>
          <w:sz w:val="32"/>
          <w:szCs w:val="40"/>
        </w:rPr>
        <w:t>（三）评价依据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依据:《隆尧县农村问题厕所“歼灭战”行动方案》。</w:t>
      </w:r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87" w:name="_Toc1868"/>
      <w:bookmarkStart w:id="88" w:name="_Toc26780"/>
      <w:bookmarkStart w:id="89" w:name="_Toc22038"/>
      <w:bookmarkStart w:id="90" w:name="_Toc12940"/>
      <w:bookmarkStart w:id="91" w:name="_Toc6747"/>
      <w:bookmarkStart w:id="92" w:name="_Toc24302"/>
      <w:bookmarkStart w:id="93" w:name="_Toc7393"/>
      <w:bookmarkStart w:id="94" w:name="_Toc9401"/>
      <w:bookmarkStart w:id="95" w:name="_Toc13179"/>
      <w:bookmarkStart w:id="96" w:name="_Toc11243"/>
      <w:r>
        <w:rPr>
          <w:rFonts w:hint="eastAsia" w:ascii="仿宋_GB2312" w:hAnsi="仿宋_GB2312" w:eastAsia="仿宋_GB2312" w:cs="仿宋_GB2312"/>
          <w:sz w:val="32"/>
          <w:szCs w:val="40"/>
        </w:rPr>
        <w:t>（四）评价的主要方法及等级设定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>
      <w:pPr>
        <w:spacing w:line="580" w:lineRule="exact"/>
        <w:ind w:firstLine="640" w:firstLineChars="200"/>
        <w:outlineLvl w:val="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绩效评价想、采取自评的方式，结果采取评分和评级相结合的方式，总分设置为 100 分，等级划分为四档:90(含)-100分为优、80(含)-90分为良、60(含)-80分为中、60分以下为差。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四、绩效评价指标体系及得分情况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>
      <w:pPr>
        <w:ind w:firstLine="1554" w:firstLineChars="740"/>
      </w:pPr>
    </w:p>
    <w:tbl>
      <w:tblPr>
        <w:tblStyle w:val="7"/>
        <w:tblW w:w="840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8"/>
        <w:gridCol w:w="674"/>
        <w:gridCol w:w="2083"/>
        <w:gridCol w:w="545"/>
        <w:gridCol w:w="3557"/>
        <w:gridCol w:w="5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8404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  <w:t>2022年农村问题厕所整改奖补资金</w:t>
            </w:r>
          </w:p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  <w:t>财政重点绩效评价指标表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一级指标  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 三级指标</w:t>
            </w:r>
          </w:p>
        </w:tc>
        <w:tc>
          <w:tcPr>
            <w:tcW w:w="54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35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指标说明</w:t>
            </w:r>
          </w:p>
        </w:tc>
        <w:tc>
          <w:tcPr>
            <w:tcW w:w="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54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3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9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“工作活动”设置（20分）</w:t>
            </w: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项目立项情况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是否符合政府经济和社会总体发展规划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有政府相关政策、规划、任务等文件得2分；无不得分。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 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4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项目活动与职责相关性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工作活动与部门职责、工作规划和重点工作相关，工作活动项下确定的预算项目合理，与工作活动密切相关，工作活动和项目预算安排合理，得4分；否则不得分。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绩效自评情况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项目设立绩效目标合理性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①是否将项目绩效目标细化分解为具体的绩效指标；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②是否通过清晰、可衡量的指标值予以体现；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③是否与项目年度任务数或计划数相对应；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④是否与预算确定的项目投资额或资金量相匹配。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缺少一项扣1分,扣完为止。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0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自评报告情况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是否有绩效评价报告，报告是否依据充分、内容真实完整；数据准确、分析透彻。每存在一项问题扣2分，扣完为止。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6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9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“工作活动”管理（20分）</w:t>
            </w: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预算调整率=（预算调整数/预算数）×100%。预算调整率每大于1%扣1分，扣完为止。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资金使用合规性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项目资金使用是否符合国家财经法规及相关的财务管理制度规定，资金支出程序是否规范,报账手续是否齐全。每存在一项不合规问题扣2分，扣完为止。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0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会计核算规范性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会计核算是否符合《会计法》、《政府会计制度》、《会计基础工作规范》等法律法规和相关制度规定。每存在一项不合规问题扣1分，扣完为止。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 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0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项目管理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项目责任机制是否健全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是否建立责任机制，项目管理和责任落实到有关人。每存在一项问题扣1分，扣完为止。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管理制度健全性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制定管理制度和措施（包括财务制度）是否明确、清晰、具有可操作性，能否保障工作活动顺利实施。每缺少一项制度扣1分，扣完为止。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5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“工作活动”产出（50分）</w:t>
            </w: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年度建设任务完成数量占总任务的比率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指标3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本项目验收标准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20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指标3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指标4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支付时限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10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5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“工作活动”效果（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分）</w:t>
            </w: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满意度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群众满意度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5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ind w:firstLine="220" w:firstLineChars="100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合计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3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100</w:t>
            </w:r>
          </w:p>
        </w:tc>
      </w:tr>
    </w:tbl>
    <w:p>
      <w:pPr>
        <w:pStyle w:val="2"/>
        <w:spacing w:line="560" w:lineRule="exact"/>
        <w:ind w:left="420" w:leftChars="200" w:firstLine="320" w:firstLineChars="1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bookmarkStart w:id="97" w:name="_Toc2634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五、评价分析</w:t>
      </w:r>
      <w:bookmarkEnd w:id="97"/>
    </w:p>
    <w:p>
      <w:pPr>
        <w:spacing w:line="560" w:lineRule="exact"/>
        <w:ind w:firstLine="640" w:firstLineChars="200"/>
        <w:outlineLvl w:val="1"/>
        <w:rPr>
          <w:rFonts w:ascii="仿宋_GB2312" w:hAnsi="仿宋_GB2312" w:eastAsia="仿宋_GB2312" w:cs="仿宋_GB2312"/>
          <w:color w:val="000000"/>
          <w:sz w:val="32"/>
          <w:szCs w:val="40"/>
        </w:rPr>
      </w:pPr>
      <w:bookmarkStart w:id="98" w:name="_Toc18513_WPSOffice_Level2"/>
      <w:r>
        <w:rPr>
          <w:rFonts w:hint="eastAsia" w:ascii="仿宋_GB2312" w:hAnsi="仿宋_GB2312" w:eastAsia="仿宋_GB2312" w:cs="仿宋_GB2312"/>
          <w:color w:val="000000"/>
          <w:sz w:val="32"/>
          <w:szCs w:val="40"/>
        </w:rPr>
        <w:t>（一）主要扣分事项及原因分析</w:t>
      </w:r>
      <w:bookmarkEnd w:id="98"/>
    </w:p>
    <w:p>
      <w:pPr>
        <w:pStyle w:val="2"/>
        <w:ind w:firstLine="560"/>
      </w:pPr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40"/>
        </w:rPr>
        <w:t>本项目完成了所有绩效目标，无扣分项。</w:t>
      </w:r>
    </w:p>
    <w:p>
      <w:pPr>
        <w:pStyle w:val="2"/>
        <w:spacing w:line="560" w:lineRule="exact"/>
        <w:ind w:left="420" w:leftChars="200" w:firstLine="320" w:firstLineChars="1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bookmarkStart w:id="99" w:name="_Toc11279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六、意见及建议</w:t>
      </w:r>
      <w:bookmarkEnd w:id="99"/>
    </w:p>
    <w:p>
      <w:pPr>
        <w:pStyle w:val="2"/>
        <w:spacing w:line="560" w:lineRule="exact"/>
        <w:ind w:left="420" w:leftChars="200" w:firstLineChars="150"/>
        <w:jc w:val="left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/>
          <w:color w:val="auto"/>
        </w:rPr>
        <w:t>无。</w:t>
      </w:r>
    </w:p>
    <w:p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560" w:lineRule="exact"/>
        <w:ind w:firstLine="5760" w:firstLineChars="1800"/>
        <w:rPr>
          <w:rFonts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2023年3月14日</w:t>
      </w:r>
    </w:p>
    <w:p>
      <w:pPr>
        <w:rPr>
          <w:rFonts w:ascii="仿宋_GB2312" w:hAnsi="仿宋_GB2312" w:eastAsia="仿宋_GB2312" w:cs="仿宋_GB2312"/>
        </w:rPr>
      </w:pPr>
    </w:p>
    <w:sectPr>
      <w:footerReference r:id="rId3" w:type="default"/>
      <w:pgSz w:w="11906" w:h="16838"/>
      <w:pgMar w:top="2154" w:right="1474" w:bottom="1984" w:left="158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jkwNGIzMTM3NzcyODk5Y2IxNWVlMTgzMjllODBkNGUifQ=="/>
  </w:docVars>
  <w:rsids>
    <w:rsidRoot w:val="07CC499B"/>
    <w:rsid w:val="00092B14"/>
    <w:rsid w:val="000D47D0"/>
    <w:rsid w:val="00115B4B"/>
    <w:rsid w:val="001373BE"/>
    <w:rsid w:val="00137E87"/>
    <w:rsid w:val="001F3212"/>
    <w:rsid w:val="002707C6"/>
    <w:rsid w:val="00280F82"/>
    <w:rsid w:val="003170CE"/>
    <w:rsid w:val="003C4354"/>
    <w:rsid w:val="00645DBC"/>
    <w:rsid w:val="006C4404"/>
    <w:rsid w:val="007812E3"/>
    <w:rsid w:val="00814E39"/>
    <w:rsid w:val="008B386F"/>
    <w:rsid w:val="008C7CF4"/>
    <w:rsid w:val="00A02C66"/>
    <w:rsid w:val="00A46F67"/>
    <w:rsid w:val="00AB413B"/>
    <w:rsid w:val="00B60E03"/>
    <w:rsid w:val="00D25A69"/>
    <w:rsid w:val="00D25CC3"/>
    <w:rsid w:val="00D3165F"/>
    <w:rsid w:val="00D471F4"/>
    <w:rsid w:val="00D5394A"/>
    <w:rsid w:val="00DB6DF3"/>
    <w:rsid w:val="00E30CAE"/>
    <w:rsid w:val="00E310A2"/>
    <w:rsid w:val="00EA509F"/>
    <w:rsid w:val="00EF2BA5"/>
    <w:rsid w:val="00EF5E2D"/>
    <w:rsid w:val="00EF6DA3"/>
    <w:rsid w:val="00FA340E"/>
    <w:rsid w:val="01B67D1F"/>
    <w:rsid w:val="01CA2AF2"/>
    <w:rsid w:val="02120645"/>
    <w:rsid w:val="03274687"/>
    <w:rsid w:val="04064A0C"/>
    <w:rsid w:val="04321BCD"/>
    <w:rsid w:val="04FF4482"/>
    <w:rsid w:val="057A0A50"/>
    <w:rsid w:val="064C4C17"/>
    <w:rsid w:val="076C3175"/>
    <w:rsid w:val="07CC499B"/>
    <w:rsid w:val="0815567D"/>
    <w:rsid w:val="0909607F"/>
    <w:rsid w:val="09A64785"/>
    <w:rsid w:val="0A3B4E4B"/>
    <w:rsid w:val="0B601B06"/>
    <w:rsid w:val="0BEB58BF"/>
    <w:rsid w:val="0C15027B"/>
    <w:rsid w:val="0C3B2A49"/>
    <w:rsid w:val="0DAA4EE9"/>
    <w:rsid w:val="0E3117D9"/>
    <w:rsid w:val="102B0836"/>
    <w:rsid w:val="1064155D"/>
    <w:rsid w:val="1156122B"/>
    <w:rsid w:val="11F11891"/>
    <w:rsid w:val="12C35BB4"/>
    <w:rsid w:val="140849FA"/>
    <w:rsid w:val="14583EA3"/>
    <w:rsid w:val="151D09B5"/>
    <w:rsid w:val="1689469A"/>
    <w:rsid w:val="16DB1E7D"/>
    <w:rsid w:val="178C6C5A"/>
    <w:rsid w:val="17CD646A"/>
    <w:rsid w:val="184F3049"/>
    <w:rsid w:val="1B3F225B"/>
    <w:rsid w:val="1B4269FF"/>
    <w:rsid w:val="1D4B3C83"/>
    <w:rsid w:val="1DBD7AB3"/>
    <w:rsid w:val="1E0B387E"/>
    <w:rsid w:val="21460607"/>
    <w:rsid w:val="21FF1E9B"/>
    <w:rsid w:val="226F5AE9"/>
    <w:rsid w:val="23C1122C"/>
    <w:rsid w:val="243D751D"/>
    <w:rsid w:val="24522B03"/>
    <w:rsid w:val="25ED2FD4"/>
    <w:rsid w:val="264A346A"/>
    <w:rsid w:val="26DB3856"/>
    <w:rsid w:val="270A41B9"/>
    <w:rsid w:val="274B3C4E"/>
    <w:rsid w:val="278C138A"/>
    <w:rsid w:val="285356FD"/>
    <w:rsid w:val="288E37E0"/>
    <w:rsid w:val="290243B4"/>
    <w:rsid w:val="2A5C748F"/>
    <w:rsid w:val="2B10000E"/>
    <w:rsid w:val="2B2D56DA"/>
    <w:rsid w:val="2D391E20"/>
    <w:rsid w:val="30785FD3"/>
    <w:rsid w:val="31702E0D"/>
    <w:rsid w:val="33C32B3C"/>
    <w:rsid w:val="34E52524"/>
    <w:rsid w:val="35CA4ECD"/>
    <w:rsid w:val="35CE5164"/>
    <w:rsid w:val="35F07825"/>
    <w:rsid w:val="360C2FBA"/>
    <w:rsid w:val="363913FE"/>
    <w:rsid w:val="36D6548C"/>
    <w:rsid w:val="376918C7"/>
    <w:rsid w:val="37832AC7"/>
    <w:rsid w:val="38195BED"/>
    <w:rsid w:val="39B23A02"/>
    <w:rsid w:val="3A4766ED"/>
    <w:rsid w:val="3A713A3B"/>
    <w:rsid w:val="3AAB2217"/>
    <w:rsid w:val="3CAE49E3"/>
    <w:rsid w:val="3DAE40CB"/>
    <w:rsid w:val="3E7103A9"/>
    <w:rsid w:val="3E7E746E"/>
    <w:rsid w:val="3EBE2184"/>
    <w:rsid w:val="3F5912F8"/>
    <w:rsid w:val="3F9B4FC0"/>
    <w:rsid w:val="41B74B09"/>
    <w:rsid w:val="43DC781A"/>
    <w:rsid w:val="441C7555"/>
    <w:rsid w:val="450A0AA4"/>
    <w:rsid w:val="45236574"/>
    <w:rsid w:val="46434BE2"/>
    <w:rsid w:val="46AA6AA7"/>
    <w:rsid w:val="478E0E32"/>
    <w:rsid w:val="48A2447B"/>
    <w:rsid w:val="49430BD9"/>
    <w:rsid w:val="494625CA"/>
    <w:rsid w:val="4BD23ED8"/>
    <w:rsid w:val="4C2846CD"/>
    <w:rsid w:val="4C7A4C55"/>
    <w:rsid w:val="4F6A54EE"/>
    <w:rsid w:val="4FDF6ED1"/>
    <w:rsid w:val="514C0EC5"/>
    <w:rsid w:val="51F50157"/>
    <w:rsid w:val="52866F20"/>
    <w:rsid w:val="52EE7A8B"/>
    <w:rsid w:val="535B290E"/>
    <w:rsid w:val="53F1208F"/>
    <w:rsid w:val="54DE5250"/>
    <w:rsid w:val="55495194"/>
    <w:rsid w:val="56115CEE"/>
    <w:rsid w:val="56D42516"/>
    <w:rsid w:val="56FE5044"/>
    <w:rsid w:val="57E03285"/>
    <w:rsid w:val="5AE71036"/>
    <w:rsid w:val="5B5F30DA"/>
    <w:rsid w:val="5BAF6F84"/>
    <w:rsid w:val="5BE03A0F"/>
    <w:rsid w:val="5D5C7CBD"/>
    <w:rsid w:val="5DF86B3F"/>
    <w:rsid w:val="5F1C1ADB"/>
    <w:rsid w:val="60134031"/>
    <w:rsid w:val="60C120AA"/>
    <w:rsid w:val="6304094B"/>
    <w:rsid w:val="64165E4C"/>
    <w:rsid w:val="6536013A"/>
    <w:rsid w:val="68DA698B"/>
    <w:rsid w:val="69622A87"/>
    <w:rsid w:val="6A3E1F45"/>
    <w:rsid w:val="6CCC6D4C"/>
    <w:rsid w:val="6D5F4EC3"/>
    <w:rsid w:val="6E3F5A2C"/>
    <w:rsid w:val="7008088F"/>
    <w:rsid w:val="712634CC"/>
    <w:rsid w:val="71A3781D"/>
    <w:rsid w:val="724E698E"/>
    <w:rsid w:val="756501CF"/>
    <w:rsid w:val="778F438E"/>
    <w:rsid w:val="7A055146"/>
    <w:rsid w:val="7A757A3F"/>
    <w:rsid w:val="7C647BFE"/>
    <w:rsid w:val="7D9B64C3"/>
    <w:rsid w:val="7E5818AB"/>
    <w:rsid w:val="7FA857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9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0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1">
    <w:name w:val="页眉 Char"/>
    <w:basedOn w:val="8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NormalCharacter"/>
    <w:qFormat/>
    <w:uiPriority w:val="0"/>
  </w:style>
  <w:style w:type="paragraph" w:customStyle="1" w:styleId="13">
    <w:name w:val="Plain Text1"/>
    <w:basedOn w:val="1"/>
    <w:qFormat/>
    <w:uiPriority w:val="99"/>
    <w:rPr>
      <w:rFonts w:ascii="??" w:hAnsi="Courier New" w:eastAsia="Times New Roman" w:cs="Courier New"/>
      <w:szCs w:val="21"/>
      <w:lang w:bidi="he-IL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1737</Words>
  <Characters>1832</Characters>
  <Lines>15</Lines>
  <Paragraphs>4</Paragraphs>
  <TotalTime>14</TotalTime>
  <ScaleCrop>false</ScaleCrop>
  <LinksUpToDate>false</LinksUpToDate>
  <CharactersWithSpaces>2019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2021-07-20T09:00:00Z</dcterms:created>
  <dc:creator>user</dc:creator>
  <cp:lastModifiedBy>Administrator</cp:lastModifiedBy>
  <dcterms:modified xsi:type="dcterms:W3CDTF">2023-04-03T05:47:38Z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3D97BAE39B4D4152843205AC5BE19FED</vt:lpwstr>
  </property>
</Properties>
</file>