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D3A30">
      <w:pPr>
        <w:snapToGrid w:val="0"/>
        <w:spacing w:line="580" w:lineRule="exact"/>
        <w:rPr>
          <w:rFonts w:ascii="方正仿宋_GBK" w:hAnsi="Tahoma" w:eastAsia="方正仿宋_GBK" w:cs="Tahoma"/>
          <w:kern w:val="0"/>
          <w:sz w:val="32"/>
          <w:szCs w:val="32"/>
        </w:rPr>
      </w:pPr>
      <w:r>
        <w:rPr>
          <w:rFonts w:hint="eastAsia" w:ascii="方正仿宋_GBK" w:hAnsi="黑体" w:eastAsia="方正仿宋_GBK"/>
          <w:sz w:val="32"/>
          <w:szCs w:val="32"/>
        </w:rPr>
        <w:t>附件6</w:t>
      </w:r>
    </w:p>
    <w:p w14:paraId="2D34224A">
      <w:pPr>
        <w:snapToGrid w:val="0"/>
        <w:spacing w:line="580" w:lineRule="exact"/>
        <w:jc w:val="center"/>
        <w:rPr>
          <w:rFonts w:cs="Tahoma" w:asciiTheme="majorEastAsia" w:hAnsiTheme="majorEastAsia" w:eastAsiaTheme="majorEastAsia"/>
          <w:kern w:val="0"/>
          <w:sz w:val="44"/>
          <w:szCs w:val="44"/>
        </w:rPr>
      </w:pPr>
      <w:r>
        <w:rPr>
          <w:rFonts w:hint="eastAsia" w:cs="Tahoma" w:asciiTheme="majorEastAsia" w:hAnsiTheme="majorEastAsia" w:eastAsiaTheme="majorEastAsia"/>
          <w:kern w:val="0"/>
          <w:sz w:val="44"/>
          <w:szCs w:val="44"/>
        </w:rPr>
        <w:t>2022年度隆尧县融媒体中心</w:t>
      </w:r>
    </w:p>
    <w:p w14:paraId="31FB29CF">
      <w:pPr>
        <w:snapToGrid w:val="0"/>
        <w:spacing w:line="580" w:lineRule="exac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cs="Tahoma" w:asciiTheme="majorEastAsia" w:hAnsiTheme="majorEastAsia" w:eastAsiaTheme="majorEastAsia"/>
          <w:kern w:val="0"/>
          <w:sz w:val="44"/>
          <w:szCs w:val="44"/>
        </w:rPr>
        <w:t>部门整体</w:t>
      </w:r>
      <w:r>
        <w:rPr>
          <w:rFonts w:hint="eastAsia" w:asciiTheme="majorEastAsia" w:hAnsiTheme="majorEastAsia" w:eastAsiaTheme="majorEastAsia"/>
          <w:sz w:val="44"/>
          <w:szCs w:val="44"/>
        </w:rPr>
        <w:t>绩效自评工作报告</w:t>
      </w:r>
    </w:p>
    <w:p w14:paraId="48925E12">
      <w:pPr>
        <w:snapToGrid w:val="0"/>
        <w:spacing w:line="400" w:lineRule="exact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</w:p>
    <w:p w14:paraId="00AAE15F">
      <w:pPr>
        <w:snapToGrid w:val="0"/>
        <w:spacing w:line="58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一、绩效自评工作组织开展情况</w:t>
      </w:r>
    </w:p>
    <w:p w14:paraId="57059F5F">
      <w:pPr>
        <w:pStyle w:val="14"/>
        <w:spacing w:line="580" w:lineRule="exact"/>
        <w:ind w:firstLine="643"/>
        <w:jc w:val="left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（一）绩效自评工作的组织情况及实施过程</w:t>
      </w:r>
    </w:p>
    <w:p w14:paraId="73F83DCC">
      <w:pPr>
        <w:pStyle w:val="14"/>
        <w:spacing w:line="580" w:lineRule="exact"/>
        <w:ind w:firstLine="64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Arial"/>
          <w:color w:val="191919"/>
          <w:sz w:val="32"/>
          <w:szCs w:val="32"/>
        </w:rPr>
        <w:t>为加强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我单位财政</w:t>
      </w:r>
      <w:r>
        <w:rPr>
          <w:rFonts w:ascii="仿宋" w:hAnsi="仿宋" w:eastAsia="仿宋" w:cs="Arial"/>
          <w:color w:val="191919"/>
          <w:sz w:val="32"/>
          <w:szCs w:val="32"/>
        </w:rPr>
        <w:t>资金管理，强化支出责任，建立科学、合理的财政支出绩效评价管理体系，提高本单位财政资金的使用效益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，</w:t>
      </w:r>
      <w:r>
        <w:rPr>
          <w:rFonts w:ascii="仿宋" w:hAnsi="仿宋" w:eastAsia="仿宋" w:cs="Arial"/>
          <w:color w:val="191919"/>
          <w:sz w:val="32"/>
          <w:szCs w:val="32"/>
        </w:rPr>
        <w:t>根据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隆尧</w:t>
      </w:r>
      <w:r>
        <w:rPr>
          <w:rFonts w:ascii="仿宋" w:hAnsi="仿宋" w:eastAsia="仿宋" w:cs="Arial"/>
          <w:color w:val="191919"/>
          <w:sz w:val="32"/>
          <w:szCs w:val="32"/>
        </w:rPr>
        <w:t>县财政局</w:t>
      </w:r>
      <w:r>
        <w:rPr>
          <w:rFonts w:hint="eastAsia" w:ascii="仿宋" w:hAnsi="仿宋" w:eastAsia="仿宋" w:cs="仿宋"/>
          <w:sz w:val="32"/>
          <w:szCs w:val="32"/>
        </w:rPr>
        <w:t>《关于开展2022年度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县级预算部门绩效自评和重点自评工作的通知》</w:t>
      </w:r>
      <w:r>
        <w:rPr>
          <w:rFonts w:hint="eastAsia" w:ascii="仿宋" w:hAnsi="仿宋" w:eastAsia="仿宋" w:cs="仿宋"/>
          <w:sz w:val="32"/>
          <w:szCs w:val="32"/>
        </w:rPr>
        <w:t>（隆财〔2023〕15号）</w:t>
      </w:r>
      <w:r>
        <w:rPr>
          <w:rFonts w:ascii="仿宋" w:hAnsi="仿宋" w:eastAsia="仿宋" w:cs="Arial"/>
          <w:color w:val="191919"/>
          <w:sz w:val="32"/>
          <w:szCs w:val="32"/>
        </w:rPr>
        <w:t>要求，</w:t>
      </w:r>
      <w:r>
        <w:rPr>
          <w:rFonts w:hint="eastAsia" w:ascii="仿宋" w:hAnsi="仿宋" w:eastAsia="仿宋" w:cs="仿宋"/>
          <w:sz w:val="32"/>
          <w:szCs w:val="32"/>
        </w:rPr>
        <w:t>我单位成立了项目绩效评价小组，组织学习财政支出绩效自评的相关规定，确定评价范围和对象，明确评价目的、内容、任务、依据，掌握评价的时间和有关要求，梳理内部管理流程，实施询问、检查等必要的工作程序并审阅项目资料和资金下达文件、抽查会计记录包括原始凭证、记账凭证、会计账簿等相关会计资料、复核预决算报表及编制依据，对我单位2022年部门整体绩效进行</w:t>
      </w:r>
      <w:r>
        <w:rPr>
          <w:rFonts w:hint="eastAsia" w:ascii="仿宋" w:hAnsi="仿宋" w:eastAsia="仿宋"/>
          <w:color w:val="000000"/>
          <w:sz w:val="30"/>
          <w:szCs w:val="24"/>
        </w:rPr>
        <w:t>整体</w:t>
      </w:r>
      <w:r>
        <w:rPr>
          <w:rFonts w:hint="eastAsia" w:ascii="仿宋" w:hAnsi="仿宋" w:eastAsia="仿宋" w:cs="仿宋"/>
          <w:sz w:val="32"/>
          <w:szCs w:val="32"/>
        </w:rPr>
        <w:t>绩效自评。</w:t>
      </w:r>
    </w:p>
    <w:p w14:paraId="751D041E">
      <w:pPr>
        <w:numPr>
          <w:ilvl w:val="0"/>
          <w:numId w:val="1"/>
        </w:numPr>
        <w:snapToGrid w:val="0"/>
        <w:spacing w:line="580" w:lineRule="exac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部门预算安排及资金分配拨付</w:t>
      </w:r>
    </w:p>
    <w:p w14:paraId="1E07819F">
      <w:pPr>
        <w:spacing w:line="600" w:lineRule="exact"/>
        <w:ind w:firstLine="640" w:firstLineChars="200"/>
        <w:rPr>
          <w:rFonts w:ascii="仿宋" w:hAnsi="仿宋" w:eastAsia="仿宋" w:cs="仿宋"/>
          <w:b/>
          <w:bCs/>
          <w:spacing w:val="-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Arial"/>
          <w:color w:val="191919"/>
          <w:sz w:val="32"/>
          <w:szCs w:val="32"/>
        </w:rPr>
        <w:t>本年预算</w:t>
      </w:r>
      <w:r>
        <w:rPr>
          <w:rFonts w:ascii="仿宋" w:hAnsi="仿宋" w:eastAsia="仿宋" w:cs="Arial"/>
          <w:color w:val="191919"/>
          <w:sz w:val="32"/>
          <w:szCs w:val="32"/>
        </w:rPr>
        <w:t>收入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730.12万</w:t>
      </w:r>
      <w:r>
        <w:rPr>
          <w:rFonts w:ascii="仿宋" w:hAnsi="仿宋" w:eastAsia="仿宋" w:cs="Arial"/>
          <w:color w:val="191919"/>
          <w:sz w:val="32"/>
          <w:szCs w:val="32"/>
        </w:rPr>
        <w:t>元，其中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一般公共预算</w:t>
      </w:r>
      <w:r>
        <w:rPr>
          <w:rFonts w:ascii="仿宋" w:hAnsi="仿宋" w:eastAsia="仿宋" w:cs="Arial"/>
          <w:color w:val="191919"/>
          <w:sz w:val="32"/>
          <w:szCs w:val="32"/>
        </w:rPr>
        <w:t>财政拨款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730.12万</w:t>
      </w:r>
      <w:r>
        <w:rPr>
          <w:rFonts w:ascii="仿宋" w:hAnsi="仿宋" w:eastAsia="仿宋" w:cs="Arial"/>
          <w:color w:val="191919"/>
          <w:sz w:val="32"/>
          <w:szCs w:val="32"/>
        </w:rPr>
        <w:t>元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，已全部拨付到位，资金到位率100%；</w:t>
      </w:r>
      <w:r>
        <w:rPr>
          <w:rFonts w:ascii="仿宋" w:hAnsi="仿宋" w:eastAsia="仿宋" w:cs="Arial"/>
          <w:color w:val="191919"/>
          <w:sz w:val="32"/>
          <w:szCs w:val="32"/>
        </w:rPr>
        <w:t>全年总支出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730.12万</w:t>
      </w:r>
      <w:r>
        <w:rPr>
          <w:rFonts w:ascii="仿宋" w:hAnsi="仿宋" w:eastAsia="仿宋" w:cs="Arial"/>
          <w:color w:val="191919"/>
          <w:sz w:val="32"/>
          <w:szCs w:val="32"/>
        </w:rPr>
        <w:t>元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，</w:t>
      </w:r>
      <w:r>
        <w:rPr>
          <w:rFonts w:ascii="仿宋" w:hAnsi="仿宋" w:eastAsia="仿宋" w:cs="Arial"/>
          <w:color w:val="191919"/>
          <w:sz w:val="32"/>
          <w:szCs w:val="32"/>
        </w:rPr>
        <w:t>其中：基本支出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502.09万</w:t>
      </w:r>
      <w:r>
        <w:rPr>
          <w:rFonts w:ascii="仿宋" w:hAnsi="仿宋" w:eastAsia="仿宋" w:cs="Arial"/>
          <w:color w:val="191919"/>
          <w:sz w:val="32"/>
          <w:szCs w:val="32"/>
        </w:rPr>
        <w:t>元（工资福利支出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439.58万</w:t>
      </w:r>
      <w:r>
        <w:rPr>
          <w:rFonts w:ascii="仿宋" w:hAnsi="仿宋" w:eastAsia="仿宋" w:cs="Arial"/>
          <w:color w:val="191919"/>
          <w:sz w:val="32"/>
          <w:szCs w:val="32"/>
        </w:rPr>
        <w:t>元，商品和服务支出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24.16万</w:t>
      </w:r>
      <w:r>
        <w:rPr>
          <w:rFonts w:ascii="仿宋" w:hAnsi="仿宋" w:eastAsia="仿宋" w:cs="Arial"/>
          <w:color w:val="191919"/>
          <w:sz w:val="32"/>
          <w:szCs w:val="32"/>
        </w:rPr>
        <w:t>元，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对个人和家庭补助支出35.12万元，</w:t>
      </w:r>
      <w:r>
        <w:rPr>
          <w:rFonts w:ascii="仿宋" w:hAnsi="仿宋" w:eastAsia="仿宋" w:cs="Arial"/>
          <w:color w:val="191919"/>
          <w:sz w:val="32"/>
          <w:szCs w:val="32"/>
        </w:rPr>
        <w:t>资本性支出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3.23万</w:t>
      </w:r>
      <w:r>
        <w:rPr>
          <w:rFonts w:ascii="仿宋" w:hAnsi="仿宋" w:eastAsia="仿宋" w:cs="Arial"/>
          <w:color w:val="191919"/>
          <w:sz w:val="32"/>
          <w:szCs w:val="32"/>
        </w:rPr>
        <w:t>元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）；项目支出228.03万元（其中：</w:t>
      </w:r>
      <w:r>
        <w:rPr>
          <w:rFonts w:ascii="仿宋" w:hAnsi="仿宋" w:eastAsia="仿宋" w:cs="Arial"/>
          <w:color w:val="191919"/>
          <w:sz w:val="32"/>
          <w:szCs w:val="32"/>
        </w:rPr>
        <w:t>商品和服务支出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228.03万元</w:t>
      </w:r>
      <w:r>
        <w:rPr>
          <w:rFonts w:ascii="仿宋" w:hAnsi="仿宋" w:eastAsia="仿宋" w:cs="Arial"/>
          <w:color w:val="191919"/>
          <w:sz w:val="32"/>
          <w:szCs w:val="32"/>
        </w:rPr>
        <w:t>）</w:t>
      </w:r>
      <w:r>
        <w:rPr>
          <w:rFonts w:hint="eastAsia" w:ascii="仿宋" w:hAnsi="仿宋" w:eastAsia="仿宋" w:cs="Arial"/>
          <w:color w:val="191919"/>
          <w:sz w:val="32"/>
          <w:szCs w:val="32"/>
        </w:rPr>
        <w:t>，拨付资金已全部执行，执行率100%，本年资金无结余。</w:t>
      </w:r>
    </w:p>
    <w:p w14:paraId="5AC3D16F">
      <w:pPr>
        <w:spacing w:line="600" w:lineRule="exact"/>
        <w:ind w:firstLine="635" w:firstLineChars="200"/>
        <w:rPr>
          <w:rFonts w:ascii="仿宋" w:hAnsi="仿宋" w:eastAsia="仿宋" w:cs="仿宋"/>
          <w:b/>
          <w:bCs/>
          <w:spacing w:val="-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pacing w:val="-2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/>
          <w:b/>
          <w:bCs/>
          <w:sz w:val="32"/>
          <w:szCs w:val="32"/>
        </w:rPr>
        <w:t>三）部门财务管理及专项监督检查情况</w:t>
      </w:r>
    </w:p>
    <w:p w14:paraId="51A00400">
      <w:pPr>
        <w:spacing w:line="560" w:lineRule="exact"/>
        <w:ind w:firstLine="632" w:firstLineChars="200"/>
        <w:jc w:val="left"/>
        <w:rPr>
          <w:rFonts w:ascii="仿宋" w:hAnsi="仿宋" w:eastAsia="仿宋" w:cs="仿宋"/>
          <w:spacing w:val="-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-2"/>
          <w:sz w:val="32"/>
          <w:szCs w:val="32"/>
          <w:shd w:val="clear" w:color="auto" w:fill="FFFFFF"/>
        </w:rPr>
        <w:t>1、为进一步加强单位财务管理，建立健全财务制度。</w:t>
      </w:r>
    </w:p>
    <w:p w14:paraId="1F9F32E0">
      <w:pPr>
        <w:spacing w:line="560" w:lineRule="exact"/>
        <w:ind w:firstLine="632" w:firstLineChars="200"/>
        <w:jc w:val="left"/>
        <w:rPr>
          <w:rFonts w:ascii="仿宋" w:hAnsi="仿宋" w:eastAsia="仿宋" w:cs="仿宋"/>
          <w:spacing w:val="-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-2"/>
          <w:sz w:val="32"/>
          <w:szCs w:val="32"/>
          <w:shd w:val="clear" w:color="auto" w:fill="FFFFFF"/>
        </w:rPr>
        <w:t>为加强预算管理、规范财务行为，制定了《预算管理制度》、《财务管理制度》、《政府采购业务管理制度》等管理办法，建立了部门支出内控制度，并得到有效执行。</w:t>
      </w:r>
    </w:p>
    <w:p w14:paraId="7F23B014">
      <w:pPr>
        <w:spacing w:line="560" w:lineRule="exact"/>
        <w:ind w:firstLine="632" w:firstLineChars="200"/>
        <w:jc w:val="left"/>
        <w:rPr>
          <w:rFonts w:ascii="仿宋" w:hAnsi="仿宋" w:eastAsia="仿宋" w:cs="仿宋"/>
          <w:spacing w:val="-2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-2"/>
          <w:sz w:val="32"/>
          <w:szCs w:val="32"/>
          <w:shd w:val="clear" w:color="auto" w:fill="FFFFFF"/>
        </w:rPr>
        <w:t>2、进行项目绩效运行监控</w:t>
      </w:r>
    </w:p>
    <w:p w14:paraId="46046C72">
      <w:pPr>
        <w:spacing w:line="560" w:lineRule="exact"/>
        <w:ind w:firstLine="632" w:firstLineChars="200"/>
        <w:jc w:val="left"/>
        <w:rPr>
          <w:rFonts w:ascii="仿宋_GB2312" w:hAnsi="仿宋_GB2312" w:eastAsia="仿宋" w:cs="仿宋_GB2312"/>
          <w:sz w:val="32"/>
          <w:szCs w:val="32"/>
        </w:rPr>
      </w:pPr>
      <w:r>
        <w:rPr>
          <w:rFonts w:ascii="仿宋" w:hAnsi="仿宋" w:eastAsia="仿宋" w:cs="仿宋"/>
          <w:spacing w:val="-2"/>
          <w:sz w:val="32"/>
          <w:szCs w:val="32"/>
          <w:shd w:val="clear" w:color="auto" w:fill="FFFFFF"/>
        </w:rPr>
        <w:t>我</w:t>
      </w:r>
      <w:r>
        <w:rPr>
          <w:rFonts w:hint="eastAsia" w:ascii="仿宋" w:hAnsi="仿宋" w:eastAsia="仿宋" w:cs="仿宋"/>
          <w:spacing w:val="-2"/>
          <w:sz w:val="32"/>
          <w:szCs w:val="32"/>
          <w:shd w:val="clear" w:color="auto" w:fill="FFFFFF"/>
        </w:rPr>
        <w:t>中心</w:t>
      </w:r>
      <w:r>
        <w:rPr>
          <w:rFonts w:ascii="仿宋" w:hAnsi="仿宋" w:eastAsia="仿宋" w:cs="仿宋"/>
          <w:spacing w:val="-2"/>
          <w:sz w:val="32"/>
          <w:szCs w:val="32"/>
          <w:shd w:val="clear" w:color="auto" w:fill="FFFFFF"/>
        </w:rPr>
        <w:t>坚持对项目实施情况和预算执行情况进行定期或不定期的监督检查，对存在的问题及时发现、纠正、整改，确保项目经费的安全、有效、合理使用，保证项目按照预算全面完成</w:t>
      </w:r>
      <w:r>
        <w:rPr>
          <w:rFonts w:hint="eastAsia" w:ascii="仿宋" w:hAnsi="仿宋" w:eastAsia="仿宋" w:cs="仿宋"/>
          <w:spacing w:val="-2"/>
          <w:sz w:val="32"/>
          <w:szCs w:val="32"/>
          <w:shd w:val="clear" w:color="auto" w:fill="FFFFFF"/>
        </w:rPr>
        <w:t>。</w:t>
      </w:r>
    </w:p>
    <w:p w14:paraId="0928ECE4">
      <w:pPr>
        <w:snapToGrid w:val="0"/>
        <w:spacing w:line="58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二、绩效目标实现情况</w:t>
      </w:r>
    </w:p>
    <w:p w14:paraId="189A925F">
      <w:pPr>
        <w:snapToGrid w:val="0"/>
        <w:spacing w:line="580" w:lineRule="exac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(一)部门整体绩效目标实现情况</w:t>
      </w:r>
    </w:p>
    <w:p w14:paraId="531B907A">
      <w:pPr>
        <w:snapToGrid w:val="0"/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今年以来，县融媒体中心在县委、县政府的坚强领导下，在县委宣传部的精心指导下，按照“严纪律、优作风、强落实”工作要求，按照“一五五四六”发展思路，紧紧围绕全县中心工作，强力推进新闻宣传、舆论引导、社会监督等工作，努力为隆尧高质量赶超发展营造浓厚的舆论氛围。</w:t>
      </w:r>
    </w:p>
    <w:p w14:paraId="260C642C">
      <w:pPr>
        <w:snapToGrid w:val="0"/>
        <w:spacing w:line="580" w:lineRule="exac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1、围绕中心、主动发声，全力提升舆论引导能力</w:t>
      </w:r>
    </w:p>
    <w:p w14:paraId="6A5B7DE0">
      <w:pPr>
        <w:snapToGrid w:val="0"/>
        <w:spacing w:line="580" w:lineRule="exact"/>
        <w:ind w:firstLine="640" w:firstLineChars="200"/>
      </w:pPr>
      <w:r>
        <w:rPr>
          <w:rFonts w:hint="eastAsia" w:ascii="仿宋" w:hAnsi="仿宋" w:eastAsia="仿宋"/>
          <w:sz w:val="32"/>
          <w:szCs w:val="32"/>
        </w:rPr>
        <w:t>紧紧围绕全县发展大局和县委、县政府中心工作，充分利用《隆尧新闻》栏目、《今日隆尧》报、“隆尧发布”“隆尧广电”微信公众号、智慧隆尧、冀云隆尧客户端、《隆尧之声》三级微信矩阵、电视滚动字幕、户外大屏等载体，积极开展新闻宣传，截至目前，县电视台《隆尧新闻》栏目播发190期，发稿2043条；《今日隆尧》报编排50期，发稿1650篇；《隆尧发布》公众号推出660期，发稿3308篇；《隆尧广电》公众号推出280期，发稿1297篇。</w:t>
      </w:r>
    </w:p>
    <w:p w14:paraId="179143DF">
      <w:pPr>
        <w:snapToGrid w:val="0"/>
        <w:spacing w:line="580" w:lineRule="exact"/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2、精心谋划、多点开花，深入宣传贯彻党的二十大精神</w:t>
      </w:r>
    </w:p>
    <w:p w14:paraId="76EDBD9F">
      <w:pPr>
        <w:pStyle w:val="9"/>
        <w:spacing w:line="560" w:lineRule="exact"/>
        <w:ind w:firstLine="640" w:firstLineChars="200"/>
        <w:rPr>
          <w:rFonts w:ascii="仿宋_GB2312" w:hAnsi="黑体" w:cs="黑体"/>
        </w:rPr>
      </w:pPr>
      <w:r>
        <w:rPr>
          <w:rFonts w:hint="eastAsia" w:ascii="仿宋_GB2312" w:hAnsi="黑体" w:cs="黑体"/>
        </w:rPr>
        <w:t>在隆尧电视台、隆尧发布微信公众号，相继开办《全面深入学习宣传贯彻党的二十大精神》《新时代新征程新伟业》《撸起袖子加油干 风雨无阻向前行》《学习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二十大精神进行时》等栏目，刊播、发布解读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二十大精神稿件38篇，贯彻落实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二十大精神一线稿件54篇，学习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二十大精神稿件30篇，宣传党的二十大精神稿件20篇，共计142篇。</w:t>
      </w:r>
    </w:p>
    <w:p w14:paraId="3A48A52A">
      <w:pPr>
        <w:pStyle w:val="9"/>
        <w:spacing w:after="0" w:line="560" w:lineRule="exact"/>
        <w:ind w:firstLine="643" w:firstLineChars="200"/>
        <w:rPr>
          <w:rFonts w:ascii="仿宋" w:hAnsi="仿宋" w:eastAsia="仿宋"/>
          <w:b/>
          <w:bCs/>
          <w:szCs w:val="32"/>
        </w:rPr>
      </w:pPr>
      <w:r>
        <w:rPr>
          <w:rFonts w:hint="eastAsia" w:ascii="仿宋" w:hAnsi="仿宋" w:eastAsia="仿宋"/>
          <w:b/>
          <w:bCs/>
          <w:szCs w:val="32"/>
        </w:rPr>
        <w:t>3、拓宽渠道、深挖内涵，努力打造优秀栏目和作品</w:t>
      </w:r>
    </w:p>
    <w:p w14:paraId="71F7EC4E">
      <w:pPr>
        <w:pStyle w:val="9"/>
        <w:spacing w:after="0" w:line="560" w:lineRule="exact"/>
        <w:ind w:firstLine="640" w:firstLineChars="200"/>
        <w:rPr>
          <w:rFonts w:ascii="仿宋_GB2312" w:hAnsi="黑体" w:cs="黑体"/>
        </w:rPr>
      </w:pPr>
      <w:r>
        <w:rPr>
          <w:rFonts w:hint="eastAsia" w:ascii="仿宋_GB2312" w:hAnsi="黑体" w:cs="黑体"/>
        </w:rPr>
        <w:t>一是开办优秀专题栏目，深入开展社会宣传。二是全力打造优秀微视频作品，提高媒体传播力、影响力。三是配合县有关部门开展专项督查宣传。四是为推进民生政策宣传。五是为推进中央和省市县委重大部署的落实，解决人民群众反映的热点难点问题。</w:t>
      </w:r>
    </w:p>
    <w:p w14:paraId="13B6C2BB">
      <w:pPr>
        <w:pStyle w:val="9"/>
        <w:spacing w:after="0" w:line="560" w:lineRule="exact"/>
        <w:ind w:firstLine="643" w:firstLineChars="200"/>
        <w:rPr>
          <w:rFonts w:ascii="仿宋" w:hAnsi="仿宋" w:eastAsia="仿宋"/>
          <w:b/>
          <w:bCs/>
          <w:szCs w:val="32"/>
        </w:rPr>
      </w:pPr>
      <w:r>
        <w:rPr>
          <w:rFonts w:hint="eastAsia" w:ascii="仿宋" w:hAnsi="仿宋" w:eastAsia="仿宋"/>
          <w:b/>
          <w:bCs/>
          <w:szCs w:val="32"/>
        </w:rPr>
        <w:t>4、发挥新媒体作用，利用“两微两端”平台实施网络宣传</w:t>
      </w:r>
    </w:p>
    <w:p w14:paraId="70ADAE7D">
      <w:pPr>
        <w:pStyle w:val="9"/>
        <w:spacing w:line="560" w:lineRule="exact"/>
        <w:ind w:firstLine="640" w:firstLineChars="200"/>
        <w:rPr>
          <w:rFonts w:ascii="仿宋_GB2312" w:hAnsi="黑体" w:cs="黑体"/>
        </w:rPr>
      </w:pPr>
      <w:r>
        <w:rPr>
          <w:rFonts w:hint="eastAsia" w:ascii="仿宋_GB2312" w:hAnsi="黑体" w:cs="黑体"/>
        </w:rPr>
        <w:t>“两微两端”即：隆尧融媒微博、隆尧广电微信公众号、冀云隆尧客户端和智慧隆尧客户端。通过 “两微两端”将时政新闻和便民信息及时快速的传达给群众，让群众在第一时间了解国家大事，掌握政策动向，关注便民信息。本年利用各平台共发布信息5267条。其中，隆尧融媒微博发布1280条，冀云隆尧客户端发布1146条，智慧隆尧客户端发布1058条，隆尧广电公众号发布1370条，学习强国发布258条，抖音平台“隆尧融媒”抖音号发布155条。</w:t>
      </w:r>
    </w:p>
    <w:p w14:paraId="76345E89">
      <w:pPr>
        <w:ind w:firstLine="640" w:firstLineChars="200"/>
        <w:rPr>
          <w:rFonts w:ascii="仿宋_GB2312" w:hAnsi="黑体" w:eastAsia="仿宋_GB2312" w:cs="黑体"/>
          <w:sz w:val="32"/>
          <w:szCs w:val="22"/>
        </w:rPr>
      </w:pPr>
      <w:r>
        <w:rPr>
          <w:rFonts w:hint="eastAsia" w:ascii="仿宋_GB2312" w:hAnsi="黑体" w:eastAsia="仿宋_GB2312" w:cs="黑体"/>
          <w:sz w:val="32"/>
          <w:szCs w:val="22"/>
        </w:rPr>
        <w:t>我单位积极履职，强化管理，定期对预算绩效目标进行监控，绩效目标执行未出现偏差，较好地完成了年度绩效目标，有效提升了县级新闻媒体的传播力、引导力、影响力、公信力。</w:t>
      </w:r>
    </w:p>
    <w:p w14:paraId="3F7AB7AD">
      <w:pPr>
        <w:pStyle w:val="9"/>
      </w:pPr>
      <w:r>
        <w:rPr>
          <w:rFonts w:hint="eastAsia" w:ascii="仿宋_GB2312" w:hAnsi="黑体" w:cs="黑体"/>
        </w:rPr>
        <w:t xml:space="preserve">    存在问题：用非税收入安排的项目，实际收入数与年初预算数差距较大，由于受大环境影响，人员不能聚集、大型活动不能举行，各商业实体受到冲击，广告量锐减，广告收入减少。</w:t>
      </w:r>
    </w:p>
    <w:p w14:paraId="59226DA9">
      <w:pPr>
        <w:pStyle w:val="9"/>
        <w:spacing w:line="560" w:lineRule="exact"/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三、绩效目标设定质量情况</w:t>
      </w:r>
    </w:p>
    <w:p w14:paraId="1BD7036B">
      <w:pPr>
        <w:pStyle w:val="9"/>
        <w:spacing w:after="0" w:line="560" w:lineRule="exact"/>
        <w:ind w:firstLine="643" w:firstLineChars="200"/>
        <w:rPr>
          <w:rFonts w:ascii="仿宋_GB2312" w:hAnsi="黑体" w:cs="黑体"/>
          <w:b/>
          <w:bCs/>
        </w:rPr>
      </w:pPr>
      <w:r>
        <w:rPr>
          <w:rFonts w:hint="eastAsia" w:ascii="仿宋_GB2312" w:hAnsi="黑体" w:cs="黑体"/>
          <w:b/>
          <w:bCs/>
        </w:rPr>
        <w:t>（一）设置情况分析</w:t>
      </w:r>
    </w:p>
    <w:p w14:paraId="76D22C4A">
      <w:pPr>
        <w:pStyle w:val="9"/>
        <w:spacing w:after="0" w:line="560" w:lineRule="exact"/>
        <w:ind w:firstLine="640" w:firstLineChars="200"/>
        <w:rPr>
          <w:rFonts w:ascii="仿宋_GB2312" w:hAnsi="黑体" w:cs="黑体"/>
        </w:rPr>
      </w:pPr>
      <w:r>
        <w:rPr>
          <w:rFonts w:hint="eastAsia" w:ascii="仿宋_GB2312" w:hAnsi="黑体" w:cs="黑体"/>
        </w:rPr>
        <w:t>项目设置情况包括项目立项情况和绩效自评情况：</w:t>
      </w:r>
    </w:p>
    <w:p w14:paraId="4AA0780C">
      <w:pPr>
        <w:pStyle w:val="9"/>
        <w:numPr>
          <w:ilvl w:val="0"/>
          <w:numId w:val="2"/>
        </w:numPr>
        <w:spacing w:after="0" w:line="560" w:lineRule="exact"/>
        <w:ind w:firstLine="643" w:firstLineChars="200"/>
        <w:rPr>
          <w:rFonts w:ascii="仿宋_GB2312" w:hAnsi="黑体" w:cs="黑体"/>
        </w:rPr>
      </w:pPr>
      <w:r>
        <w:rPr>
          <w:rFonts w:hint="eastAsia" w:ascii="仿宋_GB2312" w:hAnsi="黑体" w:cs="黑体"/>
          <w:b/>
          <w:bCs/>
        </w:rPr>
        <w:t>项目立项情况：</w:t>
      </w:r>
      <w:r>
        <w:rPr>
          <w:rFonts w:hint="eastAsia" w:ascii="仿宋_GB2312" w:hAnsi="黑体" w:cs="黑体"/>
        </w:rPr>
        <w:t>项目立项基本符合政府经济和社会总体发展规划，工作活动与部门职责、工作规划和重点工作相关；</w:t>
      </w:r>
    </w:p>
    <w:p w14:paraId="32543C13">
      <w:pPr>
        <w:pStyle w:val="9"/>
        <w:numPr>
          <w:ilvl w:val="0"/>
          <w:numId w:val="2"/>
        </w:numPr>
        <w:spacing w:after="0" w:line="560" w:lineRule="exact"/>
        <w:ind w:firstLine="643" w:firstLineChars="200"/>
        <w:rPr>
          <w:rFonts w:ascii="仿宋_GB2312" w:hAnsi="黑体" w:cs="黑体"/>
        </w:rPr>
      </w:pPr>
      <w:r>
        <w:rPr>
          <w:rFonts w:hint="eastAsia" w:ascii="仿宋_GB2312" w:hAnsi="黑体" w:cs="黑体"/>
          <w:b/>
          <w:bCs/>
        </w:rPr>
        <w:t>绩效自评情况：</w:t>
      </w:r>
      <w:r>
        <w:rPr>
          <w:rFonts w:hint="eastAsia" w:ascii="仿宋_GB2312" w:hAnsi="黑体" w:cs="黑体"/>
        </w:rPr>
        <w:t>绩效目标基本合理，内容真实完整，个别绩效指标缺乏数据支持和可行的分析测评，绩效指标体系有待完善。</w:t>
      </w:r>
    </w:p>
    <w:p w14:paraId="2246422F">
      <w:pPr>
        <w:snapToGrid w:val="0"/>
        <w:spacing w:line="560" w:lineRule="exact"/>
        <w:ind w:left="420" w:left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_GB2312" w:hAnsi="黑体" w:eastAsia="仿宋_GB2312" w:cs="黑体"/>
          <w:b/>
          <w:bCs/>
          <w:sz w:val="32"/>
          <w:szCs w:val="22"/>
        </w:rPr>
        <w:t>二）管理情况分析</w:t>
      </w:r>
    </w:p>
    <w:p w14:paraId="2F3D8FFF">
      <w:pPr>
        <w:pStyle w:val="9"/>
        <w:spacing w:after="0" w:line="560" w:lineRule="exact"/>
        <w:ind w:firstLine="640" w:firstLineChars="200"/>
      </w:pPr>
      <w:r>
        <w:rPr>
          <w:rFonts w:hint="eastAsia"/>
        </w:rPr>
        <w:t>管理包括资金管理和项目管理：</w:t>
      </w:r>
    </w:p>
    <w:p w14:paraId="5E489F72">
      <w:pPr>
        <w:pStyle w:val="9"/>
        <w:numPr>
          <w:ilvl w:val="0"/>
          <w:numId w:val="3"/>
        </w:numPr>
        <w:spacing w:after="0" w:line="560" w:lineRule="exact"/>
        <w:ind w:firstLine="643" w:firstLineChars="200"/>
      </w:pPr>
      <w:r>
        <w:rPr>
          <w:rFonts w:hint="eastAsia" w:ascii="仿宋_GB2312" w:hAnsi="黑体" w:cs="黑体"/>
          <w:b/>
          <w:bCs/>
        </w:rPr>
        <w:t>资金管理</w:t>
      </w:r>
      <w:r>
        <w:rPr>
          <w:rFonts w:hint="eastAsia"/>
        </w:rPr>
        <w:t>：资金使用符合财务管理制度规定，资金支出程序规范、手续齐全，会计核算符合《会计法》、《政府会计制度》等相关制度规定；</w:t>
      </w:r>
    </w:p>
    <w:p w14:paraId="5129401C">
      <w:pPr>
        <w:pStyle w:val="9"/>
        <w:numPr>
          <w:ilvl w:val="0"/>
          <w:numId w:val="3"/>
        </w:numPr>
        <w:spacing w:after="0" w:line="560" w:lineRule="exact"/>
        <w:ind w:firstLine="643" w:firstLineChars="200"/>
      </w:pPr>
      <w:r>
        <w:rPr>
          <w:rFonts w:hint="eastAsia" w:ascii="仿宋_GB2312" w:hAnsi="黑体" w:cs="黑体"/>
          <w:b/>
          <w:bCs/>
        </w:rPr>
        <w:t>项目管理：</w:t>
      </w:r>
      <w:r>
        <w:rPr>
          <w:rFonts w:hint="eastAsia"/>
        </w:rPr>
        <w:t>项目责任机制健全，项目管理和责任落实到有关人，管理制度和措施明确、清晰、具有可操作性，能保障工作活动顺利实施。</w:t>
      </w:r>
    </w:p>
    <w:p w14:paraId="6669A428">
      <w:pPr>
        <w:snapToGrid w:val="0"/>
        <w:spacing w:line="560" w:lineRule="exact"/>
        <w:ind w:left="420" w:left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/>
          <w:b/>
          <w:bCs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</w:rPr>
        <w:t>（三）产出情况分析</w:t>
      </w:r>
    </w:p>
    <w:p w14:paraId="398AD82A">
      <w:pPr>
        <w:pStyle w:val="9"/>
        <w:spacing w:after="0" w:line="560" w:lineRule="exact"/>
        <w:rPr>
          <w:rFonts w:ascii="仿宋_GB2312" w:hAnsi="黑体" w:cs="黑体"/>
        </w:rPr>
      </w:pPr>
      <w:r>
        <w:rPr>
          <w:rFonts w:hint="eastAsia"/>
        </w:rPr>
        <w:t xml:space="preserve">    </w:t>
      </w:r>
      <w:r>
        <w:rPr>
          <w:rFonts w:hint="eastAsia" w:ascii="仿宋_GB2312" w:hAnsi="黑体" w:cs="黑体"/>
        </w:rPr>
        <w:t xml:space="preserve"> 产出情况包括数量指标、质量指标、时效指标，根据实际或未来可能产生的经济效益、社会效益、生态效益进行客观、综合分析评定。</w:t>
      </w:r>
    </w:p>
    <w:p w14:paraId="72183653">
      <w:pPr>
        <w:pStyle w:val="9"/>
        <w:spacing w:after="0" w:line="560" w:lineRule="exact"/>
        <w:ind w:firstLine="640" w:firstLineChars="200"/>
      </w:pPr>
      <w:r>
        <w:rPr>
          <w:rFonts w:hint="eastAsia" w:ascii="仿宋_GB2312" w:hAnsi="黑体" w:cs="黑体"/>
        </w:rPr>
        <w:t>1</w:t>
      </w:r>
      <w:r>
        <w:rPr>
          <w:rFonts w:hint="eastAsia" w:ascii="仿宋_GB2312" w:hAnsi="黑体" w:cs="黑体"/>
          <w:b/>
          <w:bCs/>
        </w:rPr>
        <w:t>、对内宣传扎实有力</w:t>
      </w:r>
      <w:r>
        <w:rPr>
          <w:rFonts w:hint="eastAsia" w:ascii="仿宋_GB2312" w:hAnsi="黑体" w:cs="黑体"/>
        </w:rPr>
        <w:t>。县融媒体中心紧紧围绕全县中心工作，充分发挥“喉舌”作用和“耳目”功能，扎实组织开展主题宣传活动，新闻宣传工作顺利推进并取得良好的成效。在隆尧电视台、隆尧发布微信公众号，相继开办《全面深入学习宣传贯彻党的二十大精神》《新时代新征程新伟业》《撸起袖子加油干 风雨无阻向前行》《学习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二十大精神进行时》等栏目，刊播、发布解读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二十大精神稿件38篇，贯彻落实</w:t>
      </w:r>
      <w:r>
        <w:rPr>
          <w:rFonts w:hint="eastAsia" w:ascii="仿宋_GB2312" w:hAnsi="黑体" w:cs="黑体"/>
          <w:lang w:eastAsia="zh-CN"/>
        </w:rPr>
        <w:t>党的</w:t>
      </w:r>
      <w:r>
        <w:rPr>
          <w:rFonts w:hint="eastAsia" w:ascii="仿宋_GB2312" w:hAnsi="黑体" w:cs="黑体"/>
        </w:rPr>
        <w:t>二十大精神一线稿件54篇，学习</w:t>
      </w:r>
      <w:r>
        <w:rPr>
          <w:rFonts w:hint="eastAsia" w:ascii="仿宋_GB2312" w:hAnsi="黑体" w:cs="黑体"/>
          <w:lang w:eastAsia="zh-CN"/>
        </w:rPr>
        <w:t>党的</w:t>
      </w:r>
      <w:bookmarkStart w:id="0" w:name="_GoBack"/>
      <w:bookmarkEnd w:id="0"/>
      <w:r>
        <w:rPr>
          <w:rFonts w:hint="eastAsia" w:ascii="仿宋_GB2312" w:hAnsi="黑体" w:cs="黑体"/>
        </w:rPr>
        <w:t>二十大精神稿件30篇，宣传党的二十大精神稿件20篇，共计142篇。</w:t>
      </w:r>
      <w:r>
        <w:rPr>
          <w:rFonts w:hint="eastAsia" w:ascii="仿宋_GB2312" w:hAnsi="楷体" w:cs="黑体"/>
        </w:rPr>
        <w:t>创做了</w:t>
      </w:r>
      <w:r>
        <w:rPr>
          <w:rFonts w:hint="eastAsia" w:ascii="仿宋_GB2312" w:hAnsi="黑体"/>
        </w:rPr>
        <w:t>融媒短视频</w:t>
      </w:r>
      <w:r>
        <w:rPr>
          <w:rFonts w:hint="eastAsia" w:ascii="仿宋_GB2312"/>
        </w:rPr>
        <w:t>《尧乡四韵》</w:t>
      </w:r>
      <w:r>
        <w:rPr>
          <w:rFonts w:hint="eastAsia" w:ascii="仿宋_GB2312" w:hAnsi="宋体"/>
        </w:rPr>
        <w:t>、</w:t>
      </w:r>
      <w:r>
        <w:rPr>
          <w:rFonts w:hint="eastAsia" w:ascii="仿宋_GB2312" w:hAnsi="楷体" w:cs="黑体"/>
        </w:rPr>
        <w:t>《隔世之感》</w:t>
      </w:r>
      <w:r>
        <w:rPr>
          <w:rFonts w:hint="eastAsia" w:ascii="楷体" w:hAnsi="楷体" w:eastAsia="楷体" w:cs="黑体"/>
        </w:rPr>
        <w:t>，</w:t>
      </w:r>
      <w:r>
        <w:rPr>
          <w:rFonts w:hint="eastAsia" w:ascii="仿宋_GB2312" w:hAnsi="宋体"/>
        </w:rPr>
        <w:t>音乐MV</w:t>
      </w:r>
      <w:r>
        <w:rPr>
          <w:rFonts w:hint="eastAsia" w:ascii="仿宋_GB2312" w:hAnsi="黑体"/>
        </w:rPr>
        <w:t>等优秀作品</w:t>
      </w:r>
      <w:r>
        <w:rPr>
          <w:rFonts w:hint="eastAsia" w:ascii="仿宋_GB2312" w:hAnsi="宋体"/>
        </w:rPr>
        <w:t>《领航》</w:t>
      </w:r>
      <w:r>
        <w:rPr>
          <w:rFonts w:hint="eastAsia" w:ascii="仿宋_GB2312" w:hAnsi="楷体" w:cs="黑体"/>
        </w:rPr>
        <w:t>等作品在全市评比中均取得优异成绩，</w:t>
      </w:r>
      <w:r>
        <w:rPr>
          <w:rFonts w:hint="eastAsia" w:ascii="仿宋_GB2312" w:hAnsi="黑体"/>
        </w:rPr>
        <w:t>尤其是</w:t>
      </w:r>
      <w:r>
        <w:rPr>
          <w:rFonts w:hint="eastAsia" w:ascii="仿宋_GB2312" w:hAnsiTheme="majorEastAsia"/>
        </w:rPr>
        <w:t>视频宣传片</w:t>
      </w:r>
      <w:r>
        <w:rPr>
          <w:rFonts w:hint="eastAsia" w:ascii="仿宋_GB2312" w:hAnsi="黑体"/>
        </w:rPr>
        <w:t>《隆尧：乐享冰雪 助力冬奥》</w:t>
      </w:r>
      <w:r>
        <w:rPr>
          <w:rFonts w:hint="eastAsia" w:ascii="仿宋_GB2312" w:hAnsiTheme="majorEastAsia"/>
        </w:rPr>
        <w:t>在全市融媒产品评比中荣获第一名。</w:t>
      </w:r>
    </w:p>
    <w:p w14:paraId="0B6BD7BB">
      <w:pPr>
        <w:pStyle w:val="9"/>
        <w:spacing w:after="0" w:line="560" w:lineRule="exact"/>
        <w:ind w:firstLine="640" w:firstLineChars="200"/>
      </w:pPr>
      <w:r>
        <w:rPr>
          <w:rFonts w:hint="eastAsia"/>
        </w:rPr>
        <w:t>2、</w:t>
      </w:r>
      <w:r>
        <w:rPr>
          <w:rFonts w:hint="eastAsia"/>
          <w:b/>
          <w:bCs/>
        </w:rPr>
        <w:t>外宣工作成效突出</w:t>
      </w:r>
      <w:r>
        <w:rPr>
          <w:rFonts w:hint="eastAsia"/>
        </w:rPr>
        <w:t>。积</w:t>
      </w:r>
      <w:r>
        <w:rPr>
          <w:rFonts w:hint="eastAsia" w:ascii="仿宋_GB2312" w:hAnsi="楷体" w:cs="黑体"/>
        </w:rPr>
        <w:t>极向上、向外推介隆尧，提升隆尧知名度和美誉度。</w:t>
      </w:r>
      <w:r>
        <w:rPr>
          <w:rFonts w:hint="eastAsia"/>
        </w:rPr>
        <w:t>通过</w:t>
      </w:r>
      <w:r>
        <w:t>人民日报、新华社、中央广播电视总台</w:t>
      </w:r>
      <w:r>
        <w:rPr>
          <w:rFonts w:hint="eastAsia"/>
        </w:rPr>
        <w:t>等</w:t>
      </w:r>
      <w:r>
        <w:t>中央</w:t>
      </w:r>
      <w:r>
        <w:rPr>
          <w:rFonts w:hint="eastAsia"/>
        </w:rPr>
        <w:t>媒体和</w:t>
      </w:r>
      <w:r>
        <w:t>河北日报、河北广播电视台</w:t>
      </w:r>
      <w:r>
        <w:rPr>
          <w:rFonts w:hint="eastAsia"/>
        </w:rPr>
        <w:t>等</w:t>
      </w:r>
      <w:r>
        <w:t>省级主要媒体共刊</w:t>
      </w:r>
      <w:r>
        <w:rPr>
          <w:rFonts w:hint="eastAsia"/>
        </w:rPr>
        <w:t>发、刊</w:t>
      </w:r>
      <w:r>
        <w:t>播宣传隆尧稿件</w:t>
      </w:r>
      <w:r>
        <w:rPr>
          <w:rFonts w:hint="eastAsia"/>
        </w:rPr>
        <w:t>495</w:t>
      </w:r>
      <w:r>
        <w:t>篇，其中在中央主要媒体刊播</w:t>
      </w:r>
      <w:r>
        <w:rPr>
          <w:rFonts w:hint="eastAsia"/>
        </w:rPr>
        <w:t>190</w:t>
      </w:r>
      <w:r>
        <w:t>篇。</w:t>
      </w:r>
    </w:p>
    <w:p w14:paraId="242257EE">
      <w:pPr>
        <w:snapToGrid w:val="0"/>
        <w:spacing w:line="560" w:lineRule="exact"/>
        <w:ind w:left="420" w:left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/>
          <w:b/>
          <w:bCs/>
        </w:rPr>
        <w:t xml:space="preserve"> </w:t>
      </w:r>
      <w:r>
        <w:rPr>
          <w:rFonts w:hint="eastAsia" w:ascii="仿宋" w:hAnsi="仿宋" w:eastAsia="仿宋"/>
          <w:b/>
          <w:bCs/>
          <w:sz w:val="32"/>
          <w:szCs w:val="32"/>
        </w:rPr>
        <w:t>（四）效果情况分析</w:t>
      </w:r>
    </w:p>
    <w:p w14:paraId="13CF689A">
      <w:pPr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社会公众或服务对象满意度：社会公众或服务对象满意度较好。</w:t>
      </w:r>
    </w:p>
    <w:p w14:paraId="49AF659B">
      <w:pPr>
        <w:pStyle w:val="9"/>
        <w:spacing w:after="0" w:line="560" w:lineRule="exact"/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综上分析，融媒体中心部门整体绩效自评得分98分。</w:t>
      </w:r>
    </w:p>
    <w:p w14:paraId="74BCB658">
      <w:pPr>
        <w:pStyle w:val="9"/>
        <w:spacing w:after="0" w:line="560" w:lineRule="exact"/>
        <w:ind w:firstLine="640" w:firstLineChars="200"/>
        <w:rPr>
          <w:rFonts w:ascii="仿宋_GB2312" w:hAnsi="黑体" w:cs="黑体"/>
        </w:rPr>
      </w:pPr>
      <w:r>
        <w:rPr>
          <w:rFonts w:hint="eastAsia" w:ascii="仿宋" w:hAnsi="仿宋" w:eastAsia="仿宋"/>
          <w:szCs w:val="32"/>
        </w:rPr>
        <w:t>存在问题：</w:t>
      </w:r>
      <w:r>
        <w:rPr>
          <w:rFonts w:hint="eastAsia" w:ascii="仿宋_GB2312" w:hAnsi="黑体" w:cs="黑体"/>
        </w:rPr>
        <w:t>个别绩效指标不能量化，缺乏数据支持和可行的分析测评，绩效指标体系有待完善。</w:t>
      </w:r>
    </w:p>
    <w:p w14:paraId="2DBBF2A2">
      <w:pPr>
        <w:snapToGrid w:val="0"/>
        <w:spacing w:line="560" w:lineRule="exact"/>
        <w:ind w:firstLine="800" w:firstLineChars="2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四、整改措施及结果应用</w:t>
      </w:r>
    </w:p>
    <w:p w14:paraId="724527EB">
      <w:pPr>
        <w:pStyle w:val="13"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1、量化并细化相应的绩效指标，以进行更准确、更完整的预算编制；</w:t>
      </w:r>
    </w:p>
    <w:p w14:paraId="66A8F2E9">
      <w:pPr>
        <w:pStyle w:val="13"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2、 规范绩效评价管理资料的收集整理，确保相关信息完整、可靠，客观公正地反映项目资金实际使用和产生的绩效状况，为今后该项目实施方向及管理方式的改进提供指导。</w:t>
      </w:r>
    </w:p>
    <w:p w14:paraId="436D3EC1">
      <w:pPr>
        <w:pStyle w:val="13"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3、加强监督，立行立改。加大对内部控制相关工作进展情况监督检查，发现问题、改进问题，及时协调解决问题。</w:t>
      </w:r>
    </w:p>
    <w:p w14:paraId="58408D22">
      <w:pPr>
        <w:pStyle w:val="13"/>
        <w:spacing w:line="560" w:lineRule="exact"/>
        <w:ind w:firstLine="640" w:firstLineChars="200"/>
        <w:jc w:val="left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4、建立健全绩效管理制度，将自评情况随部门决算公开，自觉接受社会的监督。</w:t>
      </w:r>
    </w:p>
    <w:p w14:paraId="4E7B6E56">
      <w:pPr>
        <w:snapToGrid w:val="0"/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0995B05E">
      <w:pPr>
        <w:snapToGrid w:val="0"/>
        <w:spacing w:line="580" w:lineRule="exact"/>
        <w:ind w:firstLine="5760" w:firstLineChars="1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隆尧县融媒体中心</w:t>
      </w:r>
    </w:p>
    <w:p w14:paraId="6171F697">
      <w:pPr>
        <w:snapToGrid w:val="0"/>
        <w:spacing w:line="580" w:lineRule="exact"/>
        <w:ind w:firstLine="5760" w:firstLineChars="1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2023年3月17日</w:t>
      </w:r>
    </w:p>
    <w:sectPr>
      <w:pgSz w:w="11906" w:h="16838"/>
      <w:pgMar w:top="2098" w:right="1418" w:bottom="153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1190B4"/>
    <w:multiLevelType w:val="singleLevel"/>
    <w:tmpl w:val="A01190B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DCDC8368"/>
    <w:multiLevelType w:val="singleLevel"/>
    <w:tmpl w:val="DCDC836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2129E459"/>
    <w:multiLevelType w:val="singleLevel"/>
    <w:tmpl w:val="2129E4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zM4Nzg1NTk0N2Q0NzM0ZjRmMWIxNjA0NTZlYjEwMDYifQ=="/>
  </w:docVars>
  <w:rsids>
    <w:rsidRoot w:val="00EF16A3"/>
    <w:rsid w:val="0003266D"/>
    <w:rsid w:val="000B5213"/>
    <w:rsid w:val="001400EA"/>
    <w:rsid w:val="001627CF"/>
    <w:rsid w:val="00172022"/>
    <w:rsid w:val="00176210"/>
    <w:rsid w:val="001D2D4C"/>
    <w:rsid w:val="002B509A"/>
    <w:rsid w:val="003444DB"/>
    <w:rsid w:val="00383AC5"/>
    <w:rsid w:val="003A03E0"/>
    <w:rsid w:val="003B412A"/>
    <w:rsid w:val="00432709"/>
    <w:rsid w:val="0047487F"/>
    <w:rsid w:val="00491FCD"/>
    <w:rsid w:val="004E6C05"/>
    <w:rsid w:val="004F6F9F"/>
    <w:rsid w:val="00546BCB"/>
    <w:rsid w:val="005A559F"/>
    <w:rsid w:val="005B7C01"/>
    <w:rsid w:val="005C236C"/>
    <w:rsid w:val="005C5417"/>
    <w:rsid w:val="005E6EC9"/>
    <w:rsid w:val="00602E3C"/>
    <w:rsid w:val="00605123"/>
    <w:rsid w:val="00665896"/>
    <w:rsid w:val="00693A60"/>
    <w:rsid w:val="006E7D57"/>
    <w:rsid w:val="0071336C"/>
    <w:rsid w:val="0071475B"/>
    <w:rsid w:val="00793214"/>
    <w:rsid w:val="007D43DA"/>
    <w:rsid w:val="007E50DB"/>
    <w:rsid w:val="007E661D"/>
    <w:rsid w:val="007F4797"/>
    <w:rsid w:val="007F5EE6"/>
    <w:rsid w:val="0081530B"/>
    <w:rsid w:val="008A275B"/>
    <w:rsid w:val="008C31C3"/>
    <w:rsid w:val="008E0E58"/>
    <w:rsid w:val="00941865"/>
    <w:rsid w:val="00986803"/>
    <w:rsid w:val="0099577A"/>
    <w:rsid w:val="009F1522"/>
    <w:rsid w:val="00A06D88"/>
    <w:rsid w:val="00A909F6"/>
    <w:rsid w:val="00AA64AC"/>
    <w:rsid w:val="00AB70A8"/>
    <w:rsid w:val="00AF5C06"/>
    <w:rsid w:val="00B0713E"/>
    <w:rsid w:val="00B20499"/>
    <w:rsid w:val="00B273F9"/>
    <w:rsid w:val="00B27489"/>
    <w:rsid w:val="00B8177D"/>
    <w:rsid w:val="00B86365"/>
    <w:rsid w:val="00BA723B"/>
    <w:rsid w:val="00BE032C"/>
    <w:rsid w:val="00BE07DC"/>
    <w:rsid w:val="00C242EC"/>
    <w:rsid w:val="00CE156F"/>
    <w:rsid w:val="00CE74D5"/>
    <w:rsid w:val="00D20FB9"/>
    <w:rsid w:val="00D23678"/>
    <w:rsid w:val="00D43ED6"/>
    <w:rsid w:val="00DA1AC7"/>
    <w:rsid w:val="00DC2768"/>
    <w:rsid w:val="00DE50A2"/>
    <w:rsid w:val="00DF6FF4"/>
    <w:rsid w:val="00E57322"/>
    <w:rsid w:val="00E841B7"/>
    <w:rsid w:val="00E963F0"/>
    <w:rsid w:val="00ED5E84"/>
    <w:rsid w:val="00EE0B52"/>
    <w:rsid w:val="00EF16A3"/>
    <w:rsid w:val="00F36848"/>
    <w:rsid w:val="00F57E52"/>
    <w:rsid w:val="029116EB"/>
    <w:rsid w:val="05C330CF"/>
    <w:rsid w:val="069D0573"/>
    <w:rsid w:val="07453661"/>
    <w:rsid w:val="0AB36FF4"/>
    <w:rsid w:val="0CD914B5"/>
    <w:rsid w:val="0EFB1BB6"/>
    <w:rsid w:val="135E47FE"/>
    <w:rsid w:val="13B33D27"/>
    <w:rsid w:val="1BEB1343"/>
    <w:rsid w:val="1D0205B4"/>
    <w:rsid w:val="1E8A088A"/>
    <w:rsid w:val="251D5004"/>
    <w:rsid w:val="2B4754B4"/>
    <w:rsid w:val="2B5D4288"/>
    <w:rsid w:val="370670F2"/>
    <w:rsid w:val="3A680B60"/>
    <w:rsid w:val="3C383619"/>
    <w:rsid w:val="3FCB232C"/>
    <w:rsid w:val="42A9012B"/>
    <w:rsid w:val="48862237"/>
    <w:rsid w:val="48AD209B"/>
    <w:rsid w:val="4F14297C"/>
    <w:rsid w:val="52F129C6"/>
    <w:rsid w:val="55DB7123"/>
    <w:rsid w:val="569A1834"/>
    <w:rsid w:val="583828D7"/>
    <w:rsid w:val="5C223716"/>
    <w:rsid w:val="5F705787"/>
    <w:rsid w:val="5FD5535A"/>
    <w:rsid w:val="62E775FD"/>
    <w:rsid w:val="650612B5"/>
    <w:rsid w:val="654961FB"/>
    <w:rsid w:val="679118E5"/>
    <w:rsid w:val="680D45C3"/>
    <w:rsid w:val="6DA13330"/>
    <w:rsid w:val="6F4C5934"/>
    <w:rsid w:val="71CA62E5"/>
    <w:rsid w:val="765B066F"/>
    <w:rsid w:val="7CC20586"/>
    <w:rsid w:val="7CD86248"/>
    <w:rsid w:val="7D225061"/>
    <w:rsid w:val="7E683C86"/>
    <w:rsid w:val="7F610D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/>
    </w:pPr>
    <w:rPr>
      <w:rFonts w:eastAsia="仿宋"/>
      <w:sz w:val="32"/>
    </w:rPr>
  </w:style>
  <w:style w:type="paragraph" w:styleId="3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无间隔1"/>
    <w:basedOn w:val="10"/>
    <w:next w:val="1"/>
    <w:qFormat/>
    <w:uiPriority w:val="0"/>
    <w:rPr>
      <w:szCs w:val="22"/>
    </w:rPr>
  </w:style>
  <w:style w:type="paragraph" w:customStyle="1" w:styleId="10">
    <w:name w:val="正文 New New New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paragraph" w:styleId="14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2869</Words>
  <Characters>2994</Characters>
  <Lines>21</Lines>
  <Paragraphs>6</Paragraphs>
  <TotalTime>3</TotalTime>
  <ScaleCrop>false</ScaleCrop>
  <LinksUpToDate>false</LinksUpToDate>
  <CharactersWithSpaces>3010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RQ</cp:lastModifiedBy>
  <cp:lastPrinted>2020-01-06T00:47:00Z</cp:lastPrinted>
  <dcterms:modified xsi:type="dcterms:W3CDTF">2026-05-27T08:53:35Z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16A7B8C20C044385A1EA4B0049567357</vt:lpwstr>
  </property>
  <property fmtid="{D5CDD505-2E9C-101B-9397-08002B2CF9AE}" pid="4" name="KSOTemplateDocerSaveRecord">
    <vt:lpwstr>eyJoZGlkIjoiOGMzZTJhMmY5YTk1Njg2NmQyZjE5OTFmZjI0ZDIyM2EiLCJ1c2VySWQiOiIxNTUxOTkwNTg3In0=</vt:lpwstr>
  </property>
</Properties>
</file>