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ind w:firstLine="720" w:firstLineChars="199"/>
        <w:jc w:val="center"/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  <w:t>隆尧县</w:t>
      </w: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  <w:t>融媒体中心</w:t>
      </w:r>
    </w:p>
    <w:p>
      <w:pPr>
        <w:spacing w:line="580" w:lineRule="exact"/>
        <w:ind w:firstLine="799" w:firstLineChars="199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  <w:lang w:eastAsia="zh-CN"/>
        </w:rPr>
        <w:t>“科普公园、消防主题公园、平安建设公园”</w:t>
      </w: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项目重点自评绩效报告</w:t>
      </w:r>
    </w:p>
    <w:p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>
      <w:pPr>
        <w:spacing w:line="760" w:lineRule="exact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 目 名 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eastAsia="zh-CN"/>
        </w:rPr>
        <w:t>科普公园、消防主题公园、平安建设公园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项目  </w:t>
      </w:r>
    </w:p>
    <w:p>
      <w:pPr>
        <w:spacing w:line="760" w:lineRule="exact"/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eastAsia="zh-CN"/>
        </w:rPr>
        <w:t>隆尧县融媒体中心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46.88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>万元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 价 年 度：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2022年度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李旭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</w:p>
    <w:p>
      <w:pPr>
        <w:spacing w:line="760" w:lineRule="exac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张运峰、李博、赵欣、张顺霞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</w:t>
      </w:r>
    </w:p>
    <w:p>
      <w:pPr>
        <w:rPr>
          <w:rFonts w:ascii="仿宋_GB2312" w:hAnsi="仿宋_GB2312" w:eastAsia="仿宋_GB2312" w:cs="仿宋_GB2312"/>
        </w:rPr>
      </w:pPr>
      <w:bookmarkStart w:id="0" w:name="_Toc7470_WPSOffice_Level1"/>
      <w:bookmarkStart w:id="1" w:name="_Toc5909_WPSOffice_Level1"/>
    </w:p>
    <w:bookmarkEnd w:id="0"/>
    <w:bookmarkEnd w:id="1"/>
    <w:p>
      <w:pPr>
        <w:pStyle w:val="2"/>
        <w:spacing w:line="120" w:lineRule="exact"/>
        <w:ind w:firstLine="560"/>
        <w:rPr>
          <w:rFonts w:ascii="仿宋_GB2312" w:hAnsi="仿宋_GB2312" w:eastAsia="仿宋_GB2312" w:cs="仿宋_GB2312"/>
        </w:rPr>
      </w:pP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112" w:name="_GoBack"/>
      <w:bookmarkEnd w:id="112"/>
      <w:bookmarkStart w:id="2" w:name="_Toc11301"/>
      <w:bookmarkStart w:id="3" w:name="_Toc9525"/>
      <w:bookmarkStart w:id="4" w:name="_Toc4013"/>
      <w:bookmarkStart w:id="5" w:name="_Toc6314"/>
      <w:bookmarkStart w:id="6" w:name="_Toc16913"/>
      <w:bookmarkStart w:id="7" w:name="_Toc23411"/>
      <w:bookmarkStart w:id="8" w:name="_Toc2245"/>
      <w:bookmarkStart w:id="9" w:name="_Toc13153"/>
      <w:bookmarkStart w:id="10" w:name="_Toc30335"/>
      <w:bookmarkStart w:id="11" w:name="_Toc18334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2" w:name="_Toc24784"/>
      <w:bookmarkStart w:id="13" w:name="_Toc32742"/>
      <w:bookmarkStart w:id="14" w:name="_Toc15831"/>
      <w:bookmarkStart w:id="15" w:name="_Toc22285"/>
      <w:bookmarkStart w:id="16" w:name="_Toc937"/>
      <w:bookmarkStart w:id="17" w:name="_Toc19963"/>
      <w:bookmarkStart w:id="18" w:name="_Toc30895"/>
      <w:bookmarkStart w:id="19" w:name="_Toc23957"/>
      <w:bookmarkStart w:id="20" w:name="_Toc19370"/>
      <w:bookmarkStart w:id="21" w:name="_Toc22453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bookmarkStart w:id="22" w:name="_Toc8843"/>
      <w:bookmarkStart w:id="23" w:name="_Toc15167"/>
      <w:bookmarkStart w:id="24" w:name="_Toc29308"/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隆尧县融媒体中心位于隆尧县康庄路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583号，属于全额事业单位，主要职责是：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1、开展主流舆论引导，宣传党中央决策部署、党的创新理论和社会主义核心价值观，宣传省、市中心重点工作，宣传县委和县政府工作安排；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2、负责县域内各类新闻资讯的采集和编辑；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3、开展综合服务，向基层干部提供政务服务、生活服务、社会传播、教育培训等综合服务，搭建党委政府和人民群众沟通桥梁；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4、强化社区信息枢纽功能，面向人口聚集的大型社区、村镇，提供精准化的生活资讯，打通线上线下开展社区交流。</w:t>
      </w:r>
    </w:p>
    <w:p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2"/>
      <w:bookmarkEnd w:id="23"/>
      <w:bookmarkEnd w:id="24"/>
    </w:p>
    <w:p>
      <w:pPr>
        <w:spacing w:line="58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bookmarkStart w:id="25" w:name="_Toc27552"/>
      <w:bookmarkStart w:id="26" w:name="_Toc32656"/>
      <w:bookmarkStart w:id="27" w:name="_Toc24191"/>
      <w:bookmarkStart w:id="28" w:name="_Toc26594"/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“科普公园、消防主题公园、平安建设公园”项目主要是在金隆路与象城街公园节点、柴荣广场公园、任敖公园三个主城区公园原有基础上增加以科普、消防、平安建设为主题的宣传栏及标识牌等，宣传与群众生活息息相关的防火常识；有效地向全县群众普及科技创新、科学生活等领域知识，提高全民素质；切实提高群众安全感，全面改善人居环境，使人们的身心更健康，精力更充沛，创造力更旺盛，必将促进社会文明，经济繁荣。项目年初预算资金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47.08万元，中标价46.88万元。项目于2022年9月初完工并验收合格，已支付资金46.88万元。</w:t>
      </w:r>
    </w:p>
    <w:bookmarkEnd w:id="25"/>
    <w:bookmarkEnd w:id="26"/>
    <w:bookmarkEnd w:id="27"/>
    <w:bookmarkEnd w:id="28"/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9" w:name="_Toc12860"/>
      <w:bookmarkStart w:id="30" w:name="_Toc18992"/>
      <w:bookmarkStart w:id="31" w:name="_Toc14644"/>
      <w:bookmarkStart w:id="32" w:name="_Toc4859"/>
      <w:bookmarkStart w:id="33" w:name="_Toc6781"/>
      <w:bookmarkStart w:id="34" w:name="_Toc2988"/>
      <w:bookmarkStart w:id="35" w:name="_Toc26109"/>
      <w:bookmarkStart w:id="36" w:name="_Toc28908"/>
      <w:bookmarkStart w:id="37" w:name="_Toc7839"/>
      <w:bookmarkStart w:id="38" w:name="_Toc17782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bookmarkStart w:id="39" w:name="_Toc11365"/>
      <w:bookmarkStart w:id="40" w:name="_Toc4138"/>
      <w:bookmarkStart w:id="41" w:name="_Toc20844"/>
      <w:bookmarkStart w:id="42" w:name="_Toc17743"/>
      <w:bookmarkStart w:id="43" w:name="_Toc17067"/>
      <w:bookmarkStart w:id="44" w:name="_Toc10886"/>
      <w:bookmarkStart w:id="45" w:name="_Toc9227"/>
      <w:bookmarkStart w:id="46" w:name="_Toc13114"/>
      <w:bookmarkStart w:id="47" w:name="_Toc22812"/>
      <w:bookmarkStart w:id="48" w:name="_Toc31876"/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此项目采购方式为公开招标，于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2022年3月10日发布政府采购意向，2022年6月21日发布招标公告，2022年7月26日开标，2022年8月3日签订采购合同并进行合同备案，2022年9月初项目完工验收并付款。</w:t>
      </w:r>
    </w:p>
    <w:p>
      <w:pPr>
        <w:pStyle w:val="2"/>
        <w:numPr>
          <w:ilvl w:val="0"/>
          <w:numId w:val="1"/>
        </w:numP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  <w:t>在金隆路与象城街公园节点建设科普公园，增加科普宣传栏、标识等，有效地向全县群众普及科技创新、科学生活等领域知识，提高全民科学素质；</w:t>
      </w:r>
    </w:p>
    <w:p>
      <w:pPr>
        <w:pStyle w:val="2"/>
        <w:numPr>
          <w:ilvl w:val="0"/>
          <w:numId w:val="1"/>
        </w:numP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柴荣广场公园建设以消防为主题的宣传栏、火灾案例警示区、消防卡通提示牌等与群众生活息息相关的防火常识，涵盖消防器材使用方法、家庭灭火常识、火场逃生技巧等多方面内容；</w:t>
      </w:r>
    </w:p>
    <w:p>
      <w:pPr>
        <w:pStyle w:val="2"/>
        <w:numPr>
          <w:ilvl w:val="0"/>
          <w:numId w:val="1"/>
        </w:numP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在任敖公园建设以“平安隆尧”为主题宣传栏，切实提高群众安全感。定期对预算绩效目标进行监控，并对预算项目资金设置台账，进行专门管理。</w:t>
      </w:r>
    </w:p>
    <w:p>
      <w:pPr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 xml:space="preserve">     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Start w:id="49" w:name="_Toc5317"/>
      <w:bookmarkStart w:id="50" w:name="_Toc18915"/>
      <w:bookmarkStart w:id="51" w:name="_Toc26855"/>
      <w:bookmarkStart w:id="52" w:name="_Toc5215"/>
      <w:bookmarkStart w:id="53" w:name="_Toc21501"/>
      <w:bookmarkStart w:id="54" w:name="_Toc10651"/>
      <w:bookmarkStart w:id="55" w:name="_Toc6451"/>
      <w:bookmarkStart w:id="56" w:name="_Toc29800"/>
      <w:bookmarkStart w:id="57" w:name="_Toc12150"/>
      <w:bookmarkStart w:id="58" w:name="_Toc20904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59" w:name="_Toc25600"/>
      <w:bookmarkStart w:id="60" w:name="_Toc22771"/>
      <w:bookmarkStart w:id="61" w:name="_Toc23608"/>
      <w:bookmarkStart w:id="62" w:name="_Toc17355"/>
      <w:bookmarkStart w:id="63" w:name="_Toc14742"/>
      <w:bookmarkStart w:id="64" w:name="_Toc8077"/>
      <w:bookmarkStart w:id="65" w:name="_Toc7570"/>
      <w:bookmarkStart w:id="66" w:name="_Toc15730"/>
      <w:bookmarkStart w:id="67" w:name="_Toc4056"/>
      <w:bookmarkStart w:id="68" w:name="_Toc5105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pStyle w:val="2"/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为进一步提高财政资金使用效益，切实增强单位资金使用的支出责任和效率意识。</w:t>
      </w:r>
    </w:p>
    <w:p>
      <w:pPr>
        <w:numPr>
          <w:ilvl w:val="0"/>
          <w:numId w:val="2"/>
        </w:num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69" w:name="_Toc18502"/>
      <w:bookmarkStart w:id="70" w:name="_Toc27346"/>
      <w:bookmarkStart w:id="71" w:name="_Toc16121"/>
      <w:bookmarkStart w:id="72" w:name="_Toc8288"/>
      <w:bookmarkStart w:id="73" w:name="_Toc3910"/>
      <w:bookmarkStart w:id="74" w:name="_Toc25746"/>
      <w:bookmarkStart w:id="75" w:name="_Toc22727"/>
      <w:bookmarkStart w:id="76" w:name="_Toc16971"/>
      <w:bookmarkStart w:id="77" w:name="_Toc27199"/>
      <w:bookmarkStart w:id="78" w:name="_Toc30351"/>
      <w:r>
        <w:rPr>
          <w:rFonts w:hint="eastAsia" w:ascii="仿宋_GB2312" w:hAnsi="仿宋_GB2312" w:eastAsia="仿宋_GB2312" w:cs="仿宋_GB2312"/>
          <w:sz w:val="32"/>
          <w:szCs w:val="40"/>
        </w:rPr>
        <w:t>评价指标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1、设置方面，包括项目立项情况、绩效自评情况；</w:t>
      </w:r>
    </w:p>
    <w:p>
      <w:pPr>
        <w:spacing w:line="580" w:lineRule="exact"/>
        <w:ind w:firstLine="640" w:firstLineChars="200"/>
        <w:outlineLvl w:val="1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2、管理方面，包括资金管理、项目管理；</w:t>
      </w:r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3、产出方面，包括数量、质量和时效；</w:t>
      </w:r>
    </w:p>
    <w:p>
      <w:pPr>
        <w:spacing w:line="580" w:lineRule="exact"/>
        <w:ind w:firstLine="640" w:firstLineChars="200"/>
        <w:outlineLvl w:val="1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4、效果方面，包括履职效益，社会公众或服务对象满意度。</w:t>
      </w:r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79" w:name="_Toc5304"/>
      <w:bookmarkStart w:id="80" w:name="_Toc19154"/>
      <w:bookmarkStart w:id="81" w:name="_Toc5587"/>
      <w:bookmarkStart w:id="82" w:name="_Toc19068"/>
      <w:bookmarkStart w:id="83" w:name="_Toc25343"/>
      <w:bookmarkStart w:id="84" w:name="_Toc32241"/>
      <w:bookmarkStart w:id="85" w:name="_Toc23270"/>
      <w:bookmarkStart w:id="86" w:name="_Toc11684"/>
      <w:bookmarkStart w:id="87" w:name="_Toc32306"/>
      <w:bookmarkStart w:id="88" w:name="_Toc12572"/>
      <w:r>
        <w:rPr>
          <w:rFonts w:hint="eastAsia" w:ascii="仿宋_GB2312" w:hAnsi="仿宋_GB2312" w:eastAsia="仿宋_GB2312" w:cs="仿宋_GB2312"/>
          <w:sz w:val="32"/>
          <w:szCs w:val="40"/>
        </w:rPr>
        <w:t>（三）评价依据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pStyle w:val="2"/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成立绩效自评小组，实施询问、检查等必要的工作程序并审阅项目资料和资金下达文件、抽查会计记录包括原始凭证、记账凭证、会计账簿等相关会计资料、复核预决算报表及编制依据。获取的资料和证据是充分的，实施的工作方法和程序是适当的。</w:t>
      </w:r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89" w:name="_Toc11243"/>
      <w:bookmarkStart w:id="90" w:name="_Toc9401"/>
      <w:bookmarkStart w:id="91" w:name="_Toc13179"/>
      <w:bookmarkStart w:id="92" w:name="_Toc1868"/>
      <w:bookmarkStart w:id="93" w:name="_Toc26780"/>
      <w:bookmarkStart w:id="94" w:name="_Toc7393"/>
      <w:bookmarkStart w:id="95" w:name="_Toc22038"/>
      <w:bookmarkStart w:id="96" w:name="_Toc12940"/>
      <w:bookmarkStart w:id="97" w:name="_Toc24302"/>
      <w:bookmarkStart w:id="98" w:name="_Toc6747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spacing w:line="58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40"/>
        </w:rPr>
      </w:pPr>
      <w:bookmarkStart w:id="99" w:name="_Toc30508"/>
      <w:bookmarkStart w:id="100" w:name="_Toc6105"/>
      <w:bookmarkStart w:id="101" w:name="_Toc28621"/>
      <w:bookmarkStart w:id="102" w:name="_Toc10113"/>
      <w:bookmarkStart w:id="103" w:name="_Toc22222"/>
      <w:bookmarkStart w:id="104" w:name="_Toc20748"/>
      <w:bookmarkStart w:id="105" w:name="_Toc18842"/>
      <w:bookmarkStart w:id="106" w:name="_Toc21014"/>
      <w:bookmarkStart w:id="107" w:name="_Toc17025"/>
      <w:bookmarkStart w:id="108" w:name="_Toc5623"/>
      <w:r>
        <w:rPr>
          <w:rFonts w:hint="eastAsia" w:ascii="仿宋_GB2312" w:hAnsi="仿宋_GB2312" w:eastAsia="仿宋_GB2312" w:cs="仿宋_GB2312"/>
          <w:sz w:val="32"/>
          <w:szCs w:val="40"/>
        </w:rPr>
        <w:t>绩效评价采取评分与评级相结合的形式，具体分值和等级分为四个等级：90分（含90分）以上为优秀，80-89分为良好，60-79分为合格，60分以下为不合格。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eastAsia="zh-CN"/>
        </w:rPr>
        <w:t>“科普公园、消防主题公园、平安建设公园”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项目重点绩效评价指标表</w:t>
      </w:r>
    </w:p>
    <w:tbl>
      <w:tblPr>
        <w:tblStyle w:val="7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426"/>
        <w:gridCol w:w="3696"/>
        <w:gridCol w:w="7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分；无不得分。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分；否则不得分。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分,扣完为止。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主题公园数量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建设主题公园数量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达标率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建设公园达标率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指标4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任务完成及时率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建设公园任务完成及时率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服务对象满意度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  <w:t>服务群众满意程度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100</w:t>
            </w:r>
          </w:p>
        </w:tc>
      </w:tr>
    </w:tbl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109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109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110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110"/>
    </w:p>
    <w:p>
      <w:pPr>
        <w:pStyle w:val="2"/>
        <w:ind w:firstLine="56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111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111"/>
    </w:p>
    <w:p>
      <w:pPr>
        <w:pStyle w:val="12"/>
        <w:spacing w:line="580" w:lineRule="atLeast"/>
        <w:ind w:firstLine="640" w:firstLineChars="200"/>
        <w:jc w:val="left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(1)量化并细化相应的绩效指标，以进行更准确、更完整的预算编制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40"/>
          <w:lang w:val="en-US" w:eastAsia="zh-CN" w:bidi="ar-SA"/>
        </w:rPr>
        <w:t>加强项目管理和实施中各个环节工作人员的执行力及业务能力</w:t>
      </w:r>
      <w:r>
        <w:rPr>
          <w:rFonts w:hint="eastAsia" w:ascii="仿宋_GB2312" w:hAnsi="仿宋" w:eastAsia="仿宋_GB2312" w:cs="仿宋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。</w:t>
      </w:r>
    </w:p>
    <w:p>
      <w:pPr>
        <w:pStyle w:val="12"/>
        <w:spacing w:line="580" w:lineRule="atLeas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(2) 规范绩效评价管理资料的收集整理，确保相关信息完整、可靠，客观公正地反映项目资金实际使用和产生的绩效状况，为今后该项目实施方向及管理方式的改进提供指导。</w:t>
      </w:r>
    </w:p>
    <w:p>
      <w:pPr>
        <w:pStyle w:val="2"/>
        <w:spacing w:line="560" w:lineRule="exact"/>
        <w:ind w:left="0" w:leftChars="0" w:firstLine="0" w:firstLineChars="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sectPr>
      <w:footerReference r:id="rId3" w:type="default"/>
      <w:pgSz w:w="11906" w:h="16838"/>
      <w:pgMar w:top="1701" w:right="1474" w:bottom="1644" w:left="1587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847D9E"/>
    <w:multiLevelType w:val="singleLevel"/>
    <w:tmpl w:val="38847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1D96E1E"/>
    <w:multiLevelType w:val="singleLevel"/>
    <w:tmpl w:val="51D96E1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zM4Nzg1NTk0N2Q0NzM0ZjRmMWIxNjA0NTZlYjEwMDYifQ=="/>
  </w:docVars>
  <w:rsids>
    <w:rsidRoot w:val="07CC499B"/>
    <w:rsid w:val="00092B14"/>
    <w:rsid w:val="000D47D0"/>
    <w:rsid w:val="001373BE"/>
    <w:rsid w:val="001F3212"/>
    <w:rsid w:val="002707C6"/>
    <w:rsid w:val="00280F82"/>
    <w:rsid w:val="003170CE"/>
    <w:rsid w:val="003C4354"/>
    <w:rsid w:val="00645DBC"/>
    <w:rsid w:val="007812E3"/>
    <w:rsid w:val="00814E39"/>
    <w:rsid w:val="008C7CF4"/>
    <w:rsid w:val="00A02C66"/>
    <w:rsid w:val="00AB413B"/>
    <w:rsid w:val="00B60E03"/>
    <w:rsid w:val="00D25A69"/>
    <w:rsid w:val="00D25CC3"/>
    <w:rsid w:val="00D3165F"/>
    <w:rsid w:val="00D471F4"/>
    <w:rsid w:val="00D5394A"/>
    <w:rsid w:val="00DB6DF3"/>
    <w:rsid w:val="00E30CAE"/>
    <w:rsid w:val="00E310A2"/>
    <w:rsid w:val="00EF2BA5"/>
    <w:rsid w:val="00EF6DA3"/>
    <w:rsid w:val="00FA340E"/>
    <w:rsid w:val="01B67D1F"/>
    <w:rsid w:val="01CA2AF2"/>
    <w:rsid w:val="02731FFB"/>
    <w:rsid w:val="03274687"/>
    <w:rsid w:val="04064A0C"/>
    <w:rsid w:val="04321BCD"/>
    <w:rsid w:val="04726C5B"/>
    <w:rsid w:val="04FF4482"/>
    <w:rsid w:val="057A0A50"/>
    <w:rsid w:val="064C4C17"/>
    <w:rsid w:val="06C3551E"/>
    <w:rsid w:val="072B7208"/>
    <w:rsid w:val="076C3175"/>
    <w:rsid w:val="07CC499B"/>
    <w:rsid w:val="0815567D"/>
    <w:rsid w:val="0909607F"/>
    <w:rsid w:val="09A64785"/>
    <w:rsid w:val="09E50AFE"/>
    <w:rsid w:val="0A3B4E4B"/>
    <w:rsid w:val="0A606DE9"/>
    <w:rsid w:val="0B005613"/>
    <w:rsid w:val="0B601B06"/>
    <w:rsid w:val="0BA90928"/>
    <w:rsid w:val="0BEB58BF"/>
    <w:rsid w:val="0C15027B"/>
    <w:rsid w:val="0C1F1409"/>
    <w:rsid w:val="0C3B2A49"/>
    <w:rsid w:val="0DAA4EE9"/>
    <w:rsid w:val="0E3117D9"/>
    <w:rsid w:val="102B0836"/>
    <w:rsid w:val="1064155D"/>
    <w:rsid w:val="10DC126C"/>
    <w:rsid w:val="1156122B"/>
    <w:rsid w:val="1167634C"/>
    <w:rsid w:val="11F11891"/>
    <w:rsid w:val="12C35BB4"/>
    <w:rsid w:val="140849FA"/>
    <w:rsid w:val="14583EA3"/>
    <w:rsid w:val="151D09B5"/>
    <w:rsid w:val="1689469A"/>
    <w:rsid w:val="16DB1E7D"/>
    <w:rsid w:val="16DB39FB"/>
    <w:rsid w:val="178C6C5A"/>
    <w:rsid w:val="17CD646A"/>
    <w:rsid w:val="184F3049"/>
    <w:rsid w:val="1B3F225B"/>
    <w:rsid w:val="1B4269FF"/>
    <w:rsid w:val="1BA47137"/>
    <w:rsid w:val="1D4B3C83"/>
    <w:rsid w:val="1DBD7AB3"/>
    <w:rsid w:val="1E0B387E"/>
    <w:rsid w:val="1EC6113D"/>
    <w:rsid w:val="20CF4990"/>
    <w:rsid w:val="21460607"/>
    <w:rsid w:val="218002A9"/>
    <w:rsid w:val="21B761EC"/>
    <w:rsid w:val="21FF1E9B"/>
    <w:rsid w:val="22B82B05"/>
    <w:rsid w:val="22DE2A0B"/>
    <w:rsid w:val="23637D4D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8ED1A0B"/>
    <w:rsid w:val="290243B4"/>
    <w:rsid w:val="2A5C748F"/>
    <w:rsid w:val="2B10000E"/>
    <w:rsid w:val="2B2D56DA"/>
    <w:rsid w:val="2BED6380"/>
    <w:rsid w:val="2CCC186B"/>
    <w:rsid w:val="2D391E20"/>
    <w:rsid w:val="2D3C7BF5"/>
    <w:rsid w:val="30785FD3"/>
    <w:rsid w:val="31702E0D"/>
    <w:rsid w:val="33C32B3C"/>
    <w:rsid w:val="33DD3932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AE5C81"/>
    <w:rsid w:val="43DC781A"/>
    <w:rsid w:val="441C7555"/>
    <w:rsid w:val="450A0AA4"/>
    <w:rsid w:val="45236574"/>
    <w:rsid w:val="4601059C"/>
    <w:rsid w:val="46434BE2"/>
    <w:rsid w:val="46AA6AA7"/>
    <w:rsid w:val="478E0E32"/>
    <w:rsid w:val="48A2447B"/>
    <w:rsid w:val="49430BD9"/>
    <w:rsid w:val="494625CA"/>
    <w:rsid w:val="4BD23ED8"/>
    <w:rsid w:val="4C2846CD"/>
    <w:rsid w:val="4C3E6663"/>
    <w:rsid w:val="4C7A4C55"/>
    <w:rsid w:val="4F6A54EE"/>
    <w:rsid w:val="4F7F0D57"/>
    <w:rsid w:val="4FB71C7F"/>
    <w:rsid w:val="4FDF6ED1"/>
    <w:rsid w:val="514C0EC5"/>
    <w:rsid w:val="51F50157"/>
    <w:rsid w:val="52664B21"/>
    <w:rsid w:val="52866F20"/>
    <w:rsid w:val="52EE7A8B"/>
    <w:rsid w:val="535B290E"/>
    <w:rsid w:val="53F1208F"/>
    <w:rsid w:val="545853DC"/>
    <w:rsid w:val="54DE5250"/>
    <w:rsid w:val="55495194"/>
    <w:rsid w:val="56115CEE"/>
    <w:rsid w:val="56D42516"/>
    <w:rsid w:val="56FE5044"/>
    <w:rsid w:val="57E03285"/>
    <w:rsid w:val="5AE71036"/>
    <w:rsid w:val="5B5F30DA"/>
    <w:rsid w:val="5BAF6F84"/>
    <w:rsid w:val="5BE03A0F"/>
    <w:rsid w:val="5D233FAA"/>
    <w:rsid w:val="5D5C7CBD"/>
    <w:rsid w:val="5DF86B3F"/>
    <w:rsid w:val="5F1C1ADB"/>
    <w:rsid w:val="60134031"/>
    <w:rsid w:val="60C120AA"/>
    <w:rsid w:val="6304094B"/>
    <w:rsid w:val="64165E4C"/>
    <w:rsid w:val="647D0B6D"/>
    <w:rsid w:val="6536013A"/>
    <w:rsid w:val="65717652"/>
    <w:rsid w:val="67554111"/>
    <w:rsid w:val="68DA698B"/>
    <w:rsid w:val="6A3E1F45"/>
    <w:rsid w:val="6CC4450B"/>
    <w:rsid w:val="6CCC6D4C"/>
    <w:rsid w:val="6D5F4EC3"/>
    <w:rsid w:val="6E3F5A2C"/>
    <w:rsid w:val="6E7F67AC"/>
    <w:rsid w:val="7008088F"/>
    <w:rsid w:val="710B6CF2"/>
    <w:rsid w:val="712634CC"/>
    <w:rsid w:val="71A3781D"/>
    <w:rsid w:val="724E698E"/>
    <w:rsid w:val="74944D5E"/>
    <w:rsid w:val="756501CF"/>
    <w:rsid w:val="767740D1"/>
    <w:rsid w:val="76C544EA"/>
    <w:rsid w:val="778F438E"/>
    <w:rsid w:val="77C504CC"/>
    <w:rsid w:val="7A055146"/>
    <w:rsid w:val="7A757A3F"/>
    <w:rsid w:val="7C647BFE"/>
    <w:rsid w:val="7D9B64C3"/>
    <w:rsid w:val="7EBF7C28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link w:val="14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13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1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2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3">
    <w:name w:val="普通(网站) Char"/>
    <w:link w:val="6"/>
    <w:qFormat/>
    <w:uiPriority w:val="0"/>
    <w:rPr>
      <w:kern w:val="0"/>
      <w:sz w:val="24"/>
    </w:rPr>
  </w:style>
  <w:style w:type="character" w:customStyle="1" w:styleId="14">
    <w:name w:val="正文首行缩进 2 Char"/>
    <w:link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2277</Words>
  <Characters>2358</Characters>
  <Lines>9</Lines>
  <Paragraphs>2</Paragraphs>
  <TotalTime>15</TotalTime>
  <ScaleCrop>false</ScaleCrop>
  <LinksUpToDate>false</LinksUpToDate>
  <CharactersWithSpaces>2440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WPS_1640069948</cp:lastModifiedBy>
  <dcterms:modified xsi:type="dcterms:W3CDTF">2023-05-08T06:15:50Z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752AE800DC83493BA29FD153EF11A6B3</vt:lpwstr>
  </property>
</Properties>
</file>