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A862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隆尧县市场监督管理局</w:t>
      </w:r>
    </w:p>
    <w:p w14:paraId="786DEC7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2025年</w:t>
      </w:r>
      <w:r>
        <w:rPr>
          <w:rFonts w:hint="eastAsia" w:ascii="方正小标宋简体" w:hAnsi="方正小标宋简体" w:eastAsia="方正小标宋简体" w:cs="方正小标宋简体"/>
          <w:sz w:val="44"/>
          <w:szCs w:val="44"/>
          <w:lang w:eastAsia="zh-CN"/>
        </w:rPr>
        <w:t>法治政府建设年度报告</w:t>
      </w:r>
    </w:p>
    <w:p w14:paraId="0F9D778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eastAsia="zh-CN"/>
        </w:rPr>
      </w:pPr>
    </w:p>
    <w:p w14:paraId="2825E99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今年以来，在县委、县政府的坚强领导下，坚持以习近平新时代中国特色社会主义思想为指导，深入学习贯彻党的二十大和二十届历次全会精神，自觉践行习近平法治思想，严格按照</w:t>
      </w:r>
      <w:r>
        <w:rPr>
          <w:rFonts w:hint="eastAsia" w:ascii="仿宋_GB2312" w:hAnsi="仿宋_GB2312" w:eastAsia="仿宋_GB2312" w:cs="仿宋_GB2312"/>
          <w:sz w:val="32"/>
          <w:szCs w:val="32"/>
          <w:lang w:eastAsia="zh-CN"/>
        </w:rPr>
        <w:t>《法治市场监管建设实施纲要（202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—2025年）》《提升行政执法质量三年行动计划（2023—2025年）》等</w:t>
      </w:r>
      <w:r>
        <w:rPr>
          <w:rFonts w:hint="eastAsia" w:ascii="仿宋_GB2312" w:hAnsi="仿宋_GB2312" w:eastAsia="仿宋_GB2312" w:cs="仿宋_GB2312"/>
          <w:kern w:val="2"/>
          <w:sz w:val="32"/>
          <w:szCs w:val="32"/>
          <w:lang w:val="en-US" w:eastAsia="zh-CN" w:bidi="ar-SA"/>
        </w:rPr>
        <w:t>要求，将法治建设作为市场监管事业高质量发展的根本保障，与业务工作同部署、同落实、同考核，推动全局法治建设工作持续提升，为服务经济社会高质量发展筑牢了法治根基。现将2025年法治政府建设工作报告如下：</w:t>
      </w:r>
    </w:p>
    <w:p w14:paraId="49A549F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kern w:val="2"/>
          <w:sz w:val="32"/>
          <w:szCs w:val="32"/>
          <w:lang w:val="en-US" w:eastAsia="zh-CN" w:bidi="ar-SA"/>
        </w:rPr>
        <w:t>一、</w:t>
      </w:r>
      <w:r>
        <w:rPr>
          <w:rFonts w:hint="eastAsia" w:ascii="黑体" w:hAnsi="黑体" w:eastAsia="黑体" w:cs="黑体"/>
          <w:sz w:val="32"/>
          <w:szCs w:val="32"/>
          <w:lang w:eastAsia="zh-CN"/>
        </w:rPr>
        <w:t>法治工作成效</w:t>
      </w:r>
    </w:p>
    <w:p w14:paraId="56CAC0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caps w:val="0"/>
          <w:color w:val="000000"/>
          <w:spacing w:val="0"/>
          <w:sz w:val="32"/>
          <w:szCs w:val="32"/>
          <w:shd w:val="clear" w:color="auto" w:fill="FFFFFF"/>
          <w:lang w:val="en-US" w:eastAsia="zh-CN"/>
        </w:rPr>
      </w:pPr>
      <w:r>
        <w:rPr>
          <w:rFonts w:hint="eastAsia" w:ascii="楷体_GB2312" w:hAnsi="楷体_GB2312" w:eastAsia="楷体_GB2312" w:cs="楷体_GB2312"/>
          <w:sz w:val="32"/>
          <w:szCs w:val="32"/>
          <w:lang w:val="en-US" w:eastAsia="zh-CN"/>
        </w:rPr>
        <w:t>（一）强化法治引领，推动法治建设高质量发展。</w:t>
      </w:r>
      <w:r>
        <w:rPr>
          <w:rFonts w:hint="eastAsia" w:ascii="仿宋_GB2312" w:hAnsi="仿宋_GB2312" w:eastAsia="仿宋_GB2312" w:cs="仿宋_GB2312"/>
          <w:kern w:val="2"/>
          <w:sz w:val="32"/>
          <w:szCs w:val="32"/>
          <w:lang w:val="en-US" w:eastAsia="zh-CN" w:bidi="ar-SA"/>
        </w:rPr>
        <w:t>一是加强组织领导。定期听取法治专题汇报，及时研究解决执法协调、普法实效等重大问题。坚持将法治建设作为基础工作，纳入年度工作要点与绩效考核体系，与各项业务工作同部署、同推进、同督促，为依法履行市场监管职能提供坚实组织保障。</w:t>
      </w:r>
      <w:r>
        <w:rPr>
          <w:rFonts w:hint="eastAsia" w:ascii="仿宋_GB2312" w:hAnsi="仿宋_GB2312" w:eastAsia="仿宋_GB2312" w:cs="仿宋_GB2312"/>
          <w:sz w:val="32"/>
          <w:szCs w:val="32"/>
          <w:lang w:val="en-US" w:eastAsia="zh-CN"/>
        </w:rPr>
        <w:t>二是健全工作</w:t>
      </w:r>
      <w:r>
        <w:rPr>
          <w:rFonts w:hint="eastAsia" w:ascii="仿宋_GB2312" w:hAnsi="仿宋_GB2312" w:eastAsia="仿宋_GB2312" w:cs="仿宋_GB2312"/>
          <w:sz w:val="32"/>
          <w:szCs w:val="32"/>
          <w:lang w:eastAsia="zh-CN"/>
        </w:rPr>
        <w:t>机制。研究</w:t>
      </w:r>
      <w:r>
        <w:rPr>
          <w:rFonts w:hint="eastAsia" w:ascii="仿宋_GB2312" w:hAnsi="仿宋_GB2312" w:eastAsia="仿宋_GB2312" w:cs="仿宋_GB2312"/>
          <w:sz w:val="32"/>
          <w:szCs w:val="32"/>
          <w:lang w:val="en-US"/>
        </w:rPr>
        <w:t>制定</w:t>
      </w:r>
      <w:r>
        <w:rPr>
          <w:rFonts w:hint="eastAsia" w:ascii="仿宋_GB2312" w:hAnsi="仿宋_GB2312" w:eastAsia="仿宋_GB2312" w:cs="仿宋_GB2312"/>
          <w:sz w:val="32"/>
          <w:szCs w:val="32"/>
          <w:lang w:val="en-US" w:eastAsia="zh-CN"/>
        </w:rPr>
        <w:t>《规范涉企行政执法专项行动方案》《严格规范涉企行政检查实施方案》</w:t>
      </w:r>
      <w:r>
        <w:rPr>
          <w:rFonts w:hint="eastAsia" w:ascii="仿宋_GB2312" w:hAnsi="仿宋_GB2312" w:eastAsia="仿宋_GB2312" w:cs="仿宋_GB2312"/>
          <w:sz w:val="32"/>
          <w:szCs w:val="32"/>
          <w:lang w:val="en-US"/>
        </w:rPr>
        <w:t>《</w:t>
      </w:r>
      <w:r>
        <w:rPr>
          <w:rFonts w:hint="eastAsia" w:ascii="仿宋_GB2312" w:hAnsi="仿宋_GB2312" w:eastAsia="仿宋_GB2312" w:cs="仿宋_GB2312"/>
          <w:sz w:val="32"/>
          <w:szCs w:val="32"/>
          <w:lang w:val="en-US" w:eastAsia="zh-CN"/>
        </w:rPr>
        <w:t>隆尧县市场监督管理局</w:t>
      </w:r>
      <w:r>
        <w:rPr>
          <w:rFonts w:hint="eastAsia" w:ascii="仿宋_GB2312" w:hAnsi="仿宋_GB2312" w:eastAsia="仿宋_GB2312" w:cs="仿宋_GB2312"/>
          <w:sz w:val="32"/>
          <w:szCs w:val="32"/>
          <w:lang w:val="en-US"/>
        </w:rPr>
        <w:t>涉企行政检查事项清单》</w:t>
      </w:r>
      <w:r>
        <w:rPr>
          <w:rFonts w:hint="eastAsia" w:ascii="仿宋_GB2312" w:hAnsi="仿宋_GB2312" w:eastAsia="仿宋_GB2312" w:cs="仿宋_GB2312"/>
          <w:sz w:val="32"/>
          <w:szCs w:val="32"/>
          <w:lang w:val="en-US" w:eastAsia="zh-CN"/>
        </w:rPr>
        <w:t>等文件和清单</w:t>
      </w:r>
      <w:r>
        <w:rPr>
          <w:rFonts w:hint="eastAsia" w:ascii="仿宋_GB2312" w:hAnsi="仿宋_GB2312" w:eastAsia="仿宋_GB2312" w:cs="仿宋_GB2312"/>
          <w:sz w:val="32"/>
          <w:szCs w:val="32"/>
          <w:lang w:val="en-US"/>
        </w:rPr>
        <w:t>，明确检查依据、频次、流程等内容，向社会公开，确保</w:t>
      </w:r>
      <w:r>
        <w:rPr>
          <w:rFonts w:hint="eastAsia" w:ascii="仿宋_GB2312" w:hAnsi="仿宋_GB2312" w:eastAsia="仿宋_GB2312" w:cs="仿宋_GB2312"/>
          <w:sz w:val="32"/>
          <w:szCs w:val="32"/>
          <w:lang w:val="en-US" w:eastAsia="zh-CN"/>
        </w:rPr>
        <w:t>行政执法依法依规开展，做到</w:t>
      </w:r>
      <w:r>
        <w:rPr>
          <w:rFonts w:hint="eastAsia" w:ascii="仿宋_GB2312" w:hAnsi="仿宋_GB2312" w:eastAsia="仿宋_GB2312" w:cs="仿宋_GB2312"/>
          <w:sz w:val="32"/>
          <w:szCs w:val="32"/>
          <w:lang w:val="en-US"/>
        </w:rPr>
        <w:t>“清单之外无检查”。</w:t>
      </w:r>
      <w:r>
        <w:rPr>
          <w:rFonts w:hint="eastAsia" w:ascii="仿宋_GB2312" w:hAnsi="仿宋_GB2312" w:eastAsia="仿宋_GB2312" w:cs="仿宋_GB2312"/>
          <w:color w:val="000000" w:themeColor="text1"/>
          <w:kern w:val="0"/>
          <w:sz w:val="32"/>
          <w:szCs w:val="32"/>
          <w14:textFill>
            <w14:solidFill>
              <w14:schemeClr w14:val="tx1"/>
            </w14:solidFill>
          </w14:textFill>
        </w:rPr>
        <w:t>全面推行行政执法</w:t>
      </w:r>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bookmarkStart w:id="0" w:name="_GoBack"/>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三项制度</w:t>
      </w:r>
      <w:bookmarkEnd w:id="0"/>
      <w:r>
        <w:rPr>
          <w:rFonts w:hint="eastAsia" w:ascii="仿宋_GB2312" w:hAnsi="仿宋_GB2312" w:eastAsia="仿宋_GB2312" w:cs="仿宋_GB2312"/>
          <w:color w:val="000000" w:themeColor="text1"/>
          <w:kern w:val="0"/>
          <w:sz w:val="32"/>
          <w:szCs w:val="32"/>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14:textFill>
            <w14:solidFill>
              <w14:schemeClr w14:val="tx1"/>
            </w14:solidFill>
          </w14:textFill>
        </w:rPr>
        <w:t>，进一步规范行政执法行为，提高行政执法的质量和水平，推动法治政府建设。今年以来，</w:t>
      </w:r>
      <w:r>
        <w:rPr>
          <w:rFonts w:hint="eastAsia" w:ascii="仿宋_GB2312" w:hAnsi="仿宋_GB2312" w:eastAsia="仿宋_GB2312" w:cs="仿宋_GB2312"/>
          <w:sz w:val="32"/>
          <w:szCs w:val="32"/>
          <w:lang w:val="en-US" w:eastAsia="zh-CN"/>
        </w:rPr>
        <w:t>共查办各类案件347件，移送公安机关2件，罚没款500余万元，其中</w:t>
      </w:r>
      <w:r>
        <w:rPr>
          <w:rFonts w:hint="eastAsia" w:ascii="仿宋_GB2312" w:hAnsi="仿宋_GB2312" w:eastAsia="仿宋_GB2312" w:cs="仿宋_GB2312"/>
          <w:color w:val="000000" w:themeColor="text1"/>
          <w:kern w:val="0"/>
          <w:sz w:val="32"/>
          <w:szCs w:val="32"/>
          <w14:textFill>
            <w14:solidFill>
              <w14:schemeClr w14:val="tx1"/>
            </w14:solidFill>
          </w14:textFill>
        </w:rPr>
        <w:t>进行重大执法决定法制审核</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38</w:t>
      </w:r>
      <w:r>
        <w:rPr>
          <w:rFonts w:hint="eastAsia" w:ascii="仿宋_GB2312" w:hAnsi="仿宋_GB2312" w:eastAsia="仿宋_GB2312" w:cs="仿宋_GB2312"/>
          <w:color w:val="000000" w:themeColor="text1"/>
          <w:kern w:val="0"/>
          <w:sz w:val="32"/>
          <w:szCs w:val="32"/>
          <w14:textFill>
            <w14:solidFill>
              <w14:schemeClr w14:val="tx1"/>
            </w14:solidFill>
          </w14:textFill>
        </w:rPr>
        <w:t>件，有效防范了执法风险。</w:t>
      </w:r>
      <w:r>
        <w:rPr>
          <w:rFonts w:hint="eastAsia" w:ascii="仿宋_GB2312" w:hAnsi="仿宋_GB2312" w:eastAsia="仿宋_GB2312" w:cs="仿宋_GB2312"/>
          <w:b w:val="0"/>
          <w:bCs w:val="0"/>
          <w:color w:val="000000"/>
          <w:sz w:val="32"/>
          <w:szCs w:val="32"/>
          <w:lang w:val="en-US" w:eastAsia="zh-CN"/>
        </w:rPr>
        <w:t>三是强化后勤保障。结合基层市场监管所“两化”建设工作，认真梳理基层执法工作职责和实际需求，投资资金30万元，</w:t>
      </w:r>
      <w:r>
        <w:rPr>
          <w:rFonts w:hint="eastAsia" w:ascii="仿宋_GB2312" w:hAnsi="仿宋_GB2312" w:eastAsia="仿宋_GB2312" w:cs="仿宋_GB2312"/>
          <w:i w:val="0"/>
          <w:iCs w:val="0"/>
          <w:caps w:val="0"/>
          <w:color w:val="000000"/>
          <w:spacing w:val="0"/>
          <w:sz w:val="32"/>
          <w:szCs w:val="32"/>
          <w:shd w:val="clear" w:color="auto" w:fill="FFFFFF"/>
          <w:lang w:eastAsia="zh-CN"/>
        </w:rPr>
        <w:t>用于标准化规范化提升基础设施修缮、形象标识、宣传制度及展板制作</w:t>
      </w:r>
      <w:r>
        <w:rPr>
          <w:rFonts w:hint="eastAsia" w:ascii="仿宋_GB2312" w:hAnsi="仿宋_GB2312" w:eastAsia="仿宋_GB2312" w:cs="仿宋_GB2312"/>
          <w:i w:val="0"/>
          <w:iCs w:val="0"/>
          <w:caps w:val="0"/>
          <w:color w:val="000000"/>
          <w:spacing w:val="0"/>
          <w:sz w:val="32"/>
          <w:szCs w:val="32"/>
          <w:shd w:val="clear" w:color="auto" w:fill="FFFFFF"/>
          <w:lang w:val="en-US" w:eastAsia="zh-CN"/>
        </w:rPr>
        <w:t>。</w:t>
      </w:r>
    </w:p>
    <w:p w14:paraId="59247CE8">
      <w:pPr>
        <w:keepNext w:val="0"/>
        <w:keepLines w:val="0"/>
        <w:widowControl/>
        <w:suppressLineNumbers w:val="0"/>
        <w:ind w:firstLine="640" w:firstLineChars="200"/>
        <w:jc w:val="left"/>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（二）规范执法行为，促进行政执法高质量开展。</w:t>
      </w:r>
      <w:r>
        <w:rPr>
          <w:rFonts w:hint="eastAsia" w:ascii="仿宋_GB2312" w:hAnsi="仿宋_GB2312" w:eastAsia="仿宋_GB2312" w:cs="仿宋_GB2312"/>
          <w:sz w:val="32"/>
          <w:szCs w:val="32"/>
          <w:lang w:val="en-US" w:eastAsia="zh-CN"/>
        </w:rPr>
        <w:t>一是畅通民意渠道。2025年，我局共收到投诉举报挂号信751件，受理12345热线1500件，12315平台投诉举报5084件，</w:t>
      </w:r>
      <w:r>
        <w:rPr>
          <w:rFonts w:hint="eastAsia" w:ascii="仿宋_GB2312" w:hAnsi="仿宋_GB2312" w:eastAsia="仿宋_GB2312" w:cs="仿宋_GB2312"/>
          <w:color w:val="000000"/>
          <w:sz w:val="32"/>
          <w:szCs w:val="32"/>
          <w:lang w:eastAsia="zh-CN"/>
        </w:rPr>
        <w:t>为消费者挽回经济损失215.7899万元</w:t>
      </w:r>
      <w:r>
        <w:rPr>
          <w:rFonts w:hint="eastAsia" w:ascii="仿宋_GB2312" w:hAnsi="仿宋_GB2312" w:eastAsia="仿宋_GB2312" w:cs="仿宋_GB2312"/>
          <w:sz w:val="32"/>
          <w:szCs w:val="32"/>
          <w:lang w:val="en-US" w:eastAsia="zh-CN"/>
        </w:rPr>
        <w:t>，行政复议77件。二是彰显执法温度。认真执行“首违不罚、轻微免罚”清单要求，始终坚持法定职责必须为，法无授权不可为，认真履职尽责，全面推进严格规范、公正文明执法，建立完善包容审慎监管机制，实施“首违不罚、轻微免罚”，避免“以罚代管、小过重罚”，防止“一刀切”执法，做到惩教并举，宽严相济，彰显市场监管执法温度，护航经营主体高质量发展。2025年我局共办理依法免予处罚案件40件、减轻处罚案件6件，减免数额128万元。三是开展案卷评查。2025年组织开展案卷评查，</w:t>
      </w:r>
      <w:r>
        <w:rPr>
          <w:rFonts w:hint="eastAsia" w:ascii="仿宋_GB2312" w:hAnsi="仿宋_GB2312" w:eastAsia="仿宋_GB2312" w:cs="仿宋_GB2312"/>
          <w:i w:val="0"/>
          <w:iCs w:val="0"/>
          <w:caps w:val="0"/>
          <w:color w:val="000000"/>
          <w:spacing w:val="0"/>
          <w:sz w:val="32"/>
          <w:szCs w:val="32"/>
          <w:shd w:val="clear" w:fill="FFFFFF"/>
          <w:lang w:val="en-US" w:eastAsia="zh-CN"/>
        </w:rPr>
        <w:t>共评查</w:t>
      </w:r>
      <w:r>
        <w:rPr>
          <w:rFonts w:hint="eastAsia" w:ascii="仿宋_GB2312" w:hAnsi="仿宋_GB2312" w:eastAsia="仿宋_GB2312" w:cs="仿宋_GB2312"/>
          <w:sz w:val="32"/>
          <w:szCs w:val="32"/>
          <w:lang w:val="en-US" w:eastAsia="zh-CN"/>
        </w:rPr>
        <w:t>2023年1月1日至2024年9月30期间立案并办结的普通程序行政处罚案卷157件，</w:t>
      </w:r>
      <w:r>
        <w:rPr>
          <w:rFonts w:hint="eastAsia" w:ascii="仿宋_GB2312" w:hAnsi="宋体" w:eastAsia="仿宋_GB2312" w:cs="仿宋_GB2312"/>
          <w:color w:val="000000"/>
          <w:kern w:val="0"/>
          <w:sz w:val="31"/>
          <w:szCs w:val="31"/>
          <w:lang w:val="en-US" w:eastAsia="zh-CN" w:bidi="ar"/>
        </w:rPr>
        <w:t>评查行政处罚案卷质量总体较好，能够做到主体适格、管辖正确、程序合法，行政处罚证据较为充分、行政处罚裁量权适用恰当、行政执法“三项制度”落实到位。</w:t>
      </w:r>
      <w:r>
        <w:rPr>
          <w:rFonts w:hint="eastAsia" w:ascii="仿宋_GB2312" w:hAnsi="仿宋_GB2312" w:eastAsia="仿宋_GB2312" w:cs="仿宋_GB2312"/>
          <w:sz w:val="32"/>
          <w:szCs w:val="32"/>
          <w:lang w:val="en-US" w:eastAsia="zh-CN"/>
        </w:rPr>
        <w:t>评查中发现的问题均已整改完毕。</w:t>
      </w:r>
    </w:p>
    <w:p w14:paraId="61F27294">
      <w:pPr>
        <w:ind w:firstLine="640" w:firstLineChars="200"/>
        <w:rPr>
          <w:rFonts w:hint="eastAsia" w:ascii="仿宋_GB2312" w:hAnsi="仿宋_GB2312" w:eastAsia="仿宋_GB2312" w:cs="仿宋_GB2312"/>
          <w:b w:val="0"/>
          <w:bCs w:val="0"/>
          <w:i w:val="0"/>
          <w:iCs w:val="0"/>
          <w:caps w:val="0"/>
          <w:color w:val="000000"/>
          <w:spacing w:val="0"/>
          <w:sz w:val="32"/>
          <w:szCs w:val="32"/>
          <w:shd w:val="clear" w:color="auto" w:fill="FFFFFF"/>
          <w:lang w:val="en-US" w:eastAsia="zh-CN"/>
        </w:rPr>
      </w:pPr>
      <w:r>
        <w:rPr>
          <w:rFonts w:hint="eastAsia" w:ascii="楷体_GB2312" w:hAnsi="楷体_GB2312" w:eastAsia="楷体_GB2312" w:cs="楷体_GB2312"/>
          <w:sz w:val="32"/>
          <w:szCs w:val="32"/>
          <w:lang w:val="en-US" w:eastAsia="zh-CN"/>
        </w:rPr>
        <w:t>（三）深化法治教育，锻造高素质专业化监管队伍。</w:t>
      </w:r>
      <w:r>
        <w:rPr>
          <w:rFonts w:hint="eastAsia" w:ascii="仿宋_GB2312" w:hAnsi="仿宋_GB2312" w:eastAsia="仿宋_GB2312" w:cs="仿宋_GB2312"/>
          <w:kern w:val="2"/>
          <w:sz w:val="32"/>
          <w:szCs w:val="32"/>
          <w:lang w:val="en-US" w:eastAsia="zh-CN" w:bidi="ar-SA"/>
        </w:rPr>
        <w:t>一是强化理论学习。坚持把学习贯彻习近平新时代中国特色社会主义思想作为首要政治任务，深入学习党的二十届三中、四中全会和中央经济工作会议精神，积极组织参与“党组会前一刻钟”“周五集中学习日”等集中学习，全年理论学习中心组学习12次，党组集体学习40余次，带头讲党课4次，推动理论学习走深走实。二是</w:t>
      </w:r>
      <w:r>
        <w:rPr>
          <w:rFonts w:hint="eastAsia" w:ascii="仿宋_GB2312" w:hAnsi="仿宋_GB2312" w:eastAsia="仿宋_GB2312" w:cs="仿宋_GB2312"/>
          <w:sz w:val="32"/>
          <w:szCs w:val="32"/>
          <w:lang w:val="en-US" w:eastAsia="zh-CN"/>
        </w:rPr>
        <w:t>推动法制培训。开展培训4次，局全局执法人员共180人次参加培训。培训深入讲解市场监管行政执法程序和相关法律、法规适用。对入企扫码工作系统操作、入企扫码备案流程及不按规定扫码的后果、升级后的新系统进行培训，邀请法律顾问对违法事实证据构建和证据链进行深入讲解。通过对执法人员进行培训，提升执法人员执法水平。三是加强执法监督。</w:t>
      </w:r>
      <w:r>
        <w:rPr>
          <w:rFonts w:hint="eastAsia" w:ascii="仿宋_GB2312" w:hAnsi="仿宋_GB2312" w:eastAsia="仿宋_GB2312" w:cs="仿宋_GB2312"/>
          <w:b w:val="0"/>
          <w:bCs w:val="0"/>
          <w:color w:val="000000"/>
          <w:sz w:val="32"/>
          <w:szCs w:val="32"/>
          <w:lang w:eastAsia="zh-CN"/>
        </w:rPr>
        <w:t>建立了常态化的执法监督检查机制，积极探索推行行政执法回访制度，对各执法办案机构的行政执法行为进行回访检查，确保市</w:t>
      </w:r>
      <w:r>
        <w:rPr>
          <w:rFonts w:hint="eastAsia" w:ascii="仿宋_GB2312" w:hAnsi="仿宋_GB2312" w:eastAsia="仿宋_GB2312" w:cs="仿宋_GB2312"/>
          <w:b w:val="0"/>
          <w:bCs w:val="0"/>
          <w:color w:val="000000"/>
          <w:sz w:val="32"/>
          <w:szCs w:val="32"/>
          <w:lang w:val="en-US" w:eastAsia="zh-CN"/>
        </w:rPr>
        <w:t>场监管公平公正文明规范执法，今年对30家行政处罚的经营主体进行执法回访，发现存在部分经营主体对被处罚原因不了解等问题，回访结束后将这些问题总结研究</w:t>
      </w:r>
      <w:r>
        <w:rPr>
          <w:rFonts w:hint="eastAsia" w:ascii="仿宋_GB2312" w:hAnsi="仿宋_GB2312" w:eastAsia="仿宋_GB2312" w:cs="仿宋_GB2312"/>
          <w:b w:val="0"/>
          <w:bCs w:val="0"/>
          <w:i w:val="0"/>
          <w:iCs w:val="0"/>
          <w:caps w:val="0"/>
          <w:color w:val="000000"/>
          <w:spacing w:val="0"/>
          <w:sz w:val="32"/>
          <w:szCs w:val="32"/>
          <w:shd w:val="clear" w:color="auto" w:fill="FFFFFF"/>
          <w:lang w:val="en-US" w:eastAsia="zh-CN"/>
        </w:rPr>
        <w:t>，在今后违法行为的整改过程中，提供一些更具体的指导和帮助。</w:t>
      </w:r>
    </w:p>
    <w:p w14:paraId="3E7B41CC">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both"/>
        <w:textAlignment w:val="auto"/>
        <w:outlineLvl w:val="9"/>
        <w:rPr>
          <w:rFonts w:hint="eastAsia" w:ascii="黑体" w:hAnsi="黑体" w:eastAsia="黑体" w:cs="黑体"/>
          <w:sz w:val="32"/>
          <w:szCs w:val="32"/>
          <w:lang w:eastAsia="zh-CN"/>
        </w:rPr>
      </w:pPr>
      <w:r>
        <w:rPr>
          <w:rFonts w:hint="eastAsia" w:ascii="黑体" w:hAnsi="黑体" w:eastAsia="黑体" w:cs="黑体"/>
          <w:kern w:val="2"/>
          <w:sz w:val="32"/>
          <w:szCs w:val="32"/>
          <w:lang w:val="en-US" w:eastAsia="zh-CN" w:bidi="ar-SA"/>
        </w:rPr>
        <w:t>二、</w:t>
      </w:r>
      <w:r>
        <w:rPr>
          <w:rFonts w:hint="eastAsia" w:ascii="黑体" w:hAnsi="黑体" w:eastAsia="黑体" w:cs="黑体"/>
          <w:sz w:val="32"/>
          <w:szCs w:val="32"/>
          <w:highlight w:val="none"/>
          <w:lang w:val="en-US" w:eastAsia="zh-CN"/>
        </w:rPr>
        <w:t>存在的问题和不足</w:t>
      </w:r>
    </w:p>
    <w:p w14:paraId="27FE53E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（一）法治队伍专业能力存在短板。</w:t>
      </w:r>
      <w:r>
        <w:rPr>
          <w:rFonts w:hint="eastAsia" w:ascii="仿宋_GB2312" w:hAnsi="仿宋_GB2312" w:eastAsia="仿宋_GB2312" w:cs="仿宋_GB2312"/>
          <w:b w:val="0"/>
          <w:bCs w:val="0"/>
          <w:color w:val="000000"/>
          <w:sz w:val="32"/>
          <w:szCs w:val="32"/>
          <w:lang w:val="en-US" w:eastAsia="zh-CN"/>
        </w:rPr>
        <w:t>队伍能力水平与高质量发展要求不匹配的矛盾凸显，</w:t>
      </w:r>
      <w:r>
        <w:rPr>
          <w:rFonts w:hint="eastAsia" w:ascii="仿宋_GB2312" w:hAnsi="仿宋_GB2312" w:eastAsia="仿宋_GB2312" w:cs="仿宋_GB2312"/>
          <w:b w:val="0"/>
          <w:bCs w:val="0"/>
          <w:color w:val="auto"/>
          <w:kern w:val="2"/>
          <w:sz w:val="32"/>
          <w:szCs w:val="32"/>
          <w:lang w:val="en-US" w:eastAsia="zh-CN" w:bidi="ar-SA"/>
        </w:rPr>
        <w:t>基层执法人员普遍学历低、年龄大，</w:t>
      </w:r>
      <w:r>
        <w:rPr>
          <w:rFonts w:hint="eastAsia" w:ascii="仿宋_GB2312" w:hAnsi="仿宋_GB2312" w:eastAsia="仿宋_GB2312" w:cs="仿宋_GB2312"/>
          <w:b w:val="0"/>
          <w:bCs w:val="0"/>
          <w:color w:val="000000"/>
          <w:sz w:val="32"/>
          <w:szCs w:val="32"/>
          <w:lang w:val="en-US" w:eastAsia="zh-CN"/>
        </w:rPr>
        <w:t>面对大数据监管、知识产权快速保护等专业性要求高的工作，专业性人才配备不足。</w:t>
      </w:r>
    </w:p>
    <w:p w14:paraId="3899841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（二）普法宣传实效性与创新性不足。</w:t>
      </w:r>
      <w:r>
        <w:rPr>
          <w:rFonts w:hint="eastAsia" w:ascii="仿宋_GB2312" w:hAnsi="仿宋_GB2312" w:eastAsia="仿宋_GB2312" w:cs="仿宋_GB2312"/>
          <w:b w:val="0"/>
          <w:bCs w:val="0"/>
          <w:color w:val="000000"/>
          <w:sz w:val="32"/>
          <w:szCs w:val="32"/>
          <w:lang w:val="en-US" w:eastAsia="zh-CN"/>
        </w:rPr>
        <w:t>普法内容对经营主体和群众的实际需求回应不够精准，形式仍以传统宣讲为主，运用典型案件开展“以案释法”的深度和影响力不足，对新媒体普法平台的运用能力有待提升，“谁执法谁普法”责任制落实强度不够。</w:t>
      </w:r>
    </w:p>
    <w:p w14:paraId="44C04B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（三）</w:t>
      </w:r>
      <w:r>
        <w:rPr>
          <w:rFonts w:hint="eastAsia" w:ascii="楷体_GB2312" w:hAnsi="楷体_GB2312" w:eastAsia="楷体_GB2312" w:cs="楷体_GB2312"/>
          <w:b w:val="0"/>
          <w:bCs w:val="0"/>
          <w:sz w:val="32"/>
          <w:szCs w:val="32"/>
          <w:lang w:val="en-US" w:eastAsia="zh-CN"/>
        </w:rPr>
        <w:t>基层法治力量与任务量不匹配。</w:t>
      </w:r>
      <w:r>
        <w:rPr>
          <w:rFonts w:hint="eastAsia" w:ascii="仿宋_GB2312" w:hAnsi="仿宋_GB2312" w:eastAsia="仿宋_GB2312" w:cs="仿宋_GB2312"/>
          <w:b w:val="0"/>
          <w:bCs w:val="0"/>
          <w:color w:val="000000"/>
          <w:sz w:val="32"/>
          <w:szCs w:val="32"/>
          <w:lang w:val="en-US" w:eastAsia="zh-CN"/>
        </w:rPr>
        <w:t>市场监管任务繁重，任务量大，基层法治人数较少，力量薄弱，人员流动频繁，导致执法规范化要求难以稳定落实，制约法治建设提升。</w:t>
      </w:r>
    </w:p>
    <w:p w14:paraId="7F6E04AC">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kern w:val="2"/>
          <w:sz w:val="32"/>
          <w:szCs w:val="32"/>
          <w:lang w:val="en-US" w:eastAsia="zh-CN" w:bidi="ar-SA"/>
        </w:rPr>
        <w:t>三、</w:t>
      </w:r>
      <w:r>
        <w:rPr>
          <w:rFonts w:hint="eastAsia" w:ascii="黑体" w:hAnsi="黑体" w:eastAsia="黑体" w:cs="黑体"/>
          <w:sz w:val="32"/>
          <w:szCs w:val="32"/>
          <w:highlight w:val="none"/>
          <w:lang w:val="en-US" w:eastAsia="zh-CN"/>
        </w:rPr>
        <w:t>工作谋划</w:t>
      </w:r>
    </w:p>
    <w:p w14:paraId="6F292A67">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color w:val="000000"/>
          <w:sz w:val="32"/>
          <w:szCs w:val="32"/>
          <w:lang w:val="en-US" w:eastAsia="zh-CN"/>
        </w:rPr>
        <w:t>下一步，我们将以此次法治建设工作为契机，坚持问题导向与目标导向，进一步树牢“法治立局、执法为民”的根本理念，把深入贯彻落实习近平法治思想作为主线，贯穿于市场监管工作的全过程、各方面，持续锻造一支公正、文明、专业、廉洁的市场监管执法铁军，奋力开创法治市场监管建设新局</w:t>
      </w:r>
      <w:r>
        <w:rPr>
          <w:rFonts w:hint="eastAsia" w:ascii="仿宋_GB2312" w:hAnsi="仿宋_GB2312" w:eastAsia="仿宋_GB2312" w:cs="仿宋_GB2312"/>
          <w:sz w:val="32"/>
          <w:szCs w:val="32"/>
          <w:lang w:eastAsia="zh-CN"/>
        </w:rPr>
        <w:t>面。</w:t>
      </w:r>
    </w:p>
    <w:p w14:paraId="6F09A217">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（一）持续开展行政执法回访。2026年</w:t>
      </w:r>
      <w:r>
        <w:rPr>
          <w:rFonts w:hint="eastAsia" w:ascii="仿宋_GB2312" w:hAnsi="仿宋_GB2312" w:eastAsia="仿宋_GB2312" w:cs="仿宋_GB2312"/>
          <w:b w:val="0"/>
          <w:bCs w:val="0"/>
          <w:color w:val="000000"/>
          <w:sz w:val="32"/>
          <w:szCs w:val="32"/>
          <w:lang w:val="en-US" w:eastAsia="zh-CN"/>
        </w:rPr>
        <w:t>继续推动相关科室履行好执法监督职能，对我局行政检查、行政处罚等案件进行回访。主要检查整改执法程序是否合法；执法人员是否存在粗暴执法、不文明执法、是否履行“谁执法谁普法”责任等等。</w:t>
      </w:r>
    </w:p>
    <w:p w14:paraId="1137C46D">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（二）加大法治培训教育力度。</w:t>
      </w:r>
      <w:r>
        <w:rPr>
          <w:rFonts w:hint="eastAsia" w:ascii="仿宋_GB2312" w:hAnsi="仿宋_GB2312" w:eastAsia="仿宋_GB2312" w:cs="仿宋_GB2312"/>
          <w:b w:val="0"/>
          <w:bCs w:val="0"/>
          <w:color w:val="000000"/>
          <w:sz w:val="32"/>
          <w:szCs w:val="32"/>
          <w:lang w:val="en-US" w:eastAsia="zh-CN"/>
        </w:rPr>
        <w:t>围绕基层执法实际需求与遇到的困难，开展覆盖全员的法治培训不少于2次，重点针对法律适用难点、调查取证规范、执法文书制作违法事实定性及处理依据等环节。积极邀请业务专家及律师进行专题培训，确保培训内容直指问题，切实提升基层执法人员依法办案的专业素养和实操能力。</w:t>
      </w:r>
    </w:p>
    <w:p w14:paraId="5042DEEB">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（三）组织执法案卷监督评查。</w:t>
      </w:r>
      <w:r>
        <w:rPr>
          <w:rFonts w:hint="eastAsia" w:ascii="仿宋_GB2312" w:hAnsi="仿宋_GB2312" w:eastAsia="仿宋_GB2312" w:cs="仿宋_GB2312"/>
          <w:b w:val="0"/>
          <w:bCs w:val="0"/>
          <w:color w:val="000000"/>
          <w:sz w:val="32"/>
          <w:szCs w:val="32"/>
          <w:lang w:val="en-US" w:eastAsia="zh-CN"/>
        </w:rPr>
        <w:t>建立常态化案卷评查机制，组织开展全系统执法案卷集中评查，重点围绕事实认定、证据链条、法律适用、程序规范及文书制作等方面进行审查，并将其作为执法质量考核及个人评优的重要依据，通过以查促改推动执法行为全面规范，推出一批优秀案例，将评查出的具有导向性，指导性，程序和法律适用严格规范，文书制作严谨的案卷作为优秀案例，向各执法办案机构印发学习。</w:t>
      </w:r>
    </w:p>
    <w:p w14:paraId="6328FC8C">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p>
    <w:p w14:paraId="386755C6">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p>
    <w:p w14:paraId="2BC4FDEB">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jc w:val="right"/>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隆尧县市场监督管理局</w:t>
      </w:r>
    </w:p>
    <w:p w14:paraId="523EA7D2">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jc w:val="right"/>
        <w:textAlignment w:val="auto"/>
        <w:rPr>
          <w:rFonts w:hint="default"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2026年2月24日</w:t>
      </w:r>
    </w:p>
    <w:p w14:paraId="7283BC89">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default" w:ascii="楷体_GB2312" w:hAnsi="楷体_GB2312" w:eastAsia="楷体_GB2312" w:cs="楷体_GB2312"/>
          <w:sz w:val="32"/>
          <w:szCs w:val="32"/>
          <w:lang w:val="en-US" w:eastAsia="zh-CN"/>
        </w:rPr>
      </w:pPr>
    </w:p>
    <w:p w14:paraId="5E6EA047">
      <w:pPr>
        <w:keepNext w:val="0"/>
        <w:keepLines w:val="0"/>
        <w:pageBreakBefore w:val="0"/>
        <w:widowControl w:val="0"/>
        <w:numPr>
          <w:ilvl w:val="0"/>
          <w:numId w:val="0"/>
        </w:numPr>
        <w:kinsoku/>
        <w:wordWrap/>
        <w:overflowPunct/>
        <w:topLinePunct w:val="0"/>
        <w:autoSpaceDE/>
        <w:autoSpaceDN/>
        <w:bidi w:val="0"/>
        <w:adjustRightInd/>
        <w:snapToGrid/>
        <w:spacing w:line="20" w:lineRule="exact"/>
        <w:ind w:firstLine="640" w:firstLineChars="200"/>
        <w:textAlignment w:val="auto"/>
        <w:rPr>
          <w:rFonts w:hint="eastAsia" w:ascii="仿宋_GB2312" w:hAnsi="仿宋_GB2312" w:eastAsia="仿宋_GB2312" w:cs="仿宋_GB2312"/>
          <w:kern w:val="2"/>
          <w:sz w:val="32"/>
          <w:szCs w:val="32"/>
          <w:lang w:val="en-US" w:eastAsia="zh-CN" w:bidi="ar-SA"/>
        </w:rPr>
      </w:pPr>
    </w:p>
    <w:p w14:paraId="3157D249">
      <w:pPr>
        <w:keepNext w:val="0"/>
        <w:keepLines w:val="0"/>
        <w:pageBreakBefore w:val="0"/>
        <w:widowControl w:val="0"/>
        <w:kinsoku/>
        <w:wordWrap/>
        <w:overflowPunct/>
        <w:topLinePunct w:val="0"/>
        <w:autoSpaceDE/>
        <w:autoSpaceDN/>
        <w:bidi w:val="0"/>
        <w:adjustRightInd/>
        <w:snapToGrid/>
        <w:spacing w:line="20" w:lineRule="exact"/>
        <w:ind w:firstLine="420" w:firstLineChars="200"/>
        <w:textAlignment w:val="auto"/>
        <w:rPr>
          <w:rFonts w:hint="eastAsia" w:eastAsiaTheme="minorEastAsia"/>
          <w:lang w:eastAsia="zh-CN"/>
        </w:rPr>
      </w:pPr>
    </w:p>
    <w:sectPr>
      <w:footerReference r:id="rId3" w:type="default"/>
      <w:pgSz w:w="11906" w:h="16838"/>
      <w:pgMar w:top="1984" w:right="1417" w:bottom="1417"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537BE">
    <w:pPr>
      <w:pStyle w:val="4"/>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B66066">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7B66066">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88037C"/>
    <w:rsid w:val="073B478E"/>
    <w:rsid w:val="0B88037C"/>
    <w:rsid w:val="140672C3"/>
    <w:rsid w:val="175B40AA"/>
    <w:rsid w:val="188E19D1"/>
    <w:rsid w:val="2D5B6685"/>
    <w:rsid w:val="2F2A72BE"/>
    <w:rsid w:val="36E96774"/>
    <w:rsid w:val="3EF36EA0"/>
    <w:rsid w:val="46CA3945"/>
    <w:rsid w:val="490362CE"/>
    <w:rsid w:val="4F7967FB"/>
    <w:rsid w:val="50151D1A"/>
    <w:rsid w:val="50B57EEF"/>
    <w:rsid w:val="554F6107"/>
    <w:rsid w:val="59247BAD"/>
    <w:rsid w:val="59806BBD"/>
    <w:rsid w:val="5BCA1CC1"/>
    <w:rsid w:val="5C323C0F"/>
    <w:rsid w:val="5D96033D"/>
    <w:rsid w:val="791E5758"/>
    <w:rsid w:val="79A31C2C"/>
    <w:rsid w:val="7D8C76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Autospacing="0"/>
      <w:ind w:firstLine="880" w:firstLineChars="200"/>
    </w:pPr>
    <w:rPr>
      <w:rFonts w:ascii="Times New Roman" w:hAnsi="Times New Roman" w:cs="Times New Roma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2474</Words>
  <Characters>2555</Characters>
  <Lines>0</Lines>
  <Paragraphs>0</Paragraphs>
  <TotalTime>133</TotalTime>
  <ScaleCrop>false</ScaleCrop>
  <LinksUpToDate>false</LinksUpToDate>
  <CharactersWithSpaces>2555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2026-01-07T06:13:00Z</dcterms:created>
  <dc:creator>Fan</dc:creator>
  <cp:lastModifiedBy>右边</cp:lastModifiedBy>
  <cp:lastPrinted>2026-04-02T02:15:00Z</cp:lastPrinted>
  <dcterms:modified xsi:type="dcterms:W3CDTF">2026-05-27T01:40:45Z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4428AC7470204089B152681AFF282A4C_11</vt:lpwstr>
  </property>
  <property fmtid="{D5CDD505-2E9C-101B-9397-08002B2CF9AE}" pid="4" name="KSOTemplateDocerSaveRecord">
    <vt:lpwstr>eyJoZGlkIjoiYjEyM2NkOTMyZjU5NjY4M2QxYWU3ZDZkZTQyNjdmYmMiLCJ1c2VySWQiOiI2MDk0Mjk3MDAifQ==</vt:lpwstr>
  </property>
</Properties>
</file>