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130D4">
      <w:pPr>
        <w:jc w:val="center"/>
        <w:rPr>
          <w:rFonts w:ascii="宋体" w:hAnsi="宋体" w:cs="仿宋"/>
          <w:b/>
          <w:bCs/>
          <w:sz w:val="44"/>
          <w:szCs w:val="44"/>
        </w:rPr>
      </w:pPr>
      <w:bookmarkStart w:id="0" w:name="_GoBack"/>
      <w:bookmarkEnd w:id="0"/>
      <w:r>
        <w:rPr>
          <w:rFonts w:hint="eastAsia" w:ascii="宋体" w:hAnsi="宋体" w:cs="仿宋"/>
          <w:b/>
          <w:bCs/>
          <w:sz w:val="44"/>
          <w:szCs w:val="44"/>
        </w:rPr>
        <w:t>隆尧县教育局</w:t>
      </w:r>
    </w:p>
    <w:p w14:paraId="5301967C">
      <w:pPr>
        <w:jc w:val="center"/>
        <w:rPr>
          <w:rFonts w:ascii="宋体" w:hAnsi="宋体" w:cs="仿宋"/>
          <w:b/>
          <w:bCs/>
          <w:sz w:val="44"/>
          <w:szCs w:val="44"/>
        </w:rPr>
      </w:pPr>
      <w:r>
        <w:rPr>
          <w:rFonts w:hint="eastAsia" w:ascii="宋体" w:hAnsi="宋体" w:cs="仿宋"/>
          <w:b/>
          <w:bCs/>
          <w:sz w:val="44"/>
          <w:szCs w:val="44"/>
        </w:rPr>
        <w:t>2022年部门整体支出绩效评价自评</w:t>
      </w:r>
    </w:p>
    <w:p w14:paraId="3AE045AA">
      <w:pPr>
        <w:jc w:val="center"/>
        <w:rPr>
          <w:rFonts w:ascii="宋体" w:hAnsi="宋体" w:cs="仿宋"/>
          <w:b/>
          <w:bCs/>
          <w:sz w:val="44"/>
          <w:szCs w:val="44"/>
        </w:rPr>
      </w:pPr>
      <w:r>
        <w:rPr>
          <w:rFonts w:hint="eastAsia" w:ascii="宋体" w:hAnsi="宋体" w:cs="仿宋"/>
          <w:b/>
          <w:bCs/>
          <w:sz w:val="44"/>
          <w:szCs w:val="44"/>
        </w:rPr>
        <w:t>报   告</w:t>
      </w:r>
    </w:p>
    <w:p w14:paraId="19C07C21">
      <w:pPr>
        <w:spacing w:line="570" w:lineRule="exact"/>
        <w:ind w:firstLine="640" w:firstLineChars="200"/>
        <w:jc w:val="left"/>
        <w:rPr>
          <w:rFonts w:ascii="Times New Roman" w:hAnsi="仿宋" w:eastAsia="仿宋"/>
          <w:sz w:val="32"/>
          <w:szCs w:val="32"/>
        </w:rPr>
      </w:pPr>
    </w:p>
    <w:p w14:paraId="6CEF606A">
      <w:pPr>
        <w:spacing w:line="570" w:lineRule="exact"/>
        <w:ind w:firstLine="640" w:firstLineChars="200"/>
        <w:jc w:val="left"/>
        <w:rPr>
          <w:rFonts w:ascii="Times New Roman" w:hAnsi="Times New Roman" w:eastAsia="仿宋"/>
          <w:sz w:val="32"/>
          <w:szCs w:val="32"/>
        </w:rPr>
      </w:pPr>
      <w:r>
        <w:rPr>
          <w:rFonts w:ascii="Times New Roman" w:hAnsi="仿宋" w:eastAsia="仿宋"/>
          <w:sz w:val="32"/>
          <w:szCs w:val="32"/>
        </w:rPr>
        <w:t>为贯彻落实中共中央、国务院</w:t>
      </w:r>
      <w:r>
        <w:rPr>
          <w:rFonts w:ascii="Times New Roman" w:hAnsi="Times New Roman" w:eastAsia="仿宋"/>
          <w:sz w:val="32"/>
          <w:szCs w:val="32"/>
        </w:rPr>
        <w:t>“</w:t>
      </w:r>
      <w:r>
        <w:rPr>
          <w:rFonts w:ascii="Times New Roman" w:hAnsi="仿宋" w:eastAsia="仿宋"/>
          <w:sz w:val="32"/>
          <w:szCs w:val="32"/>
        </w:rPr>
        <w:t>全面实施预算绩效管理</w:t>
      </w:r>
      <w:r>
        <w:rPr>
          <w:rFonts w:ascii="Times New Roman" w:hAnsi="Times New Roman" w:eastAsia="仿宋"/>
          <w:sz w:val="32"/>
          <w:szCs w:val="32"/>
        </w:rPr>
        <w:t>”</w:t>
      </w:r>
      <w:r>
        <w:rPr>
          <w:rFonts w:ascii="Times New Roman" w:hAnsi="仿宋" w:eastAsia="仿宋"/>
          <w:sz w:val="32"/>
          <w:szCs w:val="32"/>
        </w:rPr>
        <w:t>的理念，切实加强财政支出管理，提高财政资金使用绩效和政府管理效能。根据《中华人民共和国预算法》和</w:t>
      </w:r>
      <w:r>
        <w:rPr>
          <w:rFonts w:hint="eastAsia" w:ascii="Times New Roman" w:hAnsi="仿宋" w:eastAsia="仿宋"/>
          <w:sz w:val="32"/>
          <w:szCs w:val="32"/>
        </w:rPr>
        <w:t>《中共隆尧县委、隆尧县人民政府关于全面实施预算绩效管理的实施意见》</w:t>
      </w:r>
      <w:r>
        <w:rPr>
          <w:rFonts w:ascii="Times New Roman" w:hAnsi="Times New Roman" w:eastAsia="仿宋"/>
          <w:sz w:val="32"/>
          <w:szCs w:val="32"/>
        </w:rPr>
        <w:t>(</w:t>
      </w:r>
      <w:r>
        <w:rPr>
          <w:rFonts w:ascii="Times New Roman" w:hAnsi="仿宋" w:eastAsia="仿宋"/>
          <w:sz w:val="32"/>
          <w:szCs w:val="32"/>
        </w:rPr>
        <w:t>隆</w:t>
      </w:r>
      <w:r>
        <w:rPr>
          <w:rFonts w:hint="eastAsia" w:ascii="Times New Roman" w:hAnsi="仿宋" w:eastAsia="仿宋"/>
          <w:sz w:val="32"/>
          <w:szCs w:val="32"/>
        </w:rPr>
        <w:t>发</w:t>
      </w:r>
      <w:r>
        <w:rPr>
          <w:rFonts w:ascii="Times New Roman" w:hAnsi="仿宋" w:eastAsia="仿宋"/>
          <w:sz w:val="32"/>
          <w:szCs w:val="32"/>
        </w:rPr>
        <w:t>〔</w:t>
      </w:r>
      <w:r>
        <w:rPr>
          <w:rFonts w:ascii="Times New Roman" w:hAnsi="Times New Roman" w:eastAsia="仿宋"/>
          <w:sz w:val="32"/>
          <w:szCs w:val="32"/>
        </w:rPr>
        <w:t>2019</w:t>
      </w:r>
      <w:r>
        <w:rPr>
          <w:rFonts w:ascii="Times New Roman" w:hAnsi="仿宋" w:eastAsia="仿宋"/>
          <w:sz w:val="32"/>
          <w:szCs w:val="32"/>
        </w:rPr>
        <w:t>〕</w:t>
      </w:r>
      <w:r>
        <w:rPr>
          <w:rFonts w:ascii="Times New Roman" w:hAnsi="Times New Roman" w:eastAsia="仿宋"/>
          <w:sz w:val="32"/>
          <w:szCs w:val="32"/>
        </w:rPr>
        <w:t>1</w:t>
      </w:r>
      <w:r>
        <w:rPr>
          <w:rFonts w:hint="eastAsia" w:ascii="Times New Roman" w:hAnsi="Times New Roman" w:eastAsia="仿宋"/>
          <w:sz w:val="32"/>
          <w:szCs w:val="32"/>
        </w:rPr>
        <w:t>5</w:t>
      </w:r>
      <w:r>
        <w:rPr>
          <w:rFonts w:ascii="Times New Roman" w:hAnsi="仿宋" w:eastAsia="仿宋"/>
          <w:sz w:val="32"/>
          <w:szCs w:val="32"/>
        </w:rPr>
        <w:t>号</w:t>
      </w:r>
      <w:r>
        <w:rPr>
          <w:rFonts w:ascii="Times New Roman" w:hAnsi="Times New Roman" w:eastAsia="仿宋"/>
          <w:sz w:val="32"/>
          <w:szCs w:val="32"/>
        </w:rPr>
        <w:t>)</w:t>
      </w:r>
      <w:r>
        <w:rPr>
          <w:rFonts w:hint="eastAsia" w:ascii="Times New Roman" w:hAnsi="仿宋" w:eastAsia="仿宋"/>
          <w:sz w:val="32"/>
          <w:szCs w:val="32"/>
        </w:rPr>
        <w:t>，规范县级部门整体绩效评价工作，提高财政资金使用效益</w:t>
      </w:r>
      <w:r>
        <w:rPr>
          <w:rFonts w:ascii="Times New Roman" w:hAnsi="仿宋" w:eastAsia="仿宋"/>
          <w:sz w:val="32"/>
          <w:szCs w:val="32"/>
        </w:rPr>
        <w:t>相关规定。按照《隆尧县部门预算绩效管理办法》</w:t>
      </w:r>
      <w:r>
        <w:rPr>
          <w:rFonts w:ascii="Times New Roman" w:hAnsi="Times New Roman" w:eastAsia="仿宋"/>
          <w:sz w:val="32"/>
          <w:szCs w:val="32"/>
        </w:rPr>
        <w:t>(</w:t>
      </w:r>
      <w:r>
        <w:rPr>
          <w:rFonts w:ascii="Times New Roman" w:hAnsi="仿宋" w:eastAsia="仿宋"/>
          <w:sz w:val="32"/>
          <w:szCs w:val="32"/>
        </w:rPr>
        <w:t>隆财〔</w:t>
      </w:r>
      <w:r>
        <w:rPr>
          <w:rFonts w:ascii="Times New Roman" w:hAnsi="Times New Roman" w:eastAsia="仿宋"/>
          <w:sz w:val="32"/>
          <w:szCs w:val="32"/>
        </w:rPr>
        <w:t>2019</w:t>
      </w:r>
      <w:r>
        <w:rPr>
          <w:rFonts w:ascii="Times New Roman" w:hAnsi="仿宋" w:eastAsia="仿宋"/>
          <w:sz w:val="32"/>
          <w:szCs w:val="32"/>
        </w:rPr>
        <w:t>〕</w:t>
      </w:r>
      <w:r>
        <w:rPr>
          <w:rFonts w:ascii="Times New Roman" w:hAnsi="Times New Roman" w:eastAsia="仿宋"/>
          <w:sz w:val="32"/>
          <w:szCs w:val="32"/>
        </w:rPr>
        <w:t>117</w:t>
      </w:r>
      <w:r>
        <w:rPr>
          <w:rFonts w:ascii="Times New Roman" w:hAnsi="仿宋" w:eastAsia="仿宋"/>
          <w:sz w:val="32"/>
          <w:szCs w:val="32"/>
        </w:rPr>
        <w:t>号</w:t>
      </w:r>
      <w:r>
        <w:rPr>
          <w:rFonts w:ascii="Times New Roman" w:hAnsi="Times New Roman" w:eastAsia="仿宋"/>
          <w:sz w:val="32"/>
          <w:szCs w:val="32"/>
        </w:rPr>
        <w:t>)</w:t>
      </w:r>
      <w:r>
        <w:rPr>
          <w:rFonts w:ascii="Times New Roman" w:hAnsi="仿宋" w:eastAsia="仿宋"/>
          <w:sz w:val="32"/>
          <w:szCs w:val="32"/>
        </w:rPr>
        <w:t>、《隆尧县全面实施预算绩效管理推进工作方案》</w:t>
      </w:r>
      <w:r>
        <w:rPr>
          <w:rFonts w:ascii="Times New Roman" w:hAnsi="Times New Roman" w:eastAsia="仿宋"/>
          <w:sz w:val="32"/>
          <w:szCs w:val="32"/>
        </w:rPr>
        <w:t>(</w:t>
      </w:r>
      <w:r>
        <w:rPr>
          <w:rFonts w:ascii="Times New Roman" w:hAnsi="仿宋" w:eastAsia="仿宋"/>
          <w:sz w:val="32"/>
          <w:szCs w:val="32"/>
        </w:rPr>
        <w:t>隆财预〔</w:t>
      </w:r>
      <w:r>
        <w:rPr>
          <w:rFonts w:ascii="Times New Roman" w:hAnsi="Times New Roman" w:eastAsia="仿宋"/>
          <w:sz w:val="32"/>
          <w:szCs w:val="32"/>
        </w:rPr>
        <w:t>2019</w:t>
      </w:r>
      <w:r>
        <w:rPr>
          <w:rFonts w:ascii="Times New Roman" w:hAnsi="仿宋" w:eastAsia="仿宋"/>
          <w:sz w:val="32"/>
          <w:szCs w:val="32"/>
        </w:rPr>
        <w:t>〕</w:t>
      </w:r>
      <w:r>
        <w:rPr>
          <w:rFonts w:ascii="Times New Roman" w:hAnsi="Times New Roman" w:eastAsia="仿宋"/>
          <w:sz w:val="32"/>
          <w:szCs w:val="32"/>
        </w:rPr>
        <w:t>118</w:t>
      </w:r>
      <w:r>
        <w:rPr>
          <w:rFonts w:ascii="Times New Roman" w:hAnsi="仿宋" w:eastAsia="仿宋"/>
          <w:sz w:val="32"/>
          <w:szCs w:val="32"/>
        </w:rPr>
        <w:t>号</w:t>
      </w:r>
      <w:r>
        <w:rPr>
          <w:rFonts w:ascii="Times New Roman" w:hAnsi="Times New Roman" w:eastAsia="仿宋"/>
          <w:sz w:val="32"/>
          <w:szCs w:val="32"/>
        </w:rPr>
        <w:t>)</w:t>
      </w:r>
      <w:r>
        <w:rPr>
          <w:rFonts w:ascii="Times New Roman" w:hAnsi="仿宋" w:eastAsia="仿宋"/>
          <w:sz w:val="32"/>
          <w:szCs w:val="32"/>
        </w:rPr>
        <w:t>、《隆尧县县级部门</w:t>
      </w:r>
      <w:r>
        <w:rPr>
          <w:rFonts w:hint="eastAsia" w:ascii="Times New Roman" w:hAnsi="仿宋" w:eastAsia="仿宋"/>
          <w:sz w:val="32"/>
          <w:szCs w:val="32"/>
        </w:rPr>
        <w:t>整体</w:t>
      </w:r>
      <w:r>
        <w:rPr>
          <w:rFonts w:ascii="Times New Roman" w:hAnsi="仿宋" w:eastAsia="仿宋"/>
          <w:sz w:val="32"/>
          <w:szCs w:val="32"/>
        </w:rPr>
        <w:t>绩效</w:t>
      </w:r>
      <w:r>
        <w:rPr>
          <w:rFonts w:hint="eastAsia" w:ascii="Times New Roman" w:hAnsi="仿宋" w:eastAsia="仿宋"/>
          <w:sz w:val="32"/>
          <w:szCs w:val="32"/>
        </w:rPr>
        <w:t>评价管理</w:t>
      </w:r>
      <w:r>
        <w:rPr>
          <w:rFonts w:ascii="Times New Roman" w:hAnsi="仿宋" w:eastAsia="仿宋"/>
          <w:sz w:val="32"/>
          <w:szCs w:val="32"/>
        </w:rPr>
        <w:t>办法》（隆财〔</w:t>
      </w:r>
      <w:r>
        <w:rPr>
          <w:rFonts w:ascii="Times New Roman" w:hAnsi="Times New Roman" w:eastAsia="仿宋"/>
          <w:sz w:val="32"/>
          <w:szCs w:val="32"/>
        </w:rPr>
        <w:t>202</w:t>
      </w:r>
      <w:r>
        <w:rPr>
          <w:rFonts w:hint="eastAsia" w:ascii="Times New Roman" w:hAnsi="Times New Roman" w:eastAsia="仿宋"/>
          <w:sz w:val="32"/>
          <w:szCs w:val="32"/>
        </w:rPr>
        <w:t>0</w:t>
      </w:r>
      <w:r>
        <w:rPr>
          <w:rFonts w:ascii="Times New Roman" w:hAnsi="仿宋" w:eastAsia="仿宋"/>
          <w:sz w:val="32"/>
          <w:szCs w:val="32"/>
        </w:rPr>
        <w:t>〕</w:t>
      </w:r>
      <w:r>
        <w:rPr>
          <w:rFonts w:hint="eastAsia" w:ascii="Times New Roman" w:hAnsi="Times New Roman" w:eastAsia="仿宋"/>
          <w:sz w:val="32"/>
          <w:szCs w:val="32"/>
        </w:rPr>
        <w:t>28</w:t>
      </w:r>
      <w:r>
        <w:rPr>
          <w:rFonts w:ascii="Times New Roman" w:hAnsi="仿宋" w:eastAsia="仿宋"/>
          <w:sz w:val="32"/>
          <w:szCs w:val="32"/>
        </w:rPr>
        <w:t>号）相关要求，我局领导高度重视，对</w:t>
      </w:r>
      <w:r>
        <w:rPr>
          <w:rFonts w:ascii="Times New Roman" w:hAnsi="Times New Roman" w:eastAsia="仿宋"/>
          <w:sz w:val="32"/>
          <w:szCs w:val="32"/>
        </w:rPr>
        <w:t>20</w:t>
      </w:r>
      <w:r>
        <w:rPr>
          <w:rFonts w:hint="eastAsia" w:ascii="Times New Roman" w:hAnsi="Times New Roman" w:eastAsia="仿宋"/>
          <w:sz w:val="32"/>
          <w:szCs w:val="32"/>
        </w:rPr>
        <w:t>22</w:t>
      </w:r>
      <w:r>
        <w:rPr>
          <w:rFonts w:ascii="Times New Roman" w:hAnsi="仿宋" w:eastAsia="仿宋"/>
          <w:sz w:val="32"/>
          <w:szCs w:val="32"/>
        </w:rPr>
        <w:t>年预算项目明确分工，以求真务实的工作态度认真开展了绩效评价。现将总体绩效评价情况报告如下：</w:t>
      </w:r>
    </w:p>
    <w:p w14:paraId="3A0E6A03">
      <w:pPr>
        <w:pStyle w:val="9"/>
        <w:numPr>
          <w:ilvl w:val="0"/>
          <w:numId w:val="1"/>
        </w:numPr>
        <w:spacing w:line="570" w:lineRule="exact"/>
        <w:ind w:firstLineChars="0"/>
        <w:rPr>
          <w:rFonts w:ascii="黑体" w:hAnsi="黑体" w:eastAsia="黑体"/>
          <w:sz w:val="32"/>
          <w:szCs w:val="32"/>
        </w:rPr>
      </w:pPr>
      <w:r>
        <w:rPr>
          <w:rFonts w:ascii="黑体" w:hAnsi="黑体" w:eastAsia="黑体"/>
          <w:sz w:val="32"/>
          <w:szCs w:val="32"/>
        </w:rPr>
        <w:t>绩效自评工作组织开展情况</w:t>
      </w:r>
    </w:p>
    <w:p w14:paraId="07BD00E2">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（一）绩效自评工作组织情况</w:t>
      </w:r>
    </w:p>
    <w:p w14:paraId="46F87DE1">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我局高度重视部门绩效自评工作，明确专人负责，成立了部门绩效评价领导小组，以局分管领导为组长，各相关股室工作人员为组员的评价小组，认真组织实施部门整体支出绩效自评。认真组织和实施部门整体支出绩效自评工作。严格规范自评程序和质量。认真收集整理评价基础数据资料，加强现场勘验力度，严格自评材料审核，确保自评材料全面真实；认真设计反映行业特点和项目特征的个性绩效指标，提高绩效目标与指标的相关性，增强评价指标反映项目绩效水平和绩效目标实现程度的全面性。</w:t>
      </w:r>
    </w:p>
    <w:p w14:paraId="726B8C38">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（二）实施过程</w:t>
      </w:r>
    </w:p>
    <w:p w14:paraId="321536FD">
      <w:pPr>
        <w:spacing w:line="570" w:lineRule="exact"/>
        <w:ind w:firstLine="640" w:firstLineChars="200"/>
        <w:jc w:val="left"/>
        <w:rPr>
          <w:rFonts w:ascii="Times New Roman" w:hAnsi="Times New Roman" w:eastAsia="仿宋"/>
          <w:sz w:val="32"/>
          <w:szCs w:val="32"/>
        </w:rPr>
      </w:pPr>
      <w:r>
        <w:rPr>
          <w:rFonts w:ascii="Times New Roman" w:hAnsi="Times New Roman" w:eastAsia="仿宋"/>
          <w:sz w:val="32"/>
          <w:szCs w:val="32"/>
        </w:rPr>
        <w:t>20</w:t>
      </w:r>
      <w:r>
        <w:rPr>
          <w:rFonts w:hint="eastAsia" w:ascii="Times New Roman" w:hAnsi="Times New Roman" w:eastAsia="仿宋"/>
          <w:sz w:val="32"/>
          <w:szCs w:val="32"/>
        </w:rPr>
        <w:t>23</w:t>
      </w:r>
      <w:r>
        <w:rPr>
          <w:rFonts w:ascii="Times New Roman" w:hAnsi="仿宋" w:eastAsia="仿宋"/>
          <w:sz w:val="32"/>
          <w:szCs w:val="32"/>
        </w:rPr>
        <w:t>年，我县按照财政的考核要求，积极开展预算绩效管理工作，实现预算绩效管理全过程化。县本级一般公共预算资金的绩效目标、绩效监控、绩效自评、整体支出形成以政府重视、财政牵头、部门实施的良好的工作联动机制。</w:t>
      </w:r>
    </w:p>
    <w:p w14:paraId="5ACC1B5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（三）部门预算安排及资金分配拨付</w:t>
      </w:r>
    </w:p>
    <w:p w14:paraId="53FFFEB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我部门评价项目140个，调整预算15800.32万元，拨付执行预算13360.36万元。按照要求，我部门年初申报的项目都编制了绩效目标，绩效目标的设定与部门职能、发展规划紧密相关且经过合理测算，在预算执行中，我部门严格执行《与算法》和各项财经纪律，认真落实预算管理的各项规定，将加快预算执行进度、提高财政资金使用效益和保障资金安全结合起来，强化内控管理。具体项目预算安排与资金支付情况如下：</w:t>
      </w:r>
    </w:p>
    <w:p w14:paraId="30E906F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冀财教[2021]161号/下达2022年省级教师队伍建设专项资金（民办代课教师教龄补助）/原民办教师补助项目调整预算数1660000元，执行预算数1660000元，支出率100%；</w:t>
      </w:r>
    </w:p>
    <w:p w14:paraId="1A64CD8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城建税/隆尧县中小学厕所改造项目（小学）项目调整预算数2539661.28元，执行预算数2539661.28元，支出率100%；</w:t>
      </w:r>
    </w:p>
    <w:p w14:paraId="7CF4F03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隆尧县中小学厕所改造项目（初中）项目调整预算数226086.95元，执行预算数226086.95元，支出率100%；</w:t>
      </w:r>
    </w:p>
    <w:p w14:paraId="089023F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县级配套/营养改善计划项目调整预算数9463000元，执行预算数5907558.25元，支出率62.43%；</w:t>
      </w:r>
    </w:p>
    <w:p w14:paraId="566C1B4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唐尧中学补助经费项目调整预算数2630009元，执行预算数2628832.54元，支出率99.96%；</w:t>
      </w:r>
    </w:p>
    <w:p w14:paraId="3D5ED9F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县级配套/原民办教师补助项目调整预算数2997152元，执行预算数2910058元，支出率97.09%；</w:t>
      </w:r>
    </w:p>
    <w:p w14:paraId="32114A3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新课改资料费项目调整预算数245000元，执行预算数245000元，支出率100%；</w:t>
      </w:r>
    </w:p>
    <w:p w14:paraId="4932971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2022年安保经费项目调整预算数988800元，执行预算数988800元，支出率100%；</w:t>
      </w:r>
    </w:p>
    <w:p w14:paraId="50DE64B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冀财教[2021]168号/下达2022年城乡义务教育省级补助经费/营养改善计划项目调整预算数8860000元，执行预算数5907558.25元，支出率66.68%；</w:t>
      </w:r>
    </w:p>
    <w:p w14:paraId="0091461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教育费附加/薄弱改造/智慧校园中学（大规模）项目调整预算数6400000元，执行预算数6052540元，支出率94.57%；</w:t>
      </w:r>
    </w:p>
    <w:p w14:paraId="594B054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教育费附加/微机购置（初中）项目调整预算数325278元，执行预算数325278元，支出率100%；</w:t>
      </w:r>
    </w:p>
    <w:p w14:paraId="5AC280D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教育费附加/微机购置（小学）项目调整预算数169017元，执行预算数169017元，支出率100%；</w:t>
      </w:r>
    </w:p>
    <w:p w14:paraId="7450C6C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土地出让金/政府奖励/教育奖励金项目项目调整预算数2879500元，执行预算数2879500元，支出率100%；</w:t>
      </w:r>
    </w:p>
    <w:p w14:paraId="20F8F24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土地出让金/政府奖励/教师节表彰奖励资金项目调整预算数3522000元，执行预算数3522000元，支出率100%；</w:t>
      </w:r>
    </w:p>
    <w:p w14:paraId="3BE66F6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盘活存量资金/唐尧中学补助经费项目调整预算数400000元，执行预算数371397元，支出率92.85%；</w:t>
      </w:r>
    </w:p>
    <w:p w14:paraId="3FAFE49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上年结转/计提教育资金/智慧校园小学(大规模）项目调整预算数5549675元，执行预算数5549675元，支出率100%；</w:t>
      </w:r>
    </w:p>
    <w:p w14:paraId="0F3D896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上年结转/计提教育资金/教育专项规划项目调整预算数190000元，执行预算数190000元，支出率100%；</w:t>
      </w:r>
    </w:p>
    <w:p w14:paraId="6EC6FE2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上年结转/计提教育资金/全县中小学土地确权测量费项目调整预算数450506元，执行预算数450506元，支出率100%；</w:t>
      </w:r>
    </w:p>
    <w:p w14:paraId="11D620F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上年结转/计提教育资金/校园互联网业务提升改造、机房等保项目调整预算数378000元，执行预算数378000元，支出率100%；</w:t>
      </w:r>
    </w:p>
    <w:p w14:paraId="6629B43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上年结转/冀财债[2021]57号/新增专项债券/隆尧体育馆项目项目调整预算数10000000元，执行预算数10000000元，支出率100%；</w:t>
      </w:r>
    </w:p>
    <w:p w14:paraId="779DA6D8">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南通教师工资项目调整预算数4381035元，执行预算数4381035元，支出率100%；</w:t>
      </w:r>
    </w:p>
    <w:p w14:paraId="14A5870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*衔接资金/普通高中三免（一中高中）建档立卡项目调整预算数74760元，执行预算数72386.16元，支出率96.82%；</w:t>
      </w:r>
    </w:p>
    <w:p w14:paraId="513022C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*衔接资金/县级配套/普通高中助学金（一中高中）项目调整预算数349800元，执行预算数349800元，支出率100%；</w:t>
      </w:r>
    </w:p>
    <w:p w14:paraId="6F1470C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一中硕博引进计划项目调整预算数28800元，执行预算数28800元，支出率100%；</w:t>
      </w:r>
    </w:p>
    <w:p w14:paraId="66FA63C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一中宿舍楼改扩建项目（4号、6号楼）（一）项目调整预算数1670000元，执行预算数1670000元，支出率100%；</w:t>
      </w:r>
    </w:p>
    <w:p w14:paraId="6C33343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一中宿舍楼改扩建项目（4号、6号楼）项目调整预算数1950000元，执行预算数1950000元，支出率100%；</w:t>
      </w:r>
    </w:p>
    <w:p w14:paraId="101322B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一中绩效工资项目调整预算数500000元，执行预算数500000元，支出率100%；</w:t>
      </w:r>
    </w:p>
    <w:p w14:paraId="2BA6B9D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土地出让金计提/隆尧一中学雨污分流项目项目调整预算数520000元，执行预算数390000元，支出率75%；</w:t>
      </w:r>
    </w:p>
    <w:p w14:paraId="0F9198E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*衔接资金/冀财教[2021]166号/下达2022年省级普通高中补助资金/普通高中三免（一中高中）建档立卡项目调整预算数304000元，执行预算数304000元，支出率100%；</w:t>
      </w:r>
    </w:p>
    <w:p w14:paraId="5775D67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*衔接资金/冀财教[2021]166号/下达2022年省级普通高中补助资金/普通高中助学金（一中高中）项目调整预算数260700元，执行预算数260700元，支出率100%；</w:t>
      </w:r>
    </w:p>
    <w:p w14:paraId="10D78A5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*衔接资金/冀财教[2022]32号/下达2022年省级普通高中补助资金/普通高中助学金（一中高中）项目调整预算数20000元，执行预算数20000元，支出率100%；</w:t>
      </w:r>
    </w:p>
    <w:p w14:paraId="2957B3D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*衔接资金/冀财教[2021]166号/下达2022年省级普通高中补助资金/普通高中助学金（一中高中）项目调整预算数80000元，执行预算数80000元，支出率100%；</w:t>
      </w:r>
    </w:p>
    <w:p w14:paraId="682ABB5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冀财教[2021]166号/下达2022年省级普通高中补助资金/改善普通高中办学条件项目调整预算数610000元，执行预算数480000元，支出率78.69%；</w:t>
      </w:r>
    </w:p>
    <w:p w14:paraId="7AF2BFE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冀财教[2021]166号/下达2022年省级普通高中补助资金/普通高中助学金（一中高中）项目调整预算数48300元，执行预算数48300元，支出率100%；</w:t>
      </w:r>
    </w:p>
    <w:p w14:paraId="60BCC82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冀财教[2021]166号/下达2022年省级普通高中补助资金/普通高中助学金（一中高中）项目调整预算数4300元，执行预算数4300元，支出率100%；</w:t>
      </w:r>
    </w:p>
    <w:p w14:paraId="74E4409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上年结转/计提教育资金/革命老区项目县配套资金（尹村中学综合楼）项目调整预算数20000元，执行预算数20000元，支出率100%；</w:t>
      </w:r>
    </w:p>
    <w:p w14:paraId="40133A4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2022年安保经费/尧山中学项目调整预算数60900元，执行预算数60900元，支出率100%；</w:t>
      </w:r>
    </w:p>
    <w:p w14:paraId="5F5444F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革命老区项目县配套资金（尹村中学综合楼）（一）项目调整预算数800000元，执行预算数780000元，支出率97.5%；</w:t>
      </w:r>
    </w:p>
    <w:p w14:paraId="3EA7518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农村税费改革/革命老区项目县级配套资金（尹村中学综合楼）项目调整预算数220906元，执行预算数220906元，支出率100%；</w:t>
      </w:r>
    </w:p>
    <w:p w14:paraId="744F6F3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教育费附加/校舍安全保障/尹村中学塑胶操场改造项目调整预算数849575元，执行预算数849575元，支出率100%；</w:t>
      </w:r>
    </w:p>
    <w:p w14:paraId="42335C8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2022年安保经费/尹村中学项目调整预算数42000元，执行预算数42000元，支出率100%；</w:t>
      </w:r>
    </w:p>
    <w:p w14:paraId="5E9CEA3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2022年安保经费/东良中学项目调整预算数4200元，执行预算数4200元，支出率100%；</w:t>
      </w:r>
    </w:p>
    <w:p w14:paraId="47DDEEB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2022年安保经费/魏家庄中学项目调整预算数4200元，执行预算数4200元，支出率100%；</w:t>
      </w:r>
    </w:p>
    <w:p w14:paraId="3EB53A6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2022年安保经费/牛家桥中学项目调整预算数4200元，执行预算数4200元，支出率100%；</w:t>
      </w:r>
    </w:p>
    <w:p w14:paraId="009D770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教育费附加/校舍安全保障/滏阳中学运动场塑胶操场项目项目调整预算数1300000元，执行预算数900000元，支出率69.23%；</w:t>
      </w:r>
    </w:p>
    <w:p w14:paraId="6148B38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2022年安保经费/滏阳中学项目调整预算数41280元，执行预算数41280元，支出率100%；</w:t>
      </w:r>
    </w:p>
    <w:p w14:paraId="026534A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教育费附加/校舍安全保障/固城中学塑胶操场改造项目调整预算数696878元，执行预算数696878元，支出率100%；</w:t>
      </w:r>
    </w:p>
    <w:p w14:paraId="72BDE92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冀财教[2021]168号/下达2022年城乡义务教育省级补助资金/校舍安全保障/固城中学宿舍楼改造项目调整预算数1100000元，执行预算数971820元，支出率88.35%；</w:t>
      </w:r>
    </w:p>
    <w:p w14:paraId="22249CE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提前下达一般债券/隆尧县实验中学新建项目项目调整预算数14500000元，执行预算数14500000元，支出率100%；</w:t>
      </w:r>
    </w:p>
    <w:p w14:paraId="22CD8C4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冀财债[2022]30号/新增政府一般债券/隆尧县实验中学新建项目项目调整预算数5500000元，执行预算数5500000元，支出率100%；</w:t>
      </w:r>
    </w:p>
    <w:p w14:paraId="464F7E2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实验中学雨污分流项目项目调整预算数230000元，执行预算数218000元，支出率94.78%；</w:t>
      </w:r>
    </w:p>
    <w:p w14:paraId="6D4A18A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2022年安保经费/实验中学项目调整预算数42420元，执行预算数42420元，支出率100%；</w:t>
      </w:r>
    </w:p>
    <w:p w14:paraId="608AA55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2022年安保经费/特教学校项目调整预算数22200元，执行预算数22200元，支出率100%；</w:t>
      </w:r>
    </w:p>
    <w:p w14:paraId="55E5870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实验小学雨污分流项目项目调整预算数60000元，执行预算数59000元，支出率98.33%；</w:t>
      </w:r>
    </w:p>
    <w:p w14:paraId="2B7FECA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2022年安保经费/实验小学项目调整预算数84000元，执行预算数84000元，支出率100%；</w:t>
      </w:r>
    </w:p>
    <w:p w14:paraId="11C9D06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*衔接资金/普通高中三免（职教高中）建档立卡项目调整预算数16800元，执行预算数16800元，支出率100%；</w:t>
      </w:r>
    </w:p>
    <w:p w14:paraId="679D845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*衔接资金/县级配套/普通高中助学金（职教高中）项目调整预算数31200元，执行预算数31200元，支出率100%；</w:t>
      </w:r>
    </w:p>
    <w:p w14:paraId="696B164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*衔接资金/县级配套/中职免学费（职教）项目调整预算数235260元，执行预算数235260元，支出率100%；</w:t>
      </w:r>
    </w:p>
    <w:p w14:paraId="5263FAE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*衔接资金/县级配套/中职免学费（职教）项目调整预算数410340元，执行预算数410340元，支出率100%；</w:t>
      </w:r>
    </w:p>
    <w:p w14:paraId="36ED2E5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*衔接资金/县级配套/中职助学金（职教）项目调整预算数193600元，执行预算数100411元，支出率51.87%；</w:t>
      </w:r>
    </w:p>
    <w:p w14:paraId="50F122D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*衔接资金/县级资金/中职两免资助（职教）项目调整预算数22000元，执行预算数14800元，支出率67.27%；</w:t>
      </w:r>
    </w:p>
    <w:p w14:paraId="12B1F3D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教育费附加/职业教育教育附加30%/智慧校园项目调整预算数2448000元，执行预算数2399354元，支出率98.01%；</w:t>
      </w:r>
    </w:p>
    <w:p w14:paraId="445E7A8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教育费附加/职业教育教育附加30%/校园粉刷工程项目调整预算数222361元，执行预算数222361元，支出率100%；</w:t>
      </w:r>
    </w:p>
    <w:p w14:paraId="02EB92F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教育费附加/职业教育教育附加30%/餐厅门窗及通风排烟系统项目调整预算数388943.66元，执行预算数377788元，支出率97.13%；</w:t>
      </w:r>
    </w:p>
    <w:p w14:paraId="7A42183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教育费附加/职业教育教育附加30%/学校操场甬路浇筑项目调整预算数112895.34元，执行预算数112000元，支出率99.21%；</w:t>
      </w:r>
    </w:p>
    <w:p w14:paraId="5DDD266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教育费附加/职业教育教育附加30%/一体机购置项目调整预算数127800元，执行预算数127800元，支出率100%；</w:t>
      </w:r>
    </w:p>
    <w:p w14:paraId="66E0EED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土地出让金计提/职教中心雨污分流项目项目调整预算数210000元，执行预算数199700元，支出率95.1%；</w:t>
      </w:r>
    </w:p>
    <w:p w14:paraId="6503509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*衔接资金/冀财教[2021]166号/下达2022年省级普通高中补助资金/普通高中三免（职教高中）建档立卡项目调整预算数68300元，执行预算数68300元，支出率100%；</w:t>
      </w:r>
    </w:p>
    <w:p w14:paraId="09A3FC1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*衔接资金/冀财教[2021]166号/下达2022年省级普通高中补助资金/普通高中助学金（职教高中）项目调整预算数23200元，执行预算数9300元，支出率40.09%；</w:t>
      </w:r>
    </w:p>
    <w:p w14:paraId="047946D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*衔接资金/冀财教[2021]165号/下达2022年省级现代职业教育发展专项资金/中职免学费（职教中职）项目调整预算数157029元，执行预算数157029元，支出率100%；</w:t>
      </w:r>
    </w:p>
    <w:p w14:paraId="68E7836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*衔接资金/冀财教[2021]165号/下达2022年省级现代职业教育发展专项资金/中职免学费（职教中职）项目调整预算数278400元，执行预算数278400元，支出率100%；</w:t>
      </w:r>
    </w:p>
    <w:p w14:paraId="24A5B09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*衔接资金/冀财教[2021]165号/下达2022年省级现代职业教育发展专项资金/中职免学费（职教中职）项目调整预算数30171元，执行预算数30171元，支出率100%；</w:t>
      </w:r>
    </w:p>
    <w:p w14:paraId="2AF301E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*衔接资金/冀财教[2021]165号/下达2022年省级现代职业教育发展专项资金/中职助学金（职教中职）项目调整预算数143200元，执行预算数143200元，支出率100%；</w:t>
      </w:r>
    </w:p>
    <w:p w14:paraId="32D2409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*衔接资金/冀财教[2021]165号/2022年省级现代职业教育发展专项资金/中职资助建档立卡（职教中心）项目调整预算数6000元，执行预算数6000元，支出率100%；</w:t>
      </w:r>
    </w:p>
    <w:p w14:paraId="0CE5EDF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提前下达专项债券/隆尧县职业技术教育中心教科研研发中心项目调整预算数14775724.38元，执行预算数14775724.38元，支出率100%；</w:t>
      </w:r>
    </w:p>
    <w:p w14:paraId="37F4D95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冀财教[2021]165号/下达2022年省级现代职业教育发展专项资金/中职免学费（职教）项目调整预算数100元，执行预算数100元，支出率100%；</w:t>
      </w:r>
    </w:p>
    <w:p w14:paraId="3EABCF3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县级配套/中职免学费（职教）项目调整预算数61600元，执行预算数61600元，支出率100%；</w:t>
      </w:r>
    </w:p>
    <w:p w14:paraId="7CD477C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提前下达一般债券/隆尧县德兴路小学新建项目项目调整预算数13000000元，执行预算数13000000元，支出率100%；</w:t>
      </w:r>
    </w:p>
    <w:p w14:paraId="035C187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冀财债[2022]30号/新增政府一般债券/德兴路小学新建项目项目调整预算数2000000元，执行预算数419200元，支出率20.96%；</w:t>
      </w:r>
    </w:p>
    <w:p w14:paraId="43EAC36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*衔接资金/县级配套/城关校区学前教育幼儿资助项目调整预算数115800元，执行预算数7500元，支出率6.48%；</w:t>
      </w:r>
    </w:p>
    <w:p w14:paraId="72E734A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教育费附加/校舍安全保障/杨河小学塑胶操场改造项目调整预算数658928元，执行预算数658928元，支出率100%；</w:t>
      </w:r>
    </w:p>
    <w:p w14:paraId="35704BB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冀财教[2022]33号/下达2022年省级城乡义务教育补助资金/校舍安全保障/尧南关小学新建教学附属用房项目调整预算数700000元，执行预算数414600元，支出率59.23%；</w:t>
      </w:r>
    </w:p>
    <w:p w14:paraId="0EE8F74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冀财债[2022]30号/新增政府一般债券/柳行小学教学楼建设项目项目调整预算数4000000元，执行预算数4000000元，支出率100%；</w:t>
      </w:r>
    </w:p>
    <w:p w14:paraId="22F41C6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2022年安保经费/城关校区项目调整预算数90090元，执行预算数90090元，支出率100%；</w:t>
      </w:r>
    </w:p>
    <w:p w14:paraId="02E70F4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冀财债[2022]50号/新增专项债券/隆尧县城关校区德兴路小学附属幼儿园建设项目项目调整预算数10000000元，执行预算数0元，支出率0%；</w:t>
      </w:r>
    </w:p>
    <w:p w14:paraId="767B7D7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*衔接资金/县级配套/魏庄校区学前教育幼儿资助项目调整预算数43300元，执行预算数14300元，支出率33.03%；</w:t>
      </w:r>
    </w:p>
    <w:p w14:paraId="4D15F98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土地出让金计提/魏庄小学餐厅购置项目调整预算数100000元，执行预算数100000元，支出率100%；</w:t>
      </w:r>
    </w:p>
    <w:p w14:paraId="42E39C98">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2022年安保经费/魏庄校区项目调整预算数14700元，执行预算数14700元，支出率100%；</w:t>
      </w:r>
    </w:p>
    <w:p w14:paraId="06140EA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*衔接资金/县级配套/北楼校区学前教育幼儿资助项目调整预算数10000元，执行预算数8000元，支出率80%；</w:t>
      </w:r>
    </w:p>
    <w:p w14:paraId="216F720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原树人二小场地租赁费项目调整预算数137500元，执行预算数137500元，支出率100%；</w:t>
      </w:r>
    </w:p>
    <w:p w14:paraId="045D7D0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冀财教[2022]33号/下达2022年省级城乡义务教育补助资金/校舍安全保障/北楼小学大型修缮项目调整预算数100000元，执行预算数98570元，支出率98.57%；</w:t>
      </w:r>
    </w:p>
    <w:p w14:paraId="13C5A0C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冀财教[2022]33号/下达2022年省级城乡义务教育补助资金/校舍安全保障/南汪店小学大型修缮项目调整预算数280000元，执行预算数271600元，支出率97%；</w:t>
      </w:r>
    </w:p>
    <w:p w14:paraId="5F226DC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2022年安保经费/北楼校区项目调整预算数61320元，执行预算数61320元，支出率100%；</w:t>
      </w:r>
    </w:p>
    <w:p w14:paraId="601C341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*衔接资金/县级配套/东良校区学前教育幼儿资助项目调整预算数20900元，执行预算数10500元，支出率50.24%；</w:t>
      </w:r>
    </w:p>
    <w:p w14:paraId="6964C12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土地出让金计提/大干言餐厅购置项目调整预算数100000元，执行预算数97500元，支出率97.5%；</w:t>
      </w:r>
    </w:p>
    <w:p w14:paraId="7FEBCE1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冀财教[2021]168号/下达2022年城乡义务教育省级补助经费/校舍安全保障/周村小学操场硬化项目调整预算数310000元，执行预算数300700元，支出率97%；</w:t>
      </w:r>
    </w:p>
    <w:p w14:paraId="629E6EA8">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冀财教[2021]149号/下达2022年支持学前教育发展省级专项资金/邢村幼儿园附属用房改建及附属工程项目调整预算数808000元，执行预算数645520元，支出率79.89%；</w:t>
      </w:r>
    </w:p>
    <w:p w14:paraId="6E00490E">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冀财教[2022]33号/下达2022年省级城乡义务教育补助资金/校舍安全保障/大干言小学大型修缮项目调整预算数170000元，执行预算数164900元，支出率97%；</w:t>
      </w:r>
    </w:p>
    <w:p w14:paraId="4598648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2022年安保经费/东良校区项目调整预算数37800元，执行预算数37800元，支出率100%；</w:t>
      </w:r>
    </w:p>
    <w:p w14:paraId="4190B90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*衔接资金/县级配套/双碑校区学前教育幼儿资助项目调整预算数18800元，执行预算数4500元，支出率23.94%；</w:t>
      </w:r>
    </w:p>
    <w:p w14:paraId="26E003A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冀财教[2021]167号/下达2022年义务教育薄弱环节改善与能力提升省级补助资金/薄改与能力提升/西良后小学新建餐厅项目调整预算数2620000元，执行预算数0元，支出率0%；</w:t>
      </w:r>
    </w:p>
    <w:p w14:paraId="66BB22B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2022年安保经费/双碑校区项目调整预算数27300元，执行预算数27300元，支出率100%；</w:t>
      </w:r>
    </w:p>
    <w:p w14:paraId="427C74A8">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*衔接资金/县级配套/山口校区学前教育幼儿资助项目调整预算数29000元，执行预算数6000元，支出率20.69%；</w:t>
      </w:r>
    </w:p>
    <w:p w14:paraId="3F10013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冀财教[2021]149号/下达2022年支持学前教育发展省级专项资金/白木幼儿园附属用房改建项目调整预算数1267000元，执行预算数678000元，支出率53.51%；</w:t>
      </w:r>
    </w:p>
    <w:p w14:paraId="3591A50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2022年安保经费/山口校区项目调整预算数21000元，执行预算数21000元，支出率100%；</w:t>
      </w:r>
    </w:p>
    <w:p w14:paraId="2C34050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*衔接资金/县级配套/尹村校区学前教育幼儿资助项目调整预算数22000元，执行预算数5000元，支出率22.73%；</w:t>
      </w:r>
    </w:p>
    <w:p w14:paraId="4230C76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冀财教[2021]150号/下达2022年特殊教育省级补助资金预算/大宁甫小学专用设备购置项目调整预算数50000元，执行预算数50000元，支出率100%；</w:t>
      </w:r>
    </w:p>
    <w:p w14:paraId="230B39F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冀财教[2021]168号/下达2022年城乡义务教育省级补助资金/校舍安全保障/杨村小学新建大门项目调整预算数130000元，执行预算数127500元，支出率98.08%；</w:t>
      </w:r>
    </w:p>
    <w:p w14:paraId="1805847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冀财教[2021]149号/下达2022年支持学前教育发展省级专项资金/良村幼儿园附属用房改建及附属工程项目调整预算数1065000元，执行预算数316500元，支出率29.72%；</w:t>
      </w:r>
    </w:p>
    <w:p w14:paraId="1BCD4BE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冀财教[2022]33号/下达2022年省级城乡义务教育补助资金/校舍安全保障/东尹小学大型修缮项目调整预算数110000元，执行预算数108000元，支出率98.18%；</w:t>
      </w:r>
    </w:p>
    <w:p w14:paraId="64F3926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2022年安保经费/尹村校区项目调整预算数35700元，执行预算数35700元，支出率100%；</w:t>
      </w:r>
    </w:p>
    <w:p w14:paraId="43D2B31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*衔接资金/县级配套/固城校区学前教育幼儿资助项目调整预算数53100元，执行预算数11500元，支出率21.66%；</w:t>
      </w:r>
    </w:p>
    <w:p w14:paraId="2A87909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冀财教[2021]168号/下达2022年城乡义务教育省级补助资金/校舍安全保障/固城小学教室维修改造项目调整预算数250000元，执行预算数245000元，支出率98%；</w:t>
      </w:r>
    </w:p>
    <w:p w14:paraId="1E654B3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冀财教[2021]168号/下达2022年城乡义务教育省级补助资金/校舍安全保障/北辛庄小学大型修缮项目调整预算数150000元，执行预算数147000元，支出率98%；</w:t>
      </w:r>
    </w:p>
    <w:p w14:paraId="4E106E5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2022年安保经费/固城校区项目调整预算数60060元，执行预算数60060元，支出率100%；</w:t>
      </w:r>
    </w:p>
    <w:p w14:paraId="548BCD6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*衔接资金/县级配套/张庄校区学前教育幼儿资助项目调整预算数36600元，执行预算数31100元，支出率84.97%；</w:t>
      </w:r>
    </w:p>
    <w:p w14:paraId="20EC7C9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冀财教[2022]33号/下达2022年省级城乡义务教育补助资金/校舍安全保障/大张庄小学大型修缮项目调整预算数360000元，执行预算数355000元，支出率98.61%；</w:t>
      </w:r>
    </w:p>
    <w:p w14:paraId="7F79071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2022年安保经费/张庄校区项目调整预算数10500元，执行预算数10500元，支出率100%；</w:t>
      </w:r>
    </w:p>
    <w:p w14:paraId="576B083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*衔接资金/县级配套/千户校区学前教育幼儿资助项目调整预算数37600元，执行预算数33100元，支出率88.03%；</w:t>
      </w:r>
    </w:p>
    <w:p w14:paraId="71F46E2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土地出让金计提/南王岳餐厅购置项目调整预算数100000元，执行预算数97500元，支出率97.5%；</w:t>
      </w:r>
    </w:p>
    <w:p w14:paraId="3AB1F3C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土地出让金计提/徐麻营餐厅购置项目调整预算数100000元，执行预算数97500元，支出率97.5%；</w:t>
      </w:r>
    </w:p>
    <w:p w14:paraId="651EE57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2022年安保经费/千户营校区项目调整预算数14700元，执行预算数14700元，支出率100%；</w:t>
      </w:r>
    </w:p>
    <w:p w14:paraId="69148D1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*衔接资金/县级配套/牛桥校区学前教育幼儿资助项目调整预算数25800元，执行预算数4000元，支出率15.5%；</w:t>
      </w:r>
    </w:p>
    <w:p w14:paraId="59DEC8B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*衔接资金/冀财教[2021]149号/下达2022年支持学前教育发展省级专项资金/牛桥校区学前教育幼儿资助项目调整预算数26200元，执行预算数7500元，支出率28.63%；</w:t>
      </w:r>
    </w:p>
    <w:p w14:paraId="1A92597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2022年安保经费/牛家桥校区项目调整预算数23100元，执行预算数23100元，支出率100%；</w:t>
      </w:r>
    </w:p>
    <w:p w14:paraId="0C772E1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土地出让金计提/莲子镇餐厅购置项目调整预算数100000元，执行预算数97500元，支出率97.5%；</w:t>
      </w:r>
    </w:p>
    <w:p w14:paraId="12A4215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*衔接资金/冀财教[2021]149号/下达2022年支持学前教育发展省级专项资金/莲子校区学前教育幼儿资助项目调整预算数82000元，执行预算数19500元，支出率23.78%；</w:t>
      </w:r>
    </w:p>
    <w:p w14:paraId="0E6B41B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冀财教[2022]33号/下达2022年省级城乡义务教育补助资金/校舍安全保障/西范小学院落硬化项目调整预算数220000元，执行预算数213400元，支出率97%；</w:t>
      </w:r>
    </w:p>
    <w:p w14:paraId="332FDD9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2022年安保经费/莲子校区项目调整预算数65730元，执行预算数65730元，支出率100%；</w:t>
      </w:r>
    </w:p>
    <w:p w14:paraId="631D4D3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中小学继续教育教师培训费项目调整预算数130000元，执行预算数130000元，支出率100%；</w:t>
      </w:r>
    </w:p>
    <w:p w14:paraId="67155AF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土地出让金计提/实验二小空调购置项目调整预算数120000元，执行预算数120000元，支出率100%；</w:t>
      </w:r>
    </w:p>
    <w:p w14:paraId="6D01A82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第二实验小学雨污分流项目项目调整预算数110000元，执行预算数108000元，支出率98.18%；</w:t>
      </w:r>
    </w:p>
    <w:p w14:paraId="535392E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2022年安保经费/第二实验小学项目调整预算数66690元，执行预算数66690元，支出率100%；</w:t>
      </w:r>
    </w:p>
    <w:p w14:paraId="18210DA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2022年安保经费/北楼中学项目调整预算数42000元，执行预算数42000元，支出率100%；</w:t>
      </w:r>
    </w:p>
    <w:p w14:paraId="78D3759F">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双碑中学塑胶操场改造项目调整预算数780987元，执行预算数780987元，支出率100%；</w:t>
      </w:r>
    </w:p>
    <w:p w14:paraId="305A159A">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冀财教[2021]168号/下达2022年城乡义务教育省级补助资金/校舍安全保障/双碑中学大型修缮项目调整预算数280000元，执行预算数271600元，支出率97%；</w:t>
      </w:r>
    </w:p>
    <w:p w14:paraId="0DD8870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2022年安保经费/双碑中学项目调整预算数42000元，执行预算数42000元，支出率100%；</w:t>
      </w:r>
    </w:p>
    <w:p w14:paraId="36F7B37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2022年安保经费/大张庄中学项目调整预算数4200元，执行预算数4200元，支出率100%；</w:t>
      </w:r>
    </w:p>
    <w:p w14:paraId="19FC2D6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冀财教[2022]33号/下达2022年省级城乡义务教育补助资金/校舍安全保障/莲子中学大型修缮项目调整预算数270000元，执行预算数265000元，支出率98.15%；</w:t>
      </w:r>
    </w:p>
    <w:p w14:paraId="12DAD37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2022年安保经费/莲子中学项目调整预算数66710元，执行预算数66710元，支出率100%。</w:t>
      </w:r>
    </w:p>
    <w:p w14:paraId="2DC3908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（四）部门日常财务管理</w:t>
      </w:r>
    </w:p>
    <w:p w14:paraId="4E1E1171">
      <w:pPr>
        <w:ind w:firstLine="640" w:firstLineChars="200"/>
        <w:outlineLvl w:val="0"/>
        <w:rPr>
          <w:rFonts w:ascii="仿宋" w:hAnsi="仿宋" w:eastAsia="仿宋"/>
          <w:sz w:val="32"/>
          <w:szCs w:val="32"/>
        </w:rPr>
      </w:pPr>
      <w:r>
        <w:rPr>
          <w:rFonts w:hint="eastAsia" w:ascii="仿宋" w:hAnsi="仿宋" w:eastAsia="仿宋"/>
          <w:sz w:val="32"/>
          <w:szCs w:val="32"/>
        </w:rPr>
        <w:t>一是财务管理制度健全。按照省、市要求和财政专项资金管理办法，我单位成立了专项资金管理领导小组，</w:t>
      </w:r>
      <w:r>
        <w:rPr>
          <w:rFonts w:hint="eastAsia" w:ascii="仿宋" w:hAnsi="仿宋" w:eastAsia="仿宋" w:cs="仿宋"/>
          <w:color w:val="000000"/>
          <w:kern w:val="0"/>
          <w:sz w:val="32"/>
          <w:szCs w:val="32"/>
          <w:shd w:val="clear" w:color="auto" w:fill="FFFFFF"/>
        </w:rPr>
        <w:t>以局分管领导为组长，财务科、规划股工作人员为组员</w:t>
      </w:r>
      <w:r>
        <w:rPr>
          <w:rFonts w:hint="eastAsia" w:ascii="仿宋" w:hAnsi="仿宋" w:eastAsia="仿宋"/>
          <w:sz w:val="32"/>
          <w:szCs w:val="32"/>
        </w:rPr>
        <w:t>，严格遵循专款专用、独立核算的管理原则。专项项目的申报严格按照市财政资金管理的要求进行，专项资金财政拨款到位后及时进行了项目开展和资金投入。有力保证了项目资金的实施。</w:t>
      </w:r>
    </w:p>
    <w:p w14:paraId="1B3DA922">
      <w:pPr>
        <w:ind w:firstLine="640" w:firstLineChars="200"/>
        <w:outlineLvl w:val="0"/>
        <w:rPr>
          <w:rFonts w:ascii="仿宋" w:hAnsi="仿宋" w:eastAsia="仿宋"/>
          <w:sz w:val="32"/>
          <w:szCs w:val="32"/>
        </w:rPr>
      </w:pPr>
      <w:r>
        <w:rPr>
          <w:rFonts w:hint="eastAsia" w:ascii="仿宋" w:hAnsi="仿宋" w:eastAsia="仿宋"/>
          <w:sz w:val="32"/>
          <w:szCs w:val="32"/>
        </w:rPr>
        <w:t>二是资金拨付审批手续完整。</w:t>
      </w:r>
      <w:r>
        <w:rPr>
          <w:rFonts w:hint="eastAsia" w:ascii="仿宋" w:hAnsi="仿宋" w:eastAsia="仿宋"/>
          <w:sz w:val="32"/>
          <w:szCs w:val="32"/>
          <w:lang w:eastAsia="zh-CN"/>
        </w:rPr>
        <w:t>根据</w:t>
      </w:r>
      <w:r>
        <w:rPr>
          <w:rFonts w:hint="eastAsia" w:ascii="仿宋" w:hAnsi="仿宋" w:eastAsia="仿宋"/>
          <w:sz w:val="32"/>
          <w:szCs w:val="32"/>
        </w:rPr>
        <w:t>财政要求，各项资金全部实现国库集中支付、专款专用，不存在支出依据不合规、虚列项目支出、截留、挤占、挪用和超标准支出等现象，使项目资金的运用得到了合理的控制，项目得到了切实的保障。</w:t>
      </w:r>
    </w:p>
    <w:p w14:paraId="7B41D587">
      <w:pPr>
        <w:ind w:firstLine="640" w:firstLineChars="200"/>
        <w:outlineLvl w:val="0"/>
        <w:rPr>
          <w:rFonts w:ascii="仿宋" w:hAnsi="仿宋" w:eastAsia="仿宋"/>
          <w:sz w:val="32"/>
          <w:szCs w:val="32"/>
        </w:rPr>
      </w:pPr>
      <w:r>
        <w:rPr>
          <w:rFonts w:hint="eastAsia" w:ascii="仿宋" w:hAnsi="仿宋" w:eastAsia="仿宋"/>
          <w:sz w:val="32"/>
          <w:szCs w:val="32"/>
        </w:rPr>
        <w:t>三是会计信息质量真实。严格执行《会计法》等财经法规，严格按照相关会计制度办理会计业务，进行会计核算，并做好会计记录，真实的反映项目资金管理情况，并接受县级财政、审批部门及上级主管部门的检查、监督。</w:t>
      </w:r>
    </w:p>
    <w:p w14:paraId="67E2BEC2">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（五）专项监督检查及审计情况</w:t>
      </w:r>
    </w:p>
    <w:p w14:paraId="7E14EAAA">
      <w:pPr>
        <w:ind w:firstLine="640" w:firstLineChars="200"/>
        <w:outlineLvl w:val="0"/>
        <w:rPr>
          <w:rFonts w:ascii="仿宋" w:hAnsi="仿宋" w:eastAsia="仿宋"/>
          <w:sz w:val="32"/>
          <w:szCs w:val="32"/>
        </w:rPr>
      </w:pPr>
      <w:r>
        <w:rPr>
          <w:rFonts w:hint="eastAsia" w:ascii="仿宋" w:hAnsi="仿宋" w:eastAsia="仿宋"/>
          <w:sz w:val="32"/>
          <w:szCs w:val="32"/>
        </w:rPr>
        <w:t>审计报告查出的问题已完成整改的情况</w:t>
      </w:r>
    </w:p>
    <w:p w14:paraId="492F3DB3">
      <w:pPr>
        <w:ind w:firstLine="640" w:firstLineChars="200"/>
        <w:outlineLvl w:val="0"/>
        <w:rPr>
          <w:rFonts w:ascii="仿宋" w:hAnsi="仿宋" w:eastAsia="仿宋"/>
          <w:sz w:val="32"/>
          <w:szCs w:val="32"/>
        </w:rPr>
      </w:pPr>
      <w:r>
        <w:rPr>
          <w:rFonts w:hint="eastAsia" w:ascii="仿宋" w:hAnsi="仿宋" w:eastAsia="仿宋"/>
          <w:sz w:val="32"/>
          <w:szCs w:val="32"/>
        </w:rPr>
        <w:t>问题一：项目进展缓慢</w:t>
      </w:r>
    </w:p>
    <w:p w14:paraId="0A6F138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2021年8月20日城关校区与河北康盈建筑工程有限公司签订柳行小学新建项目建设施工合同，计划竣工时间2022年6月5日；城关校区2022年5月22日与河北苏博市政工程有限公司签订杨河小学教学楼接建项目建设工程施工合同，计划竣工日期2022年8月27日。截至2022年9月8日以上两个项目已主体封顶，但未竣工验收未投入使用。</w:t>
      </w:r>
    </w:p>
    <w:p w14:paraId="347425F6">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因疫情原因，延误工期，未能如期竣工，收到审计报告后，县教育局派专人督办，加紧工程扫尾工作，现以上两项工程均已竣工验收并投入使用，整改完毕。</w:t>
      </w:r>
    </w:p>
    <w:p w14:paraId="3162A495">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问题二：施工合同、监理合同签订内容不规范不明确</w:t>
      </w:r>
    </w:p>
    <w:p w14:paraId="117DD40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城关校区与河北康盈建筑工程有限公司签订施工合同，合同价839.90万元，计划开工日期2021年8月28日，计划竣工日期2021年6月5日，年份书写错误且未填写具体签订时间和签订地点；城关校区与河北宁园工程项目管理有限公司签订建设工程监理合同,监理酬金1.3万元,未填写签订时间和签订地点。</w:t>
      </w:r>
    </w:p>
    <w:p w14:paraId="68A1231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召集河北康盈建筑工程有限公司、河北宁园工程项目管理有限公司遵照民法典有关规定与城关校区对合同书进行了完善，整改完毕。</w:t>
      </w:r>
    </w:p>
    <w:p w14:paraId="76877560">
      <w:pPr>
        <w:ind w:firstLine="800" w:firstLineChars="250"/>
        <w:rPr>
          <w:rFonts w:ascii="黑体" w:hAnsi="黑体" w:eastAsia="黑体"/>
          <w:sz w:val="32"/>
          <w:szCs w:val="32"/>
        </w:rPr>
      </w:pPr>
      <w:r>
        <w:rPr>
          <w:rFonts w:ascii="黑体" w:hAnsi="黑体" w:eastAsia="黑体"/>
          <w:sz w:val="32"/>
          <w:szCs w:val="32"/>
        </w:rPr>
        <w:t>二、绩效目标实现情况</w:t>
      </w:r>
    </w:p>
    <w:p w14:paraId="300DF1AB">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（一）部门整体绩效目标实现情况</w:t>
      </w:r>
    </w:p>
    <w:p w14:paraId="0A264F08">
      <w:pPr>
        <w:ind w:firstLine="640" w:firstLineChars="200"/>
        <w:outlineLvl w:val="0"/>
        <w:rPr>
          <w:rFonts w:ascii="仿宋" w:hAnsi="仿宋" w:eastAsia="仿宋"/>
          <w:sz w:val="32"/>
          <w:szCs w:val="32"/>
        </w:rPr>
      </w:pPr>
      <w:r>
        <w:rPr>
          <w:rFonts w:hint="eastAsia" w:ascii="仿宋" w:hAnsi="仿宋" w:eastAsia="仿宋"/>
          <w:sz w:val="32"/>
          <w:szCs w:val="32"/>
        </w:rPr>
        <w:t>绩效评价整体结果概况:根据评价指标体系,隆尧县教育局综合评分为98分。预算编制科学,经费使用民主公开合理,重大财务事项经由集体研究决策,财务制度健全。能有效节能降耗。三公经费预算只减不增,实际支出控制严格,项目支出管理规范。</w:t>
      </w:r>
    </w:p>
    <w:p w14:paraId="39092F7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部门整体支出绩效自评主要是从资金的投入（10分）、过程（45分）、产出（25分）、效果（20分）进行评价。</w:t>
      </w:r>
    </w:p>
    <w:p w14:paraId="678B6D27">
      <w:pPr>
        <w:spacing w:line="570" w:lineRule="exact"/>
        <w:ind w:firstLine="640" w:firstLineChars="200"/>
        <w:jc w:val="left"/>
        <w:rPr>
          <w:rFonts w:ascii="Times New Roman" w:hAnsi="仿宋" w:eastAsia="仿宋"/>
          <w:sz w:val="32"/>
          <w:szCs w:val="32"/>
        </w:rPr>
      </w:pPr>
      <w:r>
        <w:rPr>
          <w:rFonts w:hint="eastAsia" w:ascii="楷体" w:hAnsi="楷体" w:eastAsia="楷体"/>
          <w:sz w:val="32"/>
          <w:szCs w:val="32"/>
        </w:rPr>
        <w:t>&lt;</w:t>
      </w:r>
      <w:r>
        <w:rPr>
          <w:rFonts w:ascii="楷体" w:hAnsi="楷体" w:eastAsia="楷体"/>
          <w:sz w:val="32"/>
          <w:szCs w:val="32"/>
        </w:rPr>
        <w:t>一</w:t>
      </w:r>
      <w:r>
        <w:rPr>
          <w:rFonts w:hint="eastAsia" w:ascii="楷体" w:hAnsi="楷体" w:eastAsia="楷体"/>
          <w:sz w:val="32"/>
          <w:szCs w:val="32"/>
        </w:rPr>
        <w:t>&gt;</w:t>
      </w:r>
      <w:r>
        <w:rPr>
          <w:rFonts w:ascii="楷体" w:hAnsi="楷体" w:eastAsia="楷体"/>
          <w:sz w:val="32"/>
          <w:szCs w:val="32"/>
        </w:rPr>
        <w:t>投入</w:t>
      </w:r>
      <w:r>
        <w:rPr>
          <w:rFonts w:ascii="Times New Roman" w:hAnsi="仿宋" w:eastAsia="仿宋"/>
          <w:sz w:val="32"/>
          <w:szCs w:val="32"/>
        </w:rPr>
        <w:t>（10分）</w:t>
      </w:r>
    </w:p>
    <w:p w14:paraId="724FC79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w:t>
      </w:r>
      <w:r>
        <w:rPr>
          <w:rFonts w:hint="eastAsia" w:ascii="Times New Roman" w:hAnsi="仿宋" w:eastAsia="仿宋"/>
          <w:sz w:val="32"/>
          <w:szCs w:val="32"/>
        </w:rPr>
        <w:t>、</w:t>
      </w:r>
      <w:r>
        <w:rPr>
          <w:rFonts w:ascii="Times New Roman" w:hAnsi="仿宋" w:eastAsia="仿宋"/>
          <w:sz w:val="32"/>
          <w:szCs w:val="32"/>
        </w:rPr>
        <w:t>目标设定情况。（5分）</w:t>
      </w:r>
    </w:p>
    <w:p w14:paraId="7F9E8EFB">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（1）职责明确 （1分）教育部门的职责设定符合“三定”方案中所赋予的职责，能反映和评价部门工作的目的性与计划性。得1分。</w:t>
      </w:r>
    </w:p>
    <w:p w14:paraId="3FFD742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（2）活动合规性（2分）教育部门的活动在职责范围之内并符合部门中长期规划，可以反映和评价部门活动目标与部门履职、年度工作任务的相符性情况。得2分。</w:t>
      </w:r>
    </w:p>
    <w:p w14:paraId="4E9D2AF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（3）活动合理性（2分）部门所设立的活动明确合理、活动的关键性指标设置可衡量，可反映和评价部门活动目标设定的合理性。得2分。</w:t>
      </w:r>
    </w:p>
    <w:p w14:paraId="5D9EC0F2">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2、预算配置情况。（5分）</w:t>
      </w:r>
    </w:p>
    <w:p w14:paraId="2C9DDFE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在职人员控制率（1分）部门本年度实际在职人员数与编制数的比率，用以反映和评价部门对人员成本的控制程度。在职人员控制率=（在职人员数/编制数）×100%。在职人员数：部门实际在职人数，以财政部确定的部门决算编制口径为准，由编制部门和人劳部门批复同意的临聘人员除外。编制数：机构编制部门核定批复的部门人员编制数。教育部门在职人员控制率小于100%。得1分。</w:t>
      </w:r>
    </w:p>
    <w:p w14:paraId="7557DCE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三公经费”变动率（2分）部门本年度“三公经费”预算数与上年度“三公经费”预算数的变动比率，用以反映和考核部门对控制重点行政成本的努力程度。“三公经费”变动率=〔（本年度“三公经费”总额-上年度“三公经费”总额）/上年度“三公经费”总额〕×100%。“三公经费”：年度预算安排的因公出国（境）费、公务车辆购置及运行费和公务招待费。教育部门20</w:t>
      </w:r>
      <w:r>
        <w:rPr>
          <w:rFonts w:hint="eastAsia" w:ascii="Times New Roman" w:hAnsi="仿宋" w:eastAsia="仿宋"/>
          <w:sz w:val="32"/>
          <w:szCs w:val="32"/>
        </w:rPr>
        <w:t>22</w:t>
      </w:r>
      <w:r>
        <w:rPr>
          <w:rFonts w:ascii="Times New Roman" w:hAnsi="仿宋" w:eastAsia="仿宋"/>
          <w:sz w:val="32"/>
          <w:szCs w:val="32"/>
        </w:rPr>
        <w:t>年“三公经费”与上年持平。得2分。</w:t>
      </w:r>
    </w:p>
    <w:p w14:paraId="725643C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重点支出安排率（2分）教育部门本年度预算安排的重点项目支出与部门项目总支出的比率，用以反映和考核部门对履行主要职责或完成重点任务的保障程度。重点支出安排率=（重点项目支出/项目总支出）×100%。重点项目支出：部门（单位）年度预算安排的，与本部门履职和发展密切相关、具有明显社会和经济影响、党委政府关心或社会比较关注的项目支出总额。项目总支出：部门（单位）年度预算安排的项目支出总额。重点支出安排率大于95%。得2分。</w:t>
      </w:r>
    </w:p>
    <w:p w14:paraId="10FDF03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投入设定10分，总体得分10分。</w:t>
      </w:r>
    </w:p>
    <w:p w14:paraId="4817233A">
      <w:pPr>
        <w:spacing w:line="570" w:lineRule="exact"/>
        <w:ind w:firstLine="640" w:firstLineChars="200"/>
        <w:jc w:val="left"/>
        <w:rPr>
          <w:rFonts w:ascii="Times New Roman" w:hAnsi="仿宋" w:eastAsia="仿宋"/>
          <w:sz w:val="32"/>
          <w:szCs w:val="32"/>
        </w:rPr>
      </w:pPr>
      <w:r>
        <w:rPr>
          <w:rFonts w:hint="eastAsia" w:ascii="楷体" w:hAnsi="楷体" w:eastAsia="楷体"/>
          <w:sz w:val="32"/>
          <w:szCs w:val="32"/>
        </w:rPr>
        <w:t>&lt;二&gt;</w:t>
      </w:r>
      <w:r>
        <w:rPr>
          <w:rFonts w:ascii="楷体" w:hAnsi="楷体" w:eastAsia="楷体"/>
          <w:sz w:val="32"/>
          <w:szCs w:val="32"/>
        </w:rPr>
        <w:t>过程</w:t>
      </w:r>
      <w:r>
        <w:rPr>
          <w:rFonts w:ascii="Times New Roman" w:hAnsi="仿宋" w:eastAsia="仿宋"/>
          <w:sz w:val="32"/>
          <w:szCs w:val="32"/>
        </w:rPr>
        <w:t>（45分）</w:t>
      </w:r>
    </w:p>
    <w:p w14:paraId="01E3F3A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1、预算执行情况。（25分）</w:t>
      </w:r>
    </w:p>
    <w:p w14:paraId="6431BF46">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（1）预算完成率（5分）通过对部门本年度预算完成数与预算数的比较，反映和评价部门预算的完成程度。预算完成率=（预算完成数/预算数）×100%。教育部门20</w:t>
      </w:r>
      <w:r>
        <w:rPr>
          <w:rFonts w:hint="eastAsia" w:ascii="Times New Roman" w:hAnsi="仿宋" w:eastAsia="仿宋"/>
          <w:sz w:val="32"/>
          <w:szCs w:val="32"/>
        </w:rPr>
        <w:t>22</w:t>
      </w:r>
      <w:r>
        <w:rPr>
          <w:rFonts w:ascii="Times New Roman" w:hAnsi="仿宋" w:eastAsia="仿宋"/>
          <w:sz w:val="32"/>
          <w:szCs w:val="32"/>
        </w:rPr>
        <w:t>年预算完成率大于95%。得5分。</w:t>
      </w:r>
    </w:p>
    <w:p w14:paraId="43EAF7A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（2）预算调整率（3分）部门本年度预算调整数与预算数的比率，用以反映和评价部门预算的调整程度。预算调整率=（预算调整数/预算数）×100%。教育部门</w:t>
      </w:r>
      <w:r>
        <w:rPr>
          <w:rFonts w:hint="eastAsia" w:ascii="Times New Roman" w:hAnsi="仿宋" w:eastAsia="仿宋"/>
          <w:sz w:val="32"/>
          <w:szCs w:val="32"/>
        </w:rPr>
        <w:t>2022</w:t>
      </w:r>
      <w:r>
        <w:rPr>
          <w:rFonts w:ascii="Times New Roman" w:hAnsi="仿宋" w:eastAsia="仿宋"/>
          <w:sz w:val="32"/>
          <w:szCs w:val="32"/>
        </w:rPr>
        <w:t>年预算调整率</w:t>
      </w:r>
      <w:r>
        <w:rPr>
          <w:rFonts w:hint="eastAsia" w:ascii="Times New Roman" w:hAnsi="仿宋" w:eastAsia="仿宋"/>
          <w:sz w:val="32"/>
          <w:szCs w:val="32"/>
        </w:rPr>
        <w:t>为5.16%，</w:t>
      </w:r>
      <w:r>
        <w:rPr>
          <w:rFonts w:ascii="Times New Roman" w:hAnsi="仿宋" w:eastAsia="仿宋"/>
          <w:sz w:val="32"/>
          <w:szCs w:val="32"/>
        </w:rPr>
        <w:t>&lt;10%得2分。</w:t>
      </w:r>
    </w:p>
    <w:p w14:paraId="2FDA4B79">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（3）支付进度率（5分）部门年度支付数与年度任务数的比率，用以反映和评价部门预算执行的及时和均衡程度。支付进度率=（年度支付数/年度任务数）×100%。该项得5分。</w:t>
      </w:r>
    </w:p>
    <w:p w14:paraId="349AB31B">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4）结转结余率（4分）通过对部门本年度结转结余总额与支出预算数的比较，反映和评价部门对本年度结转结余资金的实际控制程度。结转结余率=（结转结余总额/支出预算数）×100%。结转结余率在0-50%之间的，在0和满分之间计算确定、教育部门</w:t>
      </w:r>
      <w:r>
        <w:rPr>
          <w:rFonts w:hint="eastAsia" w:ascii="Times New Roman" w:hAnsi="仿宋" w:eastAsia="仿宋"/>
          <w:sz w:val="32"/>
          <w:szCs w:val="32"/>
        </w:rPr>
        <w:t>2022</w:t>
      </w:r>
      <w:r>
        <w:rPr>
          <w:rFonts w:ascii="Times New Roman" w:hAnsi="仿宋" w:eastAsia="仿宋"/>
          <w:sz w:val="32"/>
          <w:szCs w:val="32"/>
        </w:rPr>
        <w:t>年结转结余率</w:t>
      </w:r>
      <w:r>
        <w:rPr>
          <w:rFonts w:hint="eastAsia" w:ascii="Times New Roman" w:hAnsi="仿宋" w:eastAsia="仿宋"/>
          <w:sz w:val="32"/>
          <w:szCs w:val="32"/>
        </w:rPr>
        <w:t>为2.8%，</w:t>
      </w:r>
      <w:r>
        <w:rPr>
          <w:rFonts w:ascii="Times New Roman" w:hAnsi="仿宋" w:eastAsia="仿宋"/>
          <w:sz w:val="32"/>
          <w:szCs w:val="32"/>
        </w:rPr>
        <w:t>&lt;3%。得3分。</w:t>
      </w:r>
    </w:p>
    <w:p w14:paraId="37D94FE0">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5）公用经费控制率（4分）通过对部门本年度实际支出的公用经费总额与预算安排的公用经费总额的比率，反映和评价部门对机构运转成本的实际控制程度。公用经费控制率=（实际支出公用经费总额/预算安排公用经费总额）×100%。公用经费控制率小于或等于100%的，得满分。此项得4分。</w:t>
      </w:r>
    </w:p>
    <w:p w14:paraId="74D9B19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（6）政府采购执行率（4分）通过对部门本年度实际政府采购预算项目个数与政府采购预算项目个数的比较，反映和评价部门政府采购预算执行情况。</w:t>
      </w:r>
    </w:p>
    <w:p w14:paraId="5C86E28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政府采购执行率=（实际政府采购预算项目个数/政府采购预算项目个数）×100%。</w:t>
      </w:r>
    </w:p>
    <w:p w14:paraId="2A01F5A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政府采购项目中非预算内安排的项目除外。政府采购执行率等于100%的，得满分。20</w:t>
      </w:r>
      <w:r>
        <w:rPr>
          <w:rFonts w:hint="eastAsia" w:ascii="Times New Roman" w:hAnsi="仿宋" w:eastAsia="仿宋"/>
          <w:sz w:val="32"/>
          <w:szCs w:val="32"/>
        </w:rPr>
        <w:t>22</w:t>
      </w:r>
      <w:r>
        <w:rPr>
          <w:rFonts w:ascii="Times New Roman" w:hAnsi="仿宋" w:eastAsia="仿宋"/>
          <w:sz w:val="32"/>
          <w:szCs w:val="32"/>
        </w:rPr>
        <w:t>年教育部门严格按照政府招投标履行手续，此项的4分。</w:t>
      </w:r>
    </w:p>
    <w:p w14:paraId="5395C3A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2、预算管理情况。（15分）</w:t>
      </w:r>
    </w:p>
    <w:p w14:paraId="6EF8FE1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（1）资金使用合规性（8分）部门使用预算资金是否符合相关的预算财务管理制度的规定，反映和评价部门预算资金的规范运行情况。</w:t>
      </w:r>
    </w:p>
    <w:p w14:paraId="7B5BDED4">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p>
    <w:p w14:paraId="00540A27">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①符合国家财经法规和财务管理制度规定以及有关部门资金管理办法的规定；</w:t>
      </w:r>
    </w:p>
    <w:p w14:paraId="05972BE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②资金的拨付有完整的审批过程和手续；</w:t>
      </w:r>
    </w:p>
    <w:p w14:paraId="054B5248">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③项目的重大开支经过评估论证；</w:t>
      </w:r>
    </w:p>
    <w:p w14:paraId="573911D6">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④符合部门预算批复的用途；</w:t>
      </w:r>
    </w:p>
    <w:p w14:paraId="42E9AAD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⑤不存在截留情况；</w:t>
      </w:r>
    </w:p>
    <w:p w14:paraId="20E8B0E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⑥不存在挤占情况；</w:t>
      </w:r>
    </w:p>
    <w:p w14:paraId="4209B8C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⑦不存在挪用情况；</w:t>
      </w:r>
    </w:p>
    <w:p w14:paraId="3D98448B">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⑧不存在虚列支出情况。</w:t>
      </w:r>
    </w:p>
    <w:p w14:paraId="75727D1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以上8项全部符合，得8分。</w:t>
      </w:r>
    </w:p>
    <w:p w14:paraId="2C7026B7">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（2）预决算信息公开性（3分）部门是否按照政府信息公开有关规定公开相关预决算信息，用以反映和评价部门预决算管理的公开透明情况。</w:t>
      </w:r>
    </w:p>
    <w:p w14:paraId="396197A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预决算信息是指与部门预算、执行、决算、监督、绩效等管理相关的信息。</w:t>
      </w:r>
    </w:p>
    <w:p w14:paraId="183548D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p>
    <w:p w14:paraId="1EF0FF03">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①公开预决算信息；</w:t>
      </w:r>
    </w:p>
    <w:p w14:paraId="6CA81C7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②按规定内容公开预决算信息；</w:t>
      </w:r>
    </w:p>
    <w:p w14:paraId="54CF45C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③按规定时限公开预决算信息。</w:t>
      </w:r>
    </w:p>
    <w:p w14:paraId="01A26773">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以上3项全部符合，得3分。</w:t>
      </w:r>
    </w:p>
    <w:p w14:paraId="2C5B4E3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（3）基础信息完善性（4分）部门基础信息是否完善，用以反映和评价基础信息对预算管理工作的支撑情况。</w:t>
      </w:r>
    </w:p>
    <w:p w14:paraId="705A3548">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p>
    <w:p w14:paraId="6D56A77C">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①基本财务管理制度健全；</w:t>
      </w:r>
    </w:p>
    <w:p w14:paraId="76E18160">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②基础数据信息和会计信息资料真实；</w:t>
      </w:r>
    </w:p>
    <w:p w14:paraId="5D5EEA11">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③基础数据信息和会计信息资料完整；</w:t>
      </w:r>
    </w:p>
    <w:p w14:paraId="762EF6D9">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④基础数据信息和会计信息资料准确。</w:t>
      </w:r>
    </w:p>
    <w:p w14:paraId="5B76FAB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以上4项全部符合，得4分。</w:t>
      </w:r>
    </w:p>
    <w:p w14:paraId="5849BF3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3、资产管理情况。（5分）</w:t>
      </w:r>
    </w:p>
    <w:p w14:paraId="31C893C1">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（1）资产管理完整性（2分）部门的资产是否保存完整、使用合规、收入及时足额上缴，用以反映和评价部门资产运行情况。</w:t>
      </w:r>
    </w:p>
    <w:p w14:paraId="0981775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p>
    <w:p w14:paraId="16AFC5D8">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①资产保存完整；</w:t>
      </w:r>
    </w:p>
    <w:p w14:paraId="5E19526C">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②资产账务管理是否合规，帐实相符；</w:t>
      </w:r>
    </w:p>
    <w:p w14:paraId="3CC7BF97">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③资产有偿使用及处置收入及时足额上缴。</w:t>
      </w:r>
    </w:p>
    <w:p w14:paraId="70CF7F64">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以上3项全部符合，得5分。</w:t>
      </w:r>
    </w:p>
    <w:p w14:paraId="6386E51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（2）固定资产利用率（3分）部门实际在用固定资产总额与所有固定资产总额的比率，用以反映和评价部门固定资产使用效率。</w:t>
      </w:r>
    </w:p>
    <w:p w14:paraId="062FBEE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固定资产利用率=（实际在用固定资产总额/所有固定资产总额）×100%。固定资产利用率大于或等于95%的，得满分。教育部门固定资产利用率&gt;95%，得3分。</w:t>
      </w:r>
    </w:p>
    <w:p w14:paraId="760CAE28">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过程评价45分，得分43分。</w:t>
      </w:r>
    </w:p>
    <w:p w14:paraId="4A60A4B7">
      <w:pPr>
        <w:spacing w:line="570" w:lineRule="exact"/>
        <w:ind w:firstLine="640" w:firstLineChars="200"/>
        <w:jc w:val="left"/>
        <w:rPr>
          <w:rFonts w:ascii="Times New Roman" w:hAnsi="仿宋" w:eastAsia="仿宋"/>
          <w:sz w:val="32"/>
          <w:szCs w:val="32"/>
        </w:rPr>
      </w:pPr>
      <w:r>
        <w:rPr>
          <w:rFonts w:hint="eastAsia" w:ascii="楷体" w:hAnsi="楷体" w:eastAsia="楷体"/>
          <w:sz w:val="32"/>
          <w:szCs w:val="32"/>
        </w:rPr>
        <w:t>&lt;</w:t>
      </w:r>
      <w:r>
        <w:rPr>
          <w:rFonts w:ascii="楷体" w:hAnsi="楷体" w:eastAsia="楷体"/>
          <w:sz w:val="32"/>
          <w:szCs w:val="32"/>
        </w:rPr>
        <w:t>三</w:t>
      </w:r>
      <w:r>
        <w:rPr>
          <w:rFonts w:hint="eastAsia" w:ascii="楷体" w:hAnsi="楷体" w:eastAsia="楷体"/>
          <w:sz w:val="32"/>
          <w:szCs w:val="32"/>
        </w:rPr>
        <w:t>&gt;</w:t>
      </w:r>
      <w:r>
        <w:rPr>
          <w:rFonts w:ascii="Times New Roman" w:hAnsi="仿宋" w:eastAsia="仿宋"/>
          <w:sz w:val="32"/>
          <w:szCs w:val="32"/>
        </w:rPr>
        <w:t>产出（25分）</w:t>
      </w:r>
    </w:p>
    <w:p w14:paraId="7B932863">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主要从职责履行情况评价，包括履职完成情况、项目完成质量达标率等指标。</w:t>
      </w:r>
    </w:p>
    <w:p w14:paraId="13FC6634">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 履职完成情况（10分）根据年度主要任务分解表</w:t>
      </w:r>
      <w:r>
        <w:rPr>
          <w:rFonts w:hint="eastAsia" w:ascii="Times New Roman" w:hAnsi="仿宋" w:eastAsia="仿宋"/>
          <w:sz w:val="32"/>
          <w:szCs w:val="32"/>
          <w:lang w:eastAsia="zh-CN"/>
        </w:rPr>
        <w:t>的</w:t>
      </w:r>
      <w:r>
        <w:rPr>
          <w:rFonts w:ascii="Times New Roman" w:hAnsi="仿宋" w:eastAsia="仿宋"/>
          <w:sz w:val="32"/>
          <w:szCs w:val="32"/>
        </w:rPr>
        <w:t>具体任务，逐项评价任务量化指标完成情况、实施效果和责任制建立情况。用以反映和考核部门（单位）履职工作任务目标的完成情况。评价要点：</w:t>
      </w:r>
      <w:r>
        <w:rPr>
          <w:rFonts w:ascii="Times New Roman" w:hAnsi="仿宋" w:eastAsia="仿宋"/>
          <w:sz w:val="32"/>
          <w:szCs w:val="32"/>
        </w:rPr>
        <w:br w:type="textWrapping"/>
      </w:r>
      <w:r>
        <w:rPr>
          <w:rFonts w:ascii="Times New Roman" w:hAnsi="仿宋" w:eastAsia="仿宋"/>
          <w:sz w:val="32"/>
          <w:szCs w:val="32"/>
        </w:rPr>
        <w:t xml:space="preserve">    ①每项任务是否已制定了明确、具体、可量化、可衡量的绩效指标；           </w:t>
      </w:r>
      <w:r>
        <w:rPr>
          <w:rFonts w:ascii="Times New Roman" w:hAnsi="仿宋" w:eastAsia="仿宋"/>
          <w:sz w:val="32"/>
          <w:szCs w:val="32"/>
        </w:rPr>
        <w:br w:type="textWrapping"/>
      </w:r>
      <w:r>
        <w:rPr>
          <w:rFonts w:ascii="Times New Roman" w:hAnsi="仿宋" w:eastAsia="仿宋"/>
          <w:sz w:val="32"/>
          <w:szCs w:val="32"/>
        </w:rPr>
        <w:t xml:space="preserve">    ②每项任务绩效指标的完成情况，是全部完成、基本完成、未完成，还是未实施；</w:t>
      </w:r>
      <w:r>
        <w:rPr>
          <w:rFonts w:ascii="Times New Roman" w:hAnsi="仿宋" w:eastAsia="仿宋"/>
          <w:sz w:val="32"/>
          <w:szCs w:val="32"/>
        </w:rPr>
        <w:br w:type="textWrapping"/>
      </w:r>
      <w:r>
        <w:rPr>
          <w:rFonts w:ascii="Times New Roman" w:hAnsi="仿宋" w:eastAsia="仿宋"/>
          <w:sz w:val="32"/>
          <w:szCs w:val="32"/>
        </w:rPr>
        <w:t xml:space="preserve">    ③每项任务实施效果情况，是优秀、良好、一般，还是无效果；</w:t>
      </w:r>
      <w:r>
        <w:rPr>
          <w:rFonts w:ascii="Times New Roman" w:hAnsi="仿宋" w:eastAsia="仿宋"/>
          <w:sz w:val="32"/>
          <w:szCs w:val="32"/>
        </w:rPr>
        <w:br w:type="textWrapping"/>
      </w:r>
      <w:r>
        <w:rPr>
          <w:rFonts w:ascii="Times New Roman" w:hAnsi="仿宋" w:eastAsia="仿宋"/>
          <w:sz w:val="32"/>
          <w:szCs w:val="32"/>
        </w:rPr>
        <w:t xml:space="preserve">    ④每项任务是否建立了目标责任制，是否落实到具体部门和人员负责。</w:t>
      </w:r>
    </w:p>
    <w:p w14:paraId="0001C69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以上4项全部落实完成，得10分。</w:t>
      </w:r>
    </w:p>
    <w:p w14:paraId="3BAA4666">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 项目完成质量达标率（15）部门已完成项目中质量达标项目个数占已完成项目个数的比率，用以反映和评价部门履职质量目标的实现程度。</w:t>
      </w:r>
    </w:p>
    <w:p w14:paraId="741189D7">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项目质量达标率=（已完成项目中质量达标项目个数/已完成项目个数）×100%。</w:t>
      </w:r>
    </w:p>
    <w:p w14:paraId="261E7C8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项目质量达标是指项目决算验收合格。项目质量达标率在99%-100%之间的，在0和满分之间计算确定。本部门20</w:t>
      </w:r>
      <w:r>
        <w:rPr>
          <w:rFonts w:hint="eastAsia" w:ascii="Times New Roman" w:hAnsi="仿宋" w:eastAsia="仿宋"/>
          <w:sz w:val="32"/>
          <w:szCs w:val="32"/>
        </w:rPr>
        <w:t>22</w:t>
      </w:r>
      <w:r>
        <w:rPr>
          <w:rFonts w:ascii="Times New Roman" w:hAnsi="仿宋" w:eastAsia="仿宋"/>
          <w:sz w:val="32"/>
          <w:szCs w:val="32"/>
        </w:rPr>
        <w:t>年项目质量达标率&gt;99%，得15分。</w:t>
      </w:r>
    </w:p>
    <w:p w14:paraId="712E92F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产出过程25分，自评得25分。</w:t>
      </w:r>
    </w:p>
    <w:p w14:paraId="450CA7AA">
      <w:pPr>
        <w:spacing w:line="570" w:lineRule="exact"/>
        <w:ind w:firstLine="640" w:firstLineChars="200"/>
        <w:jc w:val="left"/>
        <w:rPr>
          <w:rFonts w:ascii="Times New Roman" w:hAnsi="仿宋" w:eastAsia="仿宋"/>
          <w:sz w:val="32"/>
          <w:szCs w:val="32"/>
        </w:rPr>
      </w:pPr>
      <w:r>
        <w:rPr>
          <w:rFonts w:hint="eastAsia" w:ascii="楷体" w:hAnsi="楷体" w:eastAsia="楷体"/>
          <w:sz w:val="32"/>
          <w:szCs w:val="32"/>
        </w:rPr>
        <w:t>&lt;</w:t>
      </w:r>
      <w:r>
        <w:rPr>
          <w:rFonts w:ascii="楷体" w:hAnsi="楷体" w:eastAsia="楷体"/>
          <w:sz w:val="32"/>
          <w:szCs w:val="32"/>
        </w:rPr>
        <w:t>四</w:t>
      </w:r>
      <w:r>
        <w:rPr>
          <w:rFonts w:hint="eastAsia" w:ascii="楷体" w:hAnsi="楷体" w:eastAsia="楷体"/>
          <w:sz w:val="32"/>
          <w:szCs w:val="32"/>
        </w:rPr>
        <w:t>&gt;</w:t>
      </w:r>
      <w:r>
        <w:rPr>
          <w:rFonts w:ascii="Times New Roman" w:hAnsi="仿宋" w:eastAsia="仿宋"/>
          <w:sz w:val="32"/>
          <w:szCs w:val="32"/>
        </w:rPr>
        <w:t>效果</w:t>
      </w:r>
      <w:r>
        <w:rPr>
          <w:rFonts w:hint="eastAsia" w:ascii="Times New Roman" w:hAnsi="仿宋" w:eastAsia="仿宋"/>
          <w:sz w:val="32"/>
          <w:szCs w:val="32"/>
        </w:rPr>
        <w:t>（20分）</w:t>
      </w:r>
    </w:p>
    <w:p w14:paraId="7565C9AC">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主要从履职效益情况评价，包括履职对经济、社会、生态产生的效益和服务对象满意度指标。</w:t>
      </w:r>
    </w:p>
    <w:p w14:paraId="3688A952">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1、 经济效益（5分）部门及所属二级单位通过履行职责和预算安排支出项目的实施，对我市带来的经济影响。</w:t>
      </w:r>
    </w:p>
    <w:p w14:paraId="7F4C8E25">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r>
        <w:rPr>
          <w:rFonts w:ascii="Times New Roman" w:hAnsi="仿宋" w:eastAsia="仿宋"/>
          <w:sz w:val="32"/>
          <w:szCs w:val="32"/>
        </w:rPr>
        <w:br w:type="textWrapping"/>
      </w:r>
      <w:r>
        <w:rPr>
          <w:rFonts w:ascii="Times New Roman" w:hAnsi="仿宋" w:eastAsia="仿宋"/>
          <w:sz w:val="32"/>
          <w:szCs w:val="32"/>
        </w:rPr>
        <w:t xml:space="preserve">①通过部门所属企事业单位改革，促进了企事业单位效益增长情况；          </w:t>
      </w:r>
      <w:r>
        <w:rPr>
          <w:rFonts w:ascii="Times New Roman" w:hAnsi="仿宋" w:eastAsia="仿宋"/>
          <w:sz w:val="32"/>
          <w:szCs w:val="32"/>
        </w:rPr>
        <w:br w:type="textWrapping"/>
      </w:r>
      <w:r>
        <w:rPr>
          <w:rFonts w:ascii="Times New Roman" w:hAnsi="仿宋" w:eastAsia="仿宋"/>
          <w:sz w:val="32"/>
          <w:szCs w:val="32"/>
        </w:rPr>
        <w:t xml:space="preserve">    ②通过预算支出项目的实施，促进了行业生产能力增长，从而带动行业经济效益增长；</w:t>
      </w:r>
      <w:r>
        <w:rPr>
          <w:rFonts w:ascii="Times New Roman" w:hAnsi="仿宋" w:eastAsia="仿宋"/>
          <w:sz w:val="32"/>
          <w:szCs w:val="32"/>
        </w:rPr>
        <w:br w:type="textWrapping"/>
      </w:r>
      <w:r>
        <w:rPr>
          <w:rFonts w:ascii="Times New Roman" w:hAnsi="仿宋" w:eastAsia="仿宋"/>
          <w:sz w:val="32"/>
          <w:szCs w:val="32"/>
        </w:rPr>
        <w:t xml:space="preserve">    ③通过预算支出项目的实施，有效提高劳动效率，节约成本费用；</w:t>
      </w:r>
      <w:r>
        <w:rPr>
          <w:rFonts w:ascii="Times New Roman" w:hAnsi="仿宋" w:eastAsia="仿宋"/>
          <w:sz w:val="32"/>
          <w:szCs w:val="32"/>
        </w:rPr>
        <w:br w:type="textWrapping"/>
      </w:r>
      <w:r>
        <w:rPr>
          <w:rFonts w:ascii="Times New Roman" w:hAnsi="仿宋" w:eastAsia="仿宋"/>
          <w:sz w:val="32"/>
          <w:szCs w:val="32"/>
        </w:rPr>
        <w:t xml:space="preserve">    ④通过预算支出项目的实施，降低了损耗，从而提高了生产效益；</w:t>
      </w:r>
      <w:r>
        <w:rPr>
          <w:rFonts w:ascii="Times New Roman" w:hAnsi="仿宋" w:eastAsia="仿宋"/>
          <w:sz w:val="32"/>
          <w:szCs w:val="32"/>
        </w:rPr>
        <w:br w:type="textWrapping"/>
      </w:r>
      <w:r>
        <w:rPr>
          <w:rFonts w:ascii="Times New Roman" w:hAnsi="仿宋" w:eastAsia="仿宋"/>
          <w:sz w:val="32"/>
          <w:szCs w:val="32"/>
        </w:rPr>
        <w:t xml:space="preserve">    ⑤通过预算支出项目的实施，完善了突发情况的监测预警，保障了生产安全，降低了生产损失。</w:t>
      </w:r>
    </w:p>
    <w:p w14:paraId="769E698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教育部门为公益性事业单位，不存在产生经济指标。此项自评得5分。</w:t>
      </w:r>
    </w:p>
    <w:p w14:paraId="3575559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2、 社会效益（5分）部门及所属二级单位履行职责对社会发展所带来的直接或间接影响。</w:t>
      </w:r>
    </w:p>
    <w:p w14:paraId="317CB1F0">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r>
        <w:rPr>
          <w:rFonts w:ascii="Times New Roman" w:hAnsi="仿宋" w:eastAsia="仿宋"/>
          <w:sz w:val="32"/>
          <w:szCs w:val="32"/>
        </w:rPr>
        <w:br w:type="textWrapping"/>
      </w:r>
      <w:r>
        <w:rPr>
          <w:rFonts w:ascii="Times New Roman" w:hAnsi="仿宋" w:eastAsia="仿宋"/>
          <w:sz w:val="32"/>
          <w:szCs w:val="32"/>
        </w:rPr>
        <w:t xml:space="preserve">    ①通过部门所属企事业单位的改革，促进了企事业单位可持续发展，带动就业增长情况；          </w:t>
      </w:r>
      <w:r>
        <w:rPr>
          <w:rFonts w:ascii="Times New Roman" w:hAnsi="仿宋" w:eastAsia="仿宋"/>
          <w:sz w:val="32"/>
          <w:szCs w:val="32"/>
        </w:rPr>
        <w:br w:type="textWrapping"/>
      </w:r>
      <w:r>
        <w:rPr>
          <w:rFonts w:ascii="Times New Roman" w:hAnsi="仿宋" w:eastAsia="仿宋"/>
          <w:sz w:val="32"/>
          <w:szCs w:val="32"/>
        </w:rPr>
        <w:t xml:space="preserve">    ②通过预算支出项目的实施，是否明显促进了行业精神文明建设；</w:t>
      </w:r>
      <w:r>
        <w:rPr>
          <w:rFonts w:ascii="Times New Roman" w:hAnsi="仿宋" w:eastAsia="仿宋"/>
          <w:sz w:val="32"/>
          <w:szCs w:val="32"/>
        </w:rPr>
        <w:br w:type="textWrapping"/>
      </w:r>
      <w:r>
        <w:rPr>
          <w:rFonts w:ascii="Times New Roman" w:hAnsi="仿宋" w:eastAsia="仿宋"/>
          <w:sz w:val="32"/>
          <w:szCs w:val="32"/>
        </w:rPr>
        <w:t xml:space="preserve">    ③通过部门履职是否明显提高城乡居民生活水平，满足了人们日益增长的物质与文化生活需求；</w:t>
      </w:r>
      <w:r>
        <w:rPr>
          <w:rFonts w:ascii="Times New Roman" w:hAnsi="仿宋" w:eastAsia="仿宋"/>
          <w:sz w:val="32"/>
          <w:szCs w:val="32"/>
        </w:rPr>
        <w:br w:type="textWrapping"/>
      </w:r>
      <w:r>
        <w:rPr>
          <w:rFonts w:ascii="Times New Roman" w:hAnsi="仿宋" w:eastAsia="仿宋"/>
          <w:sz w:val="32"/>
          <w:szCs w:val="32"/>
        </w:rPr>
        <w:t xml:space="preserve">    ④通过预算项目的实施，是否提高了劳动生产率，降低了劳动强度，促进了劳动人民的身心健康；</w:t>
      </w:r>
      <w:r>
        <w:rPr>
          <w:rFonts w:ascii="Times New Roman" w:hAnsi="仿宋" w:eastAsia="仿宋"/>
          <w:sz w:val="32"/>
          <w:szCs w:val="32"/>
        </w:rPr>
        <w:br w:type="textWrapping"/>
      </w:r>
      <w:r>
        <w:rPr>
          <w:rFonts w:ascii="Times New Roman" w:hAnsi="仿宋" w:eastAsia="仿宋"/>
          <w:sz w:val="32"/>
          <w:szCs w:val="32"/>
        </w:rPr>
        <w:t xml:space="preserve">    ⑤通过部门履职行业形象是否得到了大大提升了，增强了部门影响力。</w:t>
      </w:r>
    </w:p>
    <w:p w14:paraId="4E5ABF43">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 xml:space="preserve"> 教育部门二级单位通过认真履职，完成了以上项目。自评得分5分。</w:t>
      </w:r>
    </w:p>
    <w:p w14:paraId="5E9FF7E2">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3、 生态效益（5分）部门及所属二级单位履行职责对生态环境所带来的直接或间接影响。</w:t>
      </w:r>
    </w:p>
    <w:p w14:paraId="26F5AE2F">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评价要点：</w:t>
      </w:r>
    </w:p>
    <w:p w14:paraId="7CE19DFE">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①通过预算支出项目的实施，绿色、节能环保新技术的应用和推广，明显带动各环节的节能减排，也具有一定的环境效益；</w:t>
      </w:r>
      <w:r>
        <w:rPr>
          <w:rFonts w:ascii="Times New Roman" w:hAnsi="仿宋" w:eastAsia="仿宋"/>
          <w:sz w:val="32"/>
          <w:szCs w:val="32"/>
        </w:rPr>
        <w:br w:type="textWrapping"/>
      </w:r>
      <w:r>
        <w:rPr>
          <w:rFonts w:ascii="Times New Roman" w:hAnsi="仿宋" w:eastAsia="仿宋"/>
          <w:sz w:val="32"/>
          <w:szCs w:val="32"/>
        </w:rPr>
        <w:t xml:space="preserve">    ②通过履职有效地控制虚假、伪劣、霉变等劣质产品进入市场，影响了人民生活质量，净化地市场环境；</w:t>
      </w:r>
      <w:r>
        <w:rPr>
          <w:rFonts w:ascii="Times New Roman" w:hAnsi="仿宋" w:eastAsia="仿宋"/>
          <w:sz w:val="32"/>
          <w:szCs w:val="32"/>
        </w:rPr>
        <w:br w:type="textWrapping"/>
      </w:r>
      <w:r>
        <w:rPr>
          <w:rFonts w:ascii="Times New Roman" w:hAnsi="仿宋" w:eastAsia="仿宋"/>
          <w:sz w:val="32"/>
          <w:szCs w:val="32"/>
        </w:rPr>
        <w:t xml:space="preserve">    ③通过预算支出项目的实施，是否达到减少污染物排放；</w:t>
      </w:r>
      <w:r>
        <w:rPr>
          <w:rFonts w:ascii="Times New Roman" w:hAnsi="仿宋" w:eastAsia="仿宋"/>
          <w:sz w:val="32"/>
          <w:szCs w:val="32"/>
        </w:rPr>
        <w:br w:type="textWrapping"/>
      </w:r>
      <w:r>
        <w:rPr>
          <w:rFonts w:ascii="Times New Roman" w:hAnsi="仿宋" w:eastAsia="仿宋"/>
          <w:sz w:val="32"/>
          <w:szCs w:val="32"/>
        </w:rPr>
        <w:t xml:space="preserve">    ④通过预算支出项目的实施，周围环境得到了整治，面貌得到了改善。</w:t>
      </w:r>
    </w:p>
    <w:p w14:paraId="38247AA7">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通过履职，完成以上本部门生态效益指标。自评得分5分。</w:t>
      </w:r>
    </w:p>
    <w:p w14:paraId="3048A1BA">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4、 服务对象满意度（5）通过对部门（单位）的服务对象对部门履职效果的满意程度调查，反映和考核社会公众或服务对象对部门履职的满意度。部门自评为优秀，得5分。</w:t>
      </w:r>
    </w:p>
    <w:p w14:paraId="678C84ED">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效果评价20分，自评得分20分。</w:t>
      </w:r>
    </w:p>
    <w:p w14:paraId="5FECEC31">
      <w:pPr>
        <w:spacing w:line="570" w:lineRule="exact"/>
        <w:ind w:firstLine="640" w:firstLineChars="200"/>
        <w:jc w:val="left"/>
        <w:rPr>
          <w:rFonts w:ascii="Times New Roman" w:hAnsi="仿宋" w:eastAsia="仿宋"/>
          <w:sz w:val="32"/>
          <w:szCs w:val="32"/>
        </w:rPr>
      </w:pPr>
      <w:r>
        <w:rPr>
          <w:rFonts w:ascii="Times New Roman" w:hAnsi="仿宋" w:eastAsia="仿宋"/>
          <w:sz w:val="32"/>
          <w:szCs w:val="32"/>
        </w:rPr>
        <w:t>部门整体评价100分，自评得分98分。自评结果为优秀。</w:t>
      </w:r>
      <w:r>
        <w:rPr>
          <w:rFonts w:hint="eastAsia" w:ascii="Times New Roman" w:hAnsi="仿宋" w:eastAsia="仿宋"/>
          <w:sz w:val="32"/>
          <w:szCs w:val="32"/>
        </w:rPr>
        <w:t>（二）专项资金和预算项目绩效目标完成情况</w:t>
      </w:r>
    </w:p>
    <w:p w14:paraId="42D2CC71">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截至2022年12月底，我部门自评140个项目中，预算执行进度达到100%的项目有81个；预算执行进度未达到100%的项目有59个，其中：1.预算执行进度在0%—50%之间的项目有14个，未执行资金1529.94万元；2. 预算执行进度在51%—99%之间的项目有45个，未执行资金910.02万元。</w:t>
      </w:r>
    </w:p>
    <w:p w14:paraId="31354088">
      <w:pPr>
        <w:spacing w:line="570" w:lineRule="exact"/>
        <w:ind w:firstLine="640" w:firstLineChars="200"/>
        <w:jc w:val="left"/>
        <w:rPr>
          <w:rFonts w:hint="eastAsia" w:ascii="Times New Roman" w:hAnsi="仿宋" w:eastAsia="仿宋"/>
          <w:sz w:val="32"/>
          <w:szCs w:val="32"/>
        </w:rPr>
      </w:pPr>
      <w:r>
        <w:rPr>
          <w:rFonts w:hint="eastAsia" w:ascii="Times New Roman" w:hAnsi="仿宋" w:eastAsia="仿宋"/>
          <w:sz w:val="32"/>
          <w:szCs w:val="32"/>
        </w:rPr>
        <w:t>未完成绩效目标的项目如下：</w:t>
      </w:r>
    </w:p>
    <w:p w14:paraId="2AEF1504">
      <w:pPr>
        <w:spacing w:line="570" w:lineRule="exact"/>
        <w:ind w:firstLine="640" w:firstLineChars="200"/>
        <w:jc w:val="left"/>
        <w:rPr>
          <w:rFonts w:hint="eastAsia" w:ascii="Times New Roman" w:hAnsi="仿宋" w:eastAsia="仿宋"/>
          <w:sz w:val="32"/>
          <w:szCs w:val="32"/>
        </w:rPr>
      </w:pPr>
      <w:r>
        <w:rPr>
          <w:rFonts w:hint="eastAsia" w:ascii="Times New Roman" w:hAnsi="仿宋" w:eastAsia="仿宋"/>
          <w:sz w:val="32"/>
          <w:szCs w:val="32"/>
        </w:rPr>
        <w:t>1.</w:t>
      </w:r>
      <w:r>
        <w:rPr>
          <w:rFonts w:hint="eastAsia"/>
        </w:rPr>
        <w:t xml:space="preserve"> </w:t>
      </w:r>
      <w:r>
        <w:rPr>
          <w:rFonts w:hint="eastAsia" w:ascii="Times New Roman" w:hAnsi="仿宋" w:eastAsia="仿宋"/>
          <w:sz w:val="32"/>
          <w:szCs w:val="32"/>
        </w:rPr>
        <w:t>冀财债[2022]50号/新增专项债券/隆尧县城关校区德兴路小学附属幼儿园建设项目。</w:t>
      </w:r>
    </w:p>
    <w:p w14:paraId="32AC995D">
      <w:pPr>
        <w:spacing w:line="560" w:lineRule="exact"/>
        <w:ind w:firstLine="640" w:firstLineChars="200"/>
        <w:outlineLvl w:val="1"/>
        <w:rPr>
          <w:rFonts w:ascii="仿宋" w:hAnsi="仿宋" w:eastAsia="仿宋" w:cs="仿宋"/>
          <w:sz w:val="32"/>
          <w:szCs w:val="32"/>
        </w:rPr>
      </w:pPr>
      <w:r>
        <w:rPr>
          <w:rFonts w:hint="eastAsia" w:ascii="仿宋_GB2312" w:hAnsi="仿宋_GB2312" w:eastAsia="仿宋_GB2312" w:cs="仿宋_GB2312"/>
          <w:color w:val="000000"/>
          <w:sz w:val="32"/>
          <w:szCs w:val="40"/>
        </w:rPr>
        <w:t>由于疫情原因，</w:t>
      </w:r>
      <w:r>
        <w:rPr>
          <w:rFonts w:hint="eastAsia" w:ascii="仿宋" w:hAnsi="仿宋" w:eastAsia="仿宋" w:cs="仿宋"/>
          <w:sz w:val="32"/>
          <w:szCs w:val="32"/>
        </w:rPr>
        <w:t>我单位德兴路小学附属幼儿园建设项目招标工作推迟了三个月，</w:t>
      </w:r>
      <w:r>
        <w:rPr>
          <w:rFonts w:hint="eastAsia" w:ascii="仿宋" w:hAnsi="仿宋" w:eastAsia="仿宋" w:cs="仿宋"/>
          <w:kern w:val="0"/>
          <w:sz w:val="32"/>
          <w:szCs w:val="32"/>
        </w:rPr>
        <w:t>因项目前期准备工作进展较为缓慢，水电配套设施和相关手续办理不够顺畅，影响建设进度</w:t>
      </w:r>
      <w:r>
        <w:rPr>
          <w:rFonts w:hint="eastAsia" w:ascii="仿宋" w:hAnsi="仿宋" w:eastAsia="仿宋" w:cs="仿宋"/>
          <w:sz w:val="32"/>
          <w:szCs w:val="32"/>
        </w:rPr>
        <w:t>，下一步我们将与中标单位积极联系，分析问题根结，制定切实可行措施，编制施工计划，努力加快工作进度，确保项目按时竣工，</w:t>
      </w:r>
      <w:r>
        <w:rPr>
          <w:rFonts w:hint="eastAsia" w:ascii="仿宋" w:hAnsi="仿宋" w:eastAsia="仿宋" w:cs="仿宋"/>
          <w:kern w:val="0"/>
          <w:sz w:val="32"/>
          <w:szCs w:val="32"/>
        </w:rPr>
        <w:t>早日投入使用，造福广大学生。</w:t>
      </w:r>
    </w:p>
    <w:p w14:paraId="0C80B55D">
      <w:pPr>
        <w:spacing w:line="570" w:lineRule="exact"/>
        <w:ind w:firstLine="640" w:firstLineChars="200"/>
        <w:jc w:val="left"/>
        <w:rPr>
          <w:rFonts w:hint="eastAsia" w:ascii="Times New Roman" w:hAnsi="仿宋" w:eastAsia="仿宋"/>
          <w:sz w:val="32"/>
          <w:szCs w:val="32"/>
        </w:rPr>
      </w:pPr>
      <w:r>
        <w:rPr>
          <w:rFonts w:hint="eastAsia" w:ascii="Times New Roman" w:hAnsi="仿宋" w:eastAsia="仿宋"/>
          <w:sz w:val="32"/>
          <w:szCs w:val="32"/>
        </w:rPr>
        <w:t>2.</w:t>
      </w:r>
      <w:r>
        <w:rPr>
          <w:rFonts w:hint="eastAsia"/>
        </w:rPr>
        <w:t xml:space="preserve"> </w:t>
      </w:r>
      <w:r>
        <w:rPr>
          <w:rFonts w:hint="eastAsia" w:ascii="Times New Roman" w:hAnsi="仿宋" w:eastAsia="仿宋"/>
          <w:sz w:val="32"/>
          <w:szCs w:val="32"/>
        </w:rPr>
        <w:t>冀财教[2021]167号/下达2022年义务教育薄弱环节改善与能力提升省级补助资金/薄改与能力提升/西良后小学新建餐厅。</w:t>
      </w:r>
    </w:p>
    <w:p w14:paraId="41DD3F63">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 xml:space="preserve">招标前期工程手续办理缓慢，未按时完成任务，影响了工程进度。在项目实施过程中，建议设立程序办理督促机构，以确保项目按时完成。                                                                                       </w:t>
      </w:r>
    </w:p>
    <w:p w14:paraId="69980761">
      <w:pPr>
        <w:ind w:firstLine="800" w:firstLineChars="250"/>
        <w:rPr>
          <w:rFonts w:ascii="黑体" w:hAnsi="黑体" w:eastAsia="黑体"/>
          <w:sz w:val="32"/>
          <w:szCs w:val="32"/>
        </w:rPr>
      </w:pPr>
      <w:r>
        <w:rPr>
          <w:rFonts w:ascii="黑体" w:hAnsi="黑体" w:eastAsia="黑体"/>
          <w:sz w:val="32"/>
          <w:szCs w:val="32"/>
        </w:rPr>
        <w:t>三、绩效目标设定质量情况</w:t>
      </w:r>
    </w:p>
    <w:p w14:paraId="7EB29199">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（一）项目绩效设定完整。项目指标设置较为完整，能覆盖项目核心产出与效益。</w:t>
      </w:r>
    </w:p>
    <w:p w14:paraId="40B4865C">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（二）项目绩效设定相关性贴近。项目设置较多指标，指标与项目相关性较高，能具体评价项目。</w:t>
      </w:r>
    </w:p>
    <w:p w14:paraId="18B94484">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（三）项目绩效设定可测性较高。项目指标量化、可以测量。</w:t>
      </w:r>
    </w:p>
    <w:p w14:paraId="1FCA013D">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（四）项目绩效设定合理。项目指标设置较为合理，合实际的问题。</w:t>
      </w:r>
    </w:p>
    <w:p w14:paraId="27B47CD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（五）项目绩效设定规范。项目指标名称较为规范、指标内容与指标值较为对应、指标类型选择较为适用。</w:t>
      </w:r>
    </w:p>
    <w:p w14:paraId="56FD83E5">
      <w:pPr>
        <w:ind w:firstLine="800" w:firstLineChars="250"/>
        <w:rPr>
          <w:rFonts w:ascii="黑体" w:hAnsi="黑体" w:eastAsia="黑体"/>
          <w:sz w:val="32"/>
          <w:szCs w:val="32"/>
        </w:rPr>
      </w:pPr>
      <w:r>
        <w:rPr>
          <w:rFonts w:ascii="黑体" w:hAnsi="黑体" w:eastAsia="黑体"/>
          <w:sz w:val="32"/>
          <w:szCs w:val="32"/>
        </w:rPr>
        <w:t>四、整改措施及结果应用</w:t>
      </w:r>
    </w:p>
    <w:p w14:paraId="3DB05837">
      <w:pPr>
        <w:spacing w:line="570" w:lineRule="exact"/>
        <w:ind w:firstLine="420" w:firstLineChars="200"/>
        <w:jc w:val="left"/>
        <w:rPr>
          <w:rFonts w:ascii="Times New Roman" w:hAnsi="仿宋" w:eastAsia="仿宋"/>
          <w:sz w:val="32"/>
          <w:szCs w:val="32"/>
        </w:rPr>
      </w:pPr>
      <w:r>
        <w:rPr>
          <w:rFonts w:hint="eastAsia"/>
          <w:color w:val="333333"/>
        </w:rPr>
        <w:t>　</w:t>
      </w:r>
      <w:r>
        <w:rPr>
          <w:rFonts w:hint="eastAsia" w:ascii="Times New Roman" w:hAnsi="仿宋" w:eastAsia="仿宋"/>
          <w:sz w:val="32"/>
          <w:szCs w:val="32"/>
        </w:rPr>
        <w:t>通过对我部门整体支出和项目支出情况自评分析，我部门在整体支出和项目支出执行和管理过程中，依然存在一些问题和不足：一是思想认识不到位。当前对绩效评价工作的重视程度不到位，应当加强学习，提高认识。二是绩效目标设立不够全面。项目设置过于单一，与实际项目类型不够完全匹配。</w:t>
      </w:r>
    </w:p>
    <w:p w14:paraId="468008C0">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针对上述不足，我部门将积极采取改进措施，持续改进，不断规范和强化管理。积极学习其他单位优秀办法，提高认识，高度重视。绩效目标设立全面细化量化，项目类型设立匹配。</w:t>
      </w:r>
    </w:p>
    <w:p w14:paraId="30B68747">
      <w:pPr>
        <w:spacing w:line="570" w:lineRule="exact"/>
        <w:ind w:firstLine="640" w:firstLineChars="200"/>
        <w:jc w:val="left"/>
        <w:rPr>
          <w:rFonts w:ascii="Times New Roman" w:hAnsi="仿宋" w:eastAsia="仿宋"/>
          <w:sz w:val="32"/>
          <w:szCs w:val="32"/>
        </w:rPr>
      </w:pPr>
      <w:r>
        <w:rPr>
          <w:rFonts w:hint="eastAsia" w:ascii="Times New Roman" w:hAnsi="仿宋" w:eastAsia="仿宋"/>
          <w:sz w:val="32"/>
          <w:szCs w:val="32"/>
        </w:rPr>
        <w:t>加快健全覆盖所有财政性资金的预算绩效管理新机制，落实各预算部门绩效管理主体责任，切实加强预算绩效管理，提高财政资金使用效益。并将财政评价结果作为编制下一年度部门预算控制数和绩效公用经费的重要编制依据。</w:t>
      </w:r>
    </w:p>
    <w:p w14:paraId="26900751">
      <w:pPr>
        <w:spacing w:line="570" w:lineRule="exact"/>
        <w:jc w:val="left"/>
        <w:rPr>
          <w:rFonts w:ascii="黑体" w:hAnsi="黑体" w:eastAsia="黑体"/>
          <w:sz w:val="32"/>
          <w:szCs w:val="32"/>
        </w:rPr>
      </w:pPr>
    </w:p>
    <w:p w14:paraId="4470CB25">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cs="宋体"/>
          <w:b/>
          <w:color w:val="000000"/>
          <w:kern w:val="0"/>
          <w:sz w:val="44"/>
          <w:szCs w:val="44"/>
          <w:shd w:val="clear" w:color="auto" w:fill="FFFFFF"/>
        </w:rPr>
        <w:t>指标体系评分表</w:t>
      </w:r>
    </w:p>
    <w:tbl>
      <w:tblPr>
        <w:tblStyle w:val="5"/>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14:paraId="43D1C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14:paraId="0B0BEE86">
            <w:pPr>
              <w:widowControl/>
              <w:spacing w:line="240" w:lineRule="exact"/>
              <w:jc w:val="center"/>
              <w:rPr>
                <w:b/>
              </w:rPr>
            </w:pPr>
            <w:r>
              <w:rPr>
                <w:rFonts w:ascii="仿宋_GB2312" w:hAnsi="新宋体" w:eastAsia="仿宋_GB2312" w:cs="仿宋_GB2312"/>
                <w:b/>
                <w:kern w:val="0"/>
                <w:sz w:val="24"/>
                <w:szCs w:val="24"/>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3AB71055">
            <w:pPr>
              <w:widowControl/>
              <w:spacing w:line="240" w:lineRule="exact"/>
              <w:jc w:val="center"/>
              <w:rPr>
                <w:b/>
              </w:rPr>
            </w:pPr>
            <w:r>
              <w:rPr>
                <w:rFonts w:ascii="仿宋_GB2312" w:hAnsi="新宋体" w:eastAsia="仿宋_GB2312" w:cs="仿宋_GB2312"/>
                <w:b/>
                <w:kern w:val="0"/>
                <w:sz w:val="24"/>
                <w:szCs w:val="24"/>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14:paraId="5A255261">
            <w:pPr>
              <w:widowControl/>
              <w:spacing w:line="240" w:lineRule="exact"/>
              <w:jc w:val="center"/>
              <w:rPr>
                <w:b/>
              </w:rPr>
            </w:pPr>
            <w:r>
              <w:rPr>
                <w:rFonts w:ascii="仿宋_GB2312" w:hAnsi="新宋体" w:eastAsia="仿宋_GB2312" w:cs="仿宋_GB2312"/>
                <w:b/>
                <w:kern w:val="0"/>
                <w:sz w:val="24"/>
                <w:szCs w:val="24"/>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14:paraId="2E1E6328">
            <w:pPr>
              <w:widowControl/>
              <w:spacing w:line="240" w:lineRule="exact"/>
              <w:jc w:val="center"/>
              <w:rPr>
                <w:b/>
              </w:rPr>
            </w:pPr>
            <w:r>
              <w:rPr>
                <w:rFonts w:ascii="仿宋_GB2312" w:hAnsi="新宋体" w:eastAsia="仿宋_GB2312" w:cs="仿宋_GB2312"/>
                <w:b/>
                <w:kern w:val="0"/>
                <w:sz w:val="24"/>
                <w:szCs w:val="24"/>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14:paraId="0D97131B">
            <w:pPr>
              <w:widowControl/>
              <w:spacing w:line="240" w:lineRule="exact"/>
              <w:jc w:val="left"/>
              <w:rPr>
                <w:b/>
              </w:rPr>
            </w:pPr>
            <w:r>
              <w:rPr>
                <w:rFonts w:ascii="仿宋_GB2312" w:hAnsi="新宋体" w:eastAsia="仿宋_GB2312" w:cs="仿宋_GB2312"/>
                <w:b/>
                <w:kern w:val="0"/>
                <w:sz w:val="24"/>
                <w:szCs w:val="24"/>
              </w:rPr>
              <w:t>得分</w:t>
            </w:r>
          </w:p>
        </w:tc>
      </w:tr>
      <w:tr w14:paraId="3368C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7C6123C6">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449E39C5">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330439DD">
            <w:pPr>
              <w:widowControl/>
              <w:spacing w:line="240" w:lineRule="exact"/>
              <w:jc w:val="center"/>
              <w:rPr>
                <w:b/>
              </w:rPr>
            </w:pPr>
            <w:r>
              <w:rPr>
                <w:rFonts w:ascii="仿宋_GB2312" w:hAnsi="新宋体" w:eastAsia="仿宋_GB2312" w:cs="仿宋_GB2312"/>
                <w:b/>
                <w:kern w:val="0"/>
                <w:sz w:val="24"/>
                <w:szCs w:val="24"/>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14:paraId="2E7DF786">
            <w:pPr>
              <w:widowControl/>
              <w:spacing w:line="240" w:lineRule="exact"/>
              <w:jc w:val="center"/>
              <w:rPr>
                <w:b/>
              </w:rPr>
            </w:pPr>
            <w:r>
              <w:rPr>
                <w:rFonts w:ascii="仿宋_GB2312" w:hAnsi="新宋体" w:eastAsia="仿宋_GB2312" w:cs="仿宋_GB2312"/>
                <w:b/>
                <w:kern w:val="0"/>
                <w:sz w:val="24"/>
                <w:szCs w:val="24"/>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14:paraId="6696838B">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14:paraId="6D1FCF1B">
            <w:pPr>
              <w:rPr>
                <w:rFonts w:ascii="宋体"/>
                <w:szCs w:val="21"/>
              </w:rPr>
            </w:pPr>
          </w:p>
        </w:tc>
      </w:tr>
      <w:tr w14:paraId="1774A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14:paraId="2AE4FBB7">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投入（10）</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0092941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绩效目标设定情况</w:t>
            </w:r>
          </w:p>
          <w:p w14:paraId="789E5340">
            <w:pPr>
              <w:widowControl/>
              <w:spacing w:line="240" w:lineRule="exact"/>
              <w:jc w:val="left"/>
              <w:rPr>
                <w:rFonts w:ascii="仿宋_GB2312" w:hAnsi="仿宋_GB2312" w:eastAsia="仿宋_GB2312" w:cs="仿宋_GB2312"/>
                <w:color w:val="FF0000"/>
                <w:szCs w:val="21"/>
              </w:rPr>
            </w:pPr>
            <w:r>
              <w:rPr>
                <w:rFonts w:hint="eastAsia" w:ascii="仿宋_GB2312" w:hAnsi="仿宋_GB2312" w:eastAsia="仿宋_GB2312" w:cs="仿宋_GB2312"/>
                <w:kern w:val="0"/>
                <w:szCs w:val="21"/>
              </w:rPr>
              <w:t>（5分）</w:t>
            </w:r>
          </w:p>
        </w:tc>
        <w:tc>
          <w:tcPr>
            <w:tcW w:w="1275" w:type="dxa"/>
            <w:tcBorders>
              <w:top w:val="single" w:color="000000" w:sz="4" w:space="0"/>
              <w:left w:val="single" w:color="000000" w:sz="4" w:space="0"/>
              <w:bottom w:val="single" w:color="auto" w:sz="4" w:space="0"/>
              <w:right w:val="single" w:color="auto" w:sz="4" w:space="0"/>
            </w:tcBorders>
            <w:vAlign w:val="center"/>
          </w:tcPr>
          <w:p w14:paraId="2BB1185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职责明确 （1分）</w:t>
            </w:r>
          </w:p>
        </w:tc>
        <w:tc>
          <w:tcPr>
            <w:tcW w:w="3436" w:type="dxa"/>
            <w:tcBorders>
              <w:top w:val="single" w:color="000000" w:sz="4" w:space="0"/>
              <w:left w:val="single" w:color="auto" w:sz="4" w:space="0"/>
              <w:bottom w:val="single" w:color="auto" w:sz="4" w:space="0"/>
              <w:right w:val="single" w:color="auto" w:sz="4" w:space="0"/>
            </w:tcBorders>
            <w:vAlign w:val="center"/>
          </w:tcPr>
          <w:p w14:paraId="5F9F7E4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部门的职责设定是否符合“三定”方案中所赋予的职责，用以反映和评价部门工作的目的性与计划性。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14:paraId="01EE2BC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符合（1）；</w:t>
            </w:r>
          </w:p>
          <w:p w14:paraId="674FF455">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14:paraId="0827D95E">
            <w:pPr>
              <w:widowControl/>
              <w:spacing w:line="240" w:lineRule="exact"/>
              <w:jc w:val="left"/>
              <w:rPr>
                <w:szCs w:val="21"/>
              </w:rPr>
            </w:pPr>
            <w:r>
              <w:rPr>
                <w:rFonts w:hint="eastAsia"/>
                <w:szCs w:val="21"/>
              </w:rPr>
              <w:t>1</w:t>
            </w:r>
          </w:p>
        </w:tc>
      </w:tr>
      <w:tr w14:paraId="0C32B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11E5CFBC">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7315AD90">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14:paraId="6AA7D13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活动合规性（2分）</w:t>
            </w:r>
          </w:p>
        </w:tc>
        <w:tc>
          <w:tcPr>
            <w:tcW w:w="3436" w:type="dxa"/>
            <w:tcBorders>
              <w:top w:val="single" w:color="000000" w:sz="4" w:space="0"/>
              <w:left w:val="single" w:color="auto" w:sz="4" w:space="0"/>
              <w:bottom w:val="single" w:color="auto" w:sz="4" w:space="0"/>
              <w:right w:val="single" w:color="auto" w:sz="4" w:space="0"/>
            </w:tcBorders>
            <w:vAlign w:val="center"/>
          </w:tcPr>
          <w:p w14:paraId="6EAEA9E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部门的活动是否在职责范围之内并符合部门中长期规划，用以反映和评价部门活动目标与部门履职、年度工作任务的相符性情况。</w:t>
            </w:r>
          </w:p>
          <w:p w14:paraId="5BC6C9F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314063D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1、部门活动的设定在部门所确定的职责范围之内；</w:t>
            </w:r>
          </w:p>
          <w:p w14:paraId="568D0017">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2、部门活动符合市委、市政府的发展规划及本部门的年度工作安排与发展规划。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14:paraId="1CD4FD2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全部符合（2）；</w:t>
            </w:r>
          </w:p>
          <w:p w14:paraId="33268DF5">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14:paraId="1654CD3D">
            <w:pPr>
              <w:widowControl/>
              <w:spacing w:line="240" w:lineRule="exact"/>
              <w:jc w:val="left"/>
              <w:rPr>
                <w:szCs w:val="21"/>
              </w:rPr>
            </w:pPr>
            <w:r>
              <w:rPr>
                <w:rFonts w:hint="eastAsia"/>
                <w:szCs w:val="21"/>
              </w:rPr>
              <w:t>2</w:t>
            </w:r>
          </w:p>
        </w:tc>
      </w:tr>
      <w:tr w14:paraId="5E0AC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3EFB087A">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60E9F471">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14:paraId="391790E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活动合理性（2分）</w:t>
            </w:r>
          </w:p>
        </w:tc>
        <w:tc>
          <w:tcPr>
            <w:tcW w:w="3436" w:type="dxa"/>
            <w:tcBorders>
              <w:top w:val="single" w:color="000000" w:sz="4" w:space="0"/>
              <w:left w:val="single" w:color="auto" w:sz="4" w:space="0"/>
              <w:bottom w:val="single" w:color="auto" w:sz="4" w:space="0"/>
              <w:right w:val="single" w:color="auto" w:sz="4" w:space="0"/>
            </w:tcBorders>
            <w:vAlign w:val="center"/>
          </w:tcPr>
          <w:p w14:paraId="426A54E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部门所设立的活动是否明确合理、活动的关键性指标设置是否可衡量，用以反映和评价部门活动目标设定的合理性。</w:t>
            </w:r>
          </w:p>
          <w:p w14:paraId="2A8CB10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42C3CA6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1、活动目标的设定是可量化的，可通过清晰、可衡量的关键指标值予以体现；</w:t>
            </w:r>
          </w:p>
          <w:p w14:paraId="5C190AA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14:paraId="7D6B860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全部符合（2）；</w:t>
            </w:r>
          </w:p>
          <w:p w14:paraId="7BB427C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14:paraId="41EA6DEE">
            <w:pPr>
              <w:widowControl/>
              <w:spacing w:line="240" w:lineRule="exact"/>
              <w:jc w:val="left"/>
              <w:rPr>
                <w:szCs w:val="21"/>
              </w:rPr>
            </w:pPr>
            <w:r>
              <w:rPr>
                <w:rFonts w:hint="eastAsia"/>
                <w:szCs w:val="21"/>
              </w:rPr>
              <w:t>2</w:t>
            </w:r>
          </w:p>
        </w:tc>
      </w:tr>
      <w:tr w14:paraId="56B5B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3E5F7360">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right w:val="single" w:color="000000" w:sz="4" w:space="0"/>
            </w:tcBorders>
            <w:vAlign w:val="center"/>
          </w:tcPr>
          <w:p w14:paraId="0BE61B40">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预算配置情况(5分)</w:t>
            </w:r>
          </w:p>
        </w:tc>
        <w:tc>
          <w:tcPr>
            <w:tcW w:w="1275" w:type="dxa"/>
            <w:tcBorders>
              <w:top w:val="single" w:color="auto" w:sz="4" w:space="0"/>
              <w:left w:val="single" w:color="000000" w:sz="4" w:space="0"/>
              <w:right w:val="single" w:color="auto" w:sz="4" w:space="0"/>
            </w:tcBorders>
            <w:vAlign w:val="center"/>
          </w:tcPr>
          <w:p w14:paraId="2C02CA74">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在职人员控制率（1分）</w:t>
            </w:r>
          </w:p>
        </w:tc>
        <w:tc>
          <w:tcPr>
            <w:tcW w:w="3436" w:type="dxa"/>
            <w:tcBorders>
              <w:top w:val="single" w:color="auto" w:sz="4" w:space="0"/>
              <w:left w:val="single" w:color="auto" w:sz="4" w:space="0"/>
              <w:right w:val="single" w:color="auto" w:sz="4" w:space="0"/>
            </w:tcBorders>
            <w:vAlign w:val="center"/>
          </w:tcPr>
          <w:p w14:paraId="0B08D62D">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部门本年度实际在职人员数与编制数的比率，用以反映和评价部门对人员成本的控制程度。</w:t>
            </w:r>
          </w:p>
          <w:p w14:paraId="32BC8971">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在职人员控制率=（在职人员数/编制数）×100%。</w:t>
            </w:r>
          </w:p>
          <w:p w14:paraId="3FC7DD47">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在职人员数：部门实际在职人数，以财政部确定的部门决算编制口径为准，由编制部门和人劳部门批复同意的临聘人员除外。</w:t>
            </w:r>
          </w:p>
          <w:p w14:paraId="0770DFB4">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14:paraId="303F322D">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1、在职人员控制率小于或等于100%的，得满分；</w:t>
            </w:r>
          </w:p>
          <w:p w14:paraId="3E53E173">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2、在职人员控制率大于或等于115%的，得0分；</w:t>
            </w:r>
          </w:p>
          <w:p w14:paraId="1D273091">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3、在职人员控制率在100%-115%之间的，在0分和满分之间计算确定：</w:t>
            </w:r>
          </w:p>
          <w:p w14:paraId="61DE39FD">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14:paraId="6BC387E3">
            <w:pPr>
              <w:widowControl/>
              <w:spacing w:line="240" w:lineRule="exact"/>
              <w:jc w:val="left"/>
              <w:rPr>
                <w:szCs w:val="21"/>
              </w:rPr>
            </w:pPr>
            <w:r>
              <w:rPr>
                <w:rFonts w:hint="eastAsia"/>
                <w:szCs w:val="21"/>
              </w:rPr>
              <w:t>1</w:t>
            </w:r>
          </w:p>
        </w:tc>
      </w:tr>
      <w:tr w14:paraId="7BE40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14:paraId="0D53CB35">
            <w:pPr>
              <w:spacing w:line="240" w:lineRule="exact"/>
              <w:rPr>
                <w:rFonts w:ascii="仿宋_GB2312" w:hAnsi="仿宋_GB2312" w:eastAsia="仿宋_GB2312" w:cs="仿宋_GB2312"/>
                <w:szCs w:val="21"/>
              </w:rPr>
            </w:pPr>
          </w:p>
        </w:tc>
        <w:tc>
          <w:tcPr>
            <w:tcW w:w="743" w:type="dxa"/>
            <w:vMerge w:val="continue"/>
            <w:tcBorders>
              <w:left w:val="single" w:color="000000" w:sz="4" w:space="0"/>
              <w:right w:val="single" w:color="000000" w:sz="4" w:space="0"/>
            </w:tcBorders>
            <w:vAlign w:val="center"/>
          </w:tcPr>
          <w:p w14:paraId="030D1C00">
            <w:pPr>
              <w:widowControl/>
              <w:spacing w:line="240" w:lineRule="exact"/>
              <w:jc w:val="left"/>
              <w:rPr>
                <w:rFonts w:ascii="仿宋_GB2312" w:hAnsi="仿宋_GB2312"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14:paraId="7B82C702">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“三公经费”变动率（2分）</w:t>
            </w:r>
          </w:p>
        </w:tc>
        <w:tc>
          <w:tcPr>
            <w:tcW w:w="3436" w:type="dxa"/>
            <w:tcBorders>
              <w:top w:val="single" w:color="auto" w:sz="4" w:space="0"/>
              <w:left w:val="single" w:color="auto" w:sz="4" w:space="0"/>
              <w:right w:val="single" w:color="auto" w:sz="4" w:space="0"/>
            </w:tcBorders>
            <w:vAlign w:val="center"/>
          </w:tcPr>
          <w:p w14:paraId="1F873C13">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部门本年度“三公经费”预算数与上年度“三公经费”预算数的变动比率，用以反映和考核部门对控制重点行政成本的努力程度。“三公经费”变动率=〔（本年度“三公经费”总额-上年度“三公经费”总额）/上年度“三公经费”总额〕×100%。</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14:paraId="7B079173">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小于或等于-5%的，得满分；</w:t>
            </w:r>
          </w:p>
          <w:p w14:paraId="0123B06E">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大于或等于10%的，得0分；</w:t>
            </w:r>
          </w:p>
          <w:p w14:paraId="13984200">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3、在职人员控制率在-5%-10%之间的，在0分和满分之间计算确定：</w:t>
            </w:r>
          </w:p>
          <w:p w14:paraId="71382262">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得分=〔max（</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〕/〔max（</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14:paraId="30987DC4">
            <w:pPr>
              <w:widowControl/>
              <w:spacing w:line="240" w:lineRule="exact"/>
              <w:jc w:val="left"/>
              <w:rPr>
                <w:szCs w:val="21"/>
              </w:rPr>
            </w:pPr>
            <w:r>
              <w:rPr>
                <w:rFonts w:hint="eastAsia"/>
                <w:szCs w:val="21"/>
              </w:rPr>
              <w:t>2</w:t>
            </w:r>
          </w:p>
        </w:tc>
      </w:tr>
      <w:tr w14:paraId="34029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14:paraId="003003DF">
            <w:pPr>
              <w:spacing w:line="240" w:lineRule="exact"/>
              <w:rPr>
                <w:rFonts w:ascii="仿宋_GB2312" w:hAnsi="仿宋_GB2312" w:eastAsia="仿宋_GB2312" w:cs="仿宋_GB2312"/>
                <w:szCs w:val="21"/>
              </w:rPr>
            </w:pPr>
          </w:p>
        </w:tc>
        <w:tc>
          <w:tcPr>
            <w:tcW w:w="743" w:type="dxa"/>
            <w:vMerge w:val="continue"/>
            <w:tcBorders>
              <w:left w:val="single" w:color="000000" w:sz="4" w:space="0"/>
              <w:bottom w:val="single" w:color="000000" w:sz="4" w:space="0"/>
              <w:right w:val="single" w:color="000000" w:sz="4" w:space="0"/>
            </w:tcBorders>
            <w:vAlign w:val="center"/>
          </w:tcPr>
          <w:p w14:paraId="1C1600FF">
            <w:pPr>
              <w:widowControl/>
              <w:spacing w:line="240" w:lineRule="exact"/>
              <w:jc w:val="left"/>
              <w:rPr>
                <w:rFonts w:ascii="仿宋_GB2312" w:hAnsi="仿宋_GB2312"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14:paraId="3FBF3D58">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重点支出安排率（2分）</w:t>
            </w:r>
          </w:p>
        </w:tc>
        <w:tc>
          <w:tcPr>
            <w:tcW w:w="3436" w:type="dxa"/>
            <w:tcBorders>
              <w:top w:val="single" w:color="auto" w:sz="4" w:space="0"/>
              <w:left w:val="single" w:color="auto" w:sz="4" w:space="0"/>
              <w:right w:val="single" w:color="auto" w:sz="4" w:space="0"/>
            </w:tcBorders>
            <w:vAlign w:val="center"/>
          </w:tcPr>
          <w:p w14:paraId="1B9C91AA">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重点项目支出：部门（单位）年度预算安排的，与本部门履职和发展密切相关、具有明显社会和经济影响、党委政府关心或社会比较关注的项目支出总额。</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14:paraId="4F136D4B">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大于或等于95%的，得满分；</w:t>
            </w:r>
          </w:p>
          <w:p w14:paraId="02C9FA28">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小于或等于85%的，得0分；</w:t>
            </w:r>
          </w:p>
          <w:p w14:paraId="0367192F">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在85%-95%之间的，在0分和满分之间计算确定：</w:t>
            </w:r>
          </w:p>
          <w:p w14:paraId="37E47392">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得分=〔某部门</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）〕/〔max（</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14:paraId="0F2D488C">
            <w:pPr>
              <w:widowControl/>
              <w:spacing w:line="240" w:lineRule="exact"/>
              <w:jc w:val="left"/>
              <w:rPr>
                <w:szCs w:val="21"/>
              </w:rPr>
            </w:pPr>
            <w:r>
              <w:rPr>
                <w:rFonts w:hint="eastAsia"/>
                <w:szCs w:val="21"/>
              </w:rPr>
              <w:t>2</w:t>
            </w:r>
          </w:p>
        </w:tc>
      </w:tr>
      <w:tr w14:paraId="1199E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14:paraId="570DBC5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过程(45分)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48EA249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预算执行情况(25分)</w:t>
            </w:r>
          </w:p>
        </w:tc>
        <w:tc>
          <w:tcPr>
            <w:tcW w:w="1275" w:type="dxa"/>
            <w:tcBorders>
              <w:top w:val="single" w:color="000000" w:sz="4" w:space="0"/>
              <w:left w:val="single" w:color="000000" w:sz="4" w:space="0"/>
              <w:bottom w:val="single" w:color="000000" w:sz="4" w:space="0"/>
              <w:right w:val="single" w:color="auto" w:sz="4" w:space="0"/>
            </w:tcBorders>
            <w:vAlign w:val="center"/>
          </w:tcPr>
          <w:p w14:paraId="6ACA05E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预算完成率（5分）</w:t>
            </w:r>
          </w:p>
        </w:tc>
        <w:tc>
          <w:tcPr>
            <w:tcW w:w="3436" w:type="dxa"/>
            <w:tcBorders>
              <w:top w:val="single" w:color="000000" w:sz="4" w:space="0"/>
              <w:left w:val="single" w:color="auto" w:sz="4" w:space="0"/>
              <w:bottom w:val="single" w:color="000000" w:sz="4" w:space="0"/>
              <w:right w:val="single" w:color="auto" w:sz="4" w:space="0"/>
            </w:tcBorders>
            <w:vAlign w:val="center"/>
          </w:tcPr>
          <w:p w14:paraId="7ED615A0">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通过对部门本年度预算完成数与预算数的比较，反映和评价部门预算的完成程度。</w:t>
            </w:r>
          </w:p>
          <w:p w14:paraId="48DDF27F">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14:paraId="3A263DAA">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1、预算完成率大于或等于95%的，得满分；</w:t>
            </w:r>
          </w:p>
          <w:p w14:paraId="7657B907">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2、预算完成率小于或等于85%的，得0分；</w:t>
            </w:r>
          </w:p>
          <w:p w14:paraId="13BC7C4E">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3、预算完成率在85%-95%之间的，在0分和满分之间计算确定：</w:t>
            </w:r>
          </w:p>
          <w:p w14:paraId="06FDB3CC">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14:paraId="7F5E445D">
            <w:pPr>
              <w:widowControl/>
              <w:spacing w:line="240" w:lineRule="exact"/>
              <w:jc w:val="left"/>
              <w:rPr>
                <w:szCs w:val="21"/>
              </w:rPr>
            </w:pPr>
            <w:r>
              <w:rPr>
                <w:rFonts w:hint="eastAsia"/>
                <w:szCs w:val="21"/>
              </w:rPr>
              <w:t>5</w:t>
            </w:r>
          </w:p>
        </w:tc>
      </w:tr>
      <w:tr w14:paraId="7D135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8A4AC79">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03BD8644">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6C89F9C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预算调整率（3分）</w:t>
            </w:r>
          </w:p>
        </w:tc>
        <w:tc>
          <w:tcPr>
            <w:tcW w:w="3436" w:type="dxa"/>
            <w:tcBorders>
              <w:top w:val="single" w:color="000000" w:sz="4" w:space="0"/>
              <w:left w:val="single" w:color="auto" w:sz="4" w:space="0"/>
              <w:bottom w:val="single" w:color="000000" w:sz="4" w:space="0"/>
              <w:right w:val="single" w:color="auto" w:sz="4" w:space="0"/>
            </w:tcBorders>
            <w:vAlign w:val="center"/>
          </w:tcPr>
          <w:p w14:paraId="77418AD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部门本年度预算调整数与预算数的比率，用以反映和评价部门预算的调整程度。</w:t>
            </w:r>
          </w:p>
          <w:p w14:paraId="3EAC3E0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14:paraId="4C095BB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 xml:space="preserve">1、预算调整率等于0的，得满分； </w:t>
            </w:r>
          </w:p>
          <w:p w14:paraId="25C1CFE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2、预算调整率大于或等于10%的，得0分；</w:t>
            </w:r>
          </w:p>
          <w:p w14:paraId="448FABBA">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3、预算调整率在0-10%之间的，在0分和满分之间确定：</w:t>
            </w:r>
          </w:p>
          <w:p w14:paraId="4897CC59">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14:paraId="4BD88F83">
            <w:pPr>
              <w:widowControl/>
              <w:spacing w:line="240" w:lineRule="exact"/>
              <w:jc w:val="left"/>
              <w:rPr>
                <w:szCs w:val="21"/>
              </w:rPr>
            </w:pPr>
            <w:r>
              <w:rPr>
                <w:rFonts w:hint="eastAsia"/>
                <w:szCs w:val="21"/>
              </w:rPr>
              <w:t>2</w:t>
            </w:r>
          </w:p>
        </w:tc>
      </w:tr>
      <w:tr w14:paraId="15FD0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30F2DF2A">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111A6607">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2E2E90CD">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支付进度率</w:t>
            </w:r>
            <w:r>
              <w:rPr>
                <w:rFonts w:hint="eastAsia" w:ascii="仿宋_GB2312" w:hAnsi="仿宋_GB2312" w:eastAsia="仿宋_GB2312" w:cs="仿宋_GB2312"/>
                <w:kern w:val="0"/>
                <w:szCs w:val="21"/>
              </w:rPr>
              <w:t>（5分）</w:t>
            </w:r>
          </w:p>
        </w:tc>
        <w:tc>
          <w:tcPr>
            <w:tcW w:w="3436" w:type="dxa"/>
            <w:tcBorders>
              <w:top w:val="single" w:color="000000" w:sz="4" w:space="0"/>
              <w:left w:val="single" w:color="auto" w:sz="4" w:space="0"/>
              <w:bottom w:val="single" w:color="000000" w:sz="4" w:space="0"/>
              <w:right w:val="single" w:color="auto" w:sz="4" w:space="0"/>
            </w:tcBorders>
            <w:vAlign w:val="center"/>
          </w:tcPr>
          <w:p w14:paraId="3E288B9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部门年度支付数与年度任务数的比率，用以反映和评价部门预算执行的及时和均衡程度。</w:t>
            </w:r>
          </w:p>
          <w:p w14:paraId="71755C1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支付进度率=（年度支付数/年度任务数）×100%。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14:paraId="7B79B23D">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按年度的执行情况进行打分。得分=年度支付数/年度任务数×该指标分值。</w:t>
            </w:r>
          </w:p>
          <w:p w14:paraId="2A29EFAF">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14:paraId="03110C65">
            <w:pPr>
              <w:widowControl/>
              <w:spacing w:line="240" w:lineRule="exact"/>
              <w:jc w:val="left"/>
              <w:rPr>
                <w:szCs w:val="21"/>
              </w:rPr>
            </w:pPr>
            <w:r>
              <w:rPr>
                <w:rFonts w:hint="eastAsia"/>
                <w:szCs w:val="21"/>
              </w:rPr>
              <w:t>5</w:t>
            </w:r>
          </w:p>
        </w:tc>
      </w:tr>
      <w:tr w14:paraId="187A6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E6D124D">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41CD173B">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4258CE6D">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结转结余率（4分）</w:t>
            </w:r>
          </w:p>
        </w:tc>
        <w:tc>
          <w:tcPr>
            <w:tcW w:w="3436" w:type="dxa"/>
            <w:tcBorders>
              <w:top w:val="single" w:color="000000" w:sz="4" w:space="0"/>
              <w:left w:val="single" w:color="auto" w:sz="4" w:space="0"/>
              <w:bottom w:val="single" w:color="000000" w:sz="4" w:space="0"/>
              <w:right w:val="single" w:color="auto" w:sz="4" w:space="0"/>
            </w:tcBorders>
            <w:vAlign w:val="center"/>
          </w:tcPr>
          <w:p w14:paraId="1864F7C5">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通过对部门本年度结转结余总额与支出预算数的比较，反映和评价部门对本年度结转结余资金的实际控制程度。</w:t>
            </w:r>
          </w:p>
          <w:p w14:paraId="6D03F9B0">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14:paraId="6E1F8162">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1、结转结余率等于0的，得满分；</w:t>
            </w:r>
          </w:p>
          <w:p w14:paraId="28F4CA9A">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2、结转结余率大于或等于50%的，得0分；</w:t>
            </w:r>
          </w:p>
          <w:p w14:paraId="141EBB45">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3、结转结余率在0-50%之间的，在0和满分之间计算确定：</w:t>
            </w:r>
          </w:p>
          <w:p w14:paraId="6C4D2915">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14:paraId="74F46488">
            <w:pPr>
              <w:widowControl/>
              <w:spacing w:line="240" w:lineRule="exact"/>
              <w:jc w:val="left"/>
              <w:rPr>
                <w:szCs w:val="21"/>
              </w:rPr>
            </w:pPr>
            <w:r>
              <w:rPr>
                <w:rFonts w:hint="eastAsia"/>
                <w:szCs w:val="21"/>
              </w:rPr>
              <w:t>3</w:t>
            </w:r>
          </w:p>
        </w:tc>
      </w:tr>
      <w:tr w14:paraId="0D516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59EA1DBF">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600ABB84">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3994E05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公用经费控制率（4分）</w:t>
            </w:r>
          </w:p>
        </w:tc>
        <w:tc>
          <w:tcPr>
            <w:tcW w:w="3436" w:type="dxa"/>
            <w:tcBorders>
              <w:top w:val="single" w:color="000000" w:sz="4" w:space="0"/>
              <w:left w:val="single" w:color="auto" w:sz="4" w:space="0"/>
              <w:bottom w:val="single" w:color="000000" w:sz="4" w:space="0"/>
              <w:right w:val="single" w:color="auto" w:sz="4" w:space="0"/>
            </w:tcBorders>
            <w:vAlign w:val="center"/>
          </w:tcPr>
          <w:p w14:paraId="1937FB3F">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通过对部门本年度实际支出的公用经费总额与预算安排的公用经费总额的比率，反映和评价部门对机构运转成本的实际控制程度。</w:t>
            </w:r>
          </w:p>
          <w:p w14:paraId="55DCA8F2">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14:paraId="5627C943">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1、公用经费控制率小于或等于100%的，得满分；</w:t>
            </w:r>
          </w:p>
          <w:p w14:paraId="63F4E865">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2、公用经费控制率大于或等于105%的，得0分；</w:t>
            </w:r>
          </w:p>
          <w:p w14:paraId="26D7907C">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3、公用经费控制率在100%-105%之间的，在0和满分之间计算确定：</w:t>
            </w:r>
          </w:p>
          <w:p w14:paraId="0D286E39">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14:paraId="73EDFFBE">
            <w:pPr>
              <w:widowControl/>
              <w:spacing w:line="240" w:lineRule="exact"/>
              <w:jc w:val="left"/>
              <w:rPr>
                <w:szCs w:val="21"/>
              </w:rPr>
            </w:pPr>
            <w:r>
              <w:rPr>
                <w:rFonts w:hint="eastAsia"/>
                <w:szCs w:val="21"/>
              </w:rPr>
              <w:t>4</w:t>
            </w:r>
          </w:p>
        </w:tc>
      </w:tr>
      <w:tr w14:paraId="16197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37E12F2">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3DEAFCC8">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3F64361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政府采购执行率（4分）</w:t>
            </w:r>
          </w:p>
        </w:tc>
        <w:tc>
          <w:tcPr>
            <w:tcW w:w="3436" w:type="dxa"/>
            <w:tcBorders>
              <w:top w:val="single" w:color="000000" w:sz="4" w:space="0"/>
              <w:left w:val="single" w:color="auto" w:sz="4" w:space="0"/>
              <w:bottom w:val="single" w:color="000000" w:sz="4" w:space="0"/>
              <w:right w:val="single" w:color="auto" w:sz="4" w:space="0"/>
            </w:tcBorders>
            <w:vAlign w:val="center"/>
          </w:tcPr>
          <w:p w14:paraId="0897B089">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通过对部门本年度实际政府采购预算项目个数与政府采购预算项目个数的比较，反映和评价部门政府采购预算执行情况。</w:t>
            </w:r>
          </w:p>
          <w:p w14:paraId="28A14E54">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政府采购执行率=（实际政府采购预算项目个数/政府采购预算项目个数）×100%。</w:t>
            </w:r>
          </w:p>
          <w:p w14:paraId="1C4E2503">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14:paraId="2004C07C">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1、政府采购执行率等于100%的，得满分；</w:t>
            </w:r>
          </w:p>
          <w:p w14:paraId="13302046">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2、政府采购执行率小于或等于90%的，0分；</w:t>
            </w:r>
          </w:p>
          <w:p w14:paraId="4D188B16">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3、政府采购执行率在90%-100%之间的，在0和满分之间计算确定：</w:t>
            </w:r>
          </w:p>
          <w:p w14:paraId="3932C448">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14:paraId="6D49B7FC">
            <w:pPr>
              <w:widowControl/>
              <w:spacing w:line="240" w:lineRule="exact"/>
              <w:jc w:val="left"/>
              <w:rPr>
                <w:szCs w:val="21"/>
              </w:rPr>
            </w:pPr>
            <w:r>
              <w:rPr>
                <w:rFonts w:hint="eastAsia"/>
                <w:szCs w:val="21"/>
              </w:rPr>
              <w:t>4</w:t>
            </w:r>
          </w:p>
        </w:tc>
      </w:tr>
      <w:tr w14:paraId="179E3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2202BED0">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5216B9E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预算管理情况</w:t>
            </w:r>
          </w:p>
          <w:p w14:paraId="7DF0084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（15）</w:t>
            </w:r>
          </w:p>
        </w:tc>
        <w:tc>
          <w:tcPr>
            <w:tcW w:w="1275" w:type="dxa"/>
            <w:tcBorders>
              <w:top w:val="single" w:color="000000" w:sz="4" w:space="0"/>
              <w:left w:val="single" w:color="000000" w:sz="4" w:space="0"/>
              <w:bottom w:val="single" w:color="000000" w:sz="4" w:space="0"/>
              <w:right w:val="single" w:color="auto" w:sz="4" w:space="0"/>
            </w:tcBorders>
            <w:vAlign w:val="center"/>
          </w:tcPr>
          <w:p w14:paraId="435EE840">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资金使用合规性（8分）</w:t>
            </w:r>
          </w:p>
        </w:tc>
        <w:tc>
          <w:tcPr>
            <w:tcW w:w="3436" w:type="dxa"/>
            <w:tcBorders>
              <w:top w:val="single" w:color="000000" w:sz="4" w:space="0"/>
              <w:left w:val="single" w:color="auto" w:sz="4" w:space="0"/>
              <w:bottom w:val="single" w:color="000000" w:sz="4" w:space="0"/>
              <w:right w:val="single" w:color="auto" w:sz="4" w:space="0"/>
            </w:tcBorders>
            <w:vAlign w:val="center"/>
          </w:tcPr>
          <w:p w14:paraId="12025C9A">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部门使用预算资金是否符合相关的预算财务管理制度的规定，反映和评价部门预算资金的规范运行情况。</w:t>
            </w:r>
          </w:p>
          <w:p w14:paraId="64A9483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6FA6070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1、符合国家财经法规和财务管理制度规定以及有关部门资金管理办法的规定；</w:t>
            </w:r>
          </w:p>
          <w:p w14:paraId="54314A2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2、资金的拨付有完整的审批过程和手续；</w:t>
            </w:r>
          </w:p>
          <w:p w14:paraId="284A1A0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3、项目的重大开支经过评估论证；</w:t>
            </w:r>
          </w:p>
          <w:p w14:paraId="7491772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4、符合部门预算批复的用途；</w:t>
            </w:r>
          </w:p>
          <w:p w14:paraId="7C424FE7">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5、不存在截留情况；</w:t>
            </w:r>
          </w:p>
          <w:p w14:paraId="43E6F85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6、不存在挤占情况；</w:t>
            </w:r>
          </w:p>
          <w:p w14:paraId="526BFC9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7、不存在挪用情况；</w:t>
            </w:r>
          </w:p>
          <w:p w14:paraId="60F7B86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14:paraId="68D185C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全部符合（8）；</w:t>
            </w:r>
          </w:p>
          <w:p w14:paraId="56AD8534">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符合其中七项（6）；</w:t>
            </w:r>
          </w:p>
          <w:p w14:paraId="2896E86A">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符合其中六项（4）；</w:t>
            </w:r>
          </w:p>
          <w:p w14:paraId="5D14F58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符合其中五项（2）；</w:t>
            </w:r>
          </w:p>
          <w:p w14:paraId="065459B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14:paraId="7CFF5315">
            <w:pPr>
              <w:widowControl/>
              <w:spacing w:line="240" w:lineRule="exact"/>
              <w:jc w:val="left"/>
              <w:rPr>
                <w:szCs w:val="21"/>
              </w:rPr>
            </w:pPr>
            <w:r>
              <w:rPr>
                <w:rFonts w:hint="eastAsia"/>
                <w:szCs w:val="21"/>
              </w:rPr>
              <w:t>8</w:t>
            </w:r>
          </w:p>
        </w:tc>
      </w:tr>
      <w:tr w14:paraId="6ACB9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17B0A99">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1A7F1E49">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194678C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预决算信息公开性（3分）</w:t>
            </w:r>
          </w:p>
        </w:tc>
        <w:tc>
          <w:tcPr>
            <w:tcW w:w="3436" w:type="dxa"/>
            <w:tcBorders>
              <w:top w:val="single" w:color="000000" w:sz="4" w:space="0"/>
              <w:left w:val="single" w:color="auto" w:sz="4" w:space="0"/>
              <w:bottom w:val="single" w:color="000000" w:sz="4" w:space="0"/>
              <w:right w:val="single" w:color="auto" w:sz="4" w:space="0"/>
            </w:tcBorders>
            <w:vAlign w:val="center"/>
          </w:tcPr>
          <w:p w14:paraId="20D0F94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部门是否按照政府信息公开有关规定公开相关预决算信息，用以反映和评价部门预决算管理的公开透明情况。</w:t>
            </w:r>
          </w:p>
          <w:p w14:paraId="625DD89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预决算信息是指与部门预算、执行、决算、监督、绩效等管理相关的信息。</w:t>
            </w:r>
          </w:p>
          <w:p w14:paraId="605D850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15B2C88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1、公开预决算信息；</w:t>
            </w:r>
          </w:p>
          <w:p w14:paraId="2E41353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2、按规定内容公开预决算信息；</w:t>
            </w:r>
          </w:p>
          <w:p w14:paraId="522A2DAD">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14:paraId="2EA0C30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全部符合（3）；</w:t>
            </w:r>
          </w:p>
          <w:p w14:paraId="6A3CB6C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符合其中两项（2）</w:t>
            </w:r>
          </w:p>
          <w:p w14:paraId="1A9CA834">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14:paraId="71E24568">
            <w:pPr>
              <w:widowControl/>
              <w:spacing w:line="240" w:lineRule="exact"/>
              <w:jc w:val="left"/>
              <w:rPr>
                <w:szCs w:val="21"/>
              </w:rPr>
            </w:pPr>
            <w:r>
              <w:rPr>
                <w:rFonts w:hint="eastAsia"/>
                <w:szCs w:val="21"/>
              </w:rPr>
              <w:t>3</w:t>
            </w:r>
          </w:p>
        </w:tc>
      </w:tr>
      <w:tr w14:paraId="553A2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5737F99F">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2A690885">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0204F2F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基础信息完善性</w:t>
            </w:r>
            <w:r>
              <w:rPr>
                <w:rFonts w:hint="eastAsia" w:ascii="仿宋_GB2312" w:hAnsi="仿宋_GB2312" w:eastAsia="仿宋_GB2312" w:cs="仿宋_GB2312"/>
                <w:kern w:val="0"/>
                <w:szCs w:val="21"/>
              </w:rPr>
              <w:t>（4分）</w:t>
            </w:r>
          </w:p>
        </w:tc>
        <w:tc>
          <w:tcPr>
            <w:tcW w:w="3436" w:type="dxa"/>
            <w:tcBorders>
              <w:top w:val="single" w:color="000000" w:sz="4" w:space="0"/>
              <w:left w:val="single" w:color="auto" w:sz="4" w:space="0"/>
              <w:bottom w:val="single" w:color="000000" w:sz="4" w:space="0"/>
              <w:right w:val="single" w:color="auto" w:sz="4" w:space="0"/>
            </w:tcBorders>
            <w:vAlign w:val="center"/>
          </w:tcPr>
          <w:p w14:paraId="519376C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部门基础信息是否完善，用以反映和评价基础信息对预算管理工作的支撑情况。</w:t>
            </w:r>
          </w:p>
          <w:p w14:paraId="515AC95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3A17970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1、基本财务管理制度健全；</w:t>
            </w:r>
          </w:p>
          <w:p w14:paraId="789B08D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2、基础数据信息和会计信息资料真实；</w:t>
            </w:r>
          </w:p>
          <w:p w14:paraId="5090B29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3、基础数据信息和会计信息资料完整；</w:t>
            </w:r>
          </w:p>
          <w:p w14:paraId="04C2FC6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14:paraId="412E143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符合全部四项（4）；</w:t>
            </w:r>
          </w:p>
          <w:p w14:paraId="5388503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符合其中三项（2）；</w:t>
            </w:r>
          </w:p>
          <w:p w14:paraId="2CC9465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符合其中两项（1）；</w:t>
            </w:r>
          </w:p>
          <w:p w14:paraId="04A2AE07">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14:paraId="34432BD1">
            <w:pPr>
              <w:widowControl/>
              <w:spacing w:line="240" w:lineRule="exact"/>
              <w:jc w:val="left"/>
              <w:rPr>
                <w:szCs w:val="21"/>
              </w:rPr>
            </w:pPr>
            <w:r>
              <w:rPr>
                <w:rFonts w:hint="eastAsia"/>
                <w:szCs w:val="21"/>
              </w:rPr>
              <w:t>4</w:t>
            </w:r>
          </w:p>
        </w:tc>
      </w:tr>
      <w:tr w14:paraId="6EEC6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B60EDC2">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219A44E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资产管理情况（5分）</w:t>
            </w:r>
          </w:p>
        </w:tc>
        <w:tc>
          <w:tcPr>
            <w:tcW w:w="1275" w:type="dxa"/>
            <w:tcBorders>
              <w:top w:val="single" w:color="auto" w:sz="4" w:space="0"/>
              <w:left w:val="single" w:color="000000" w:sz="4" w:space="0"/>
              <w:bottom w:val="single" w:color="000000" w:sz="4" w:space="0"/>
              <w:right w:val="single" w:color="auto" w:sz="4" w:space="0"/>
            </w:tcBorders>
            <w:vAlign w:val="center"/>
          </w:tcPr>
          <w:p w14:paraId="2434B42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资产管理完整性（2分）</w:t>
            </w:r>
          </w:p>
        </w:tc>
        <w:tc>
          <w:tcPr>
            <w:tcW w:w="3436" w:type="dxa"/>
            <w:tcBorders>
              <w:top w:val="single" w:color="auto" w:sz="4" w:space="0"/>
              <w:left w:val="single" w:color="auto" w:sz="4" w:space="0"/>
              <w:bottom w:val="single" w:color="000000" w:sz="4" w:space="0"/>
              <w:right w:val="single" w:color="auto" w:sz="4" w:space="0"/>
            </w:tcBorders>
            <w:vAlign w:val="center"/>
          </w:tcPr>
          <w:p w14:paraId="35D43A8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部门的资产是否保存完整、使用合规、收入及时足额上缴，用以反映和评价部门资产运行情况。</w:t>
            </w:r>
          </w:p>
          <w:p w14:paraId="35758EC4">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14:paraId="329C4F3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1、资产保存完整；</w:t>
            </w:r>
          </w:p>
          <w:p w14:paraId="59D993F6">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2、资产账务管理是否合规，帐实相符；</w:t>
            </w:r>
          </w:p>
          <w:p w14:paraId="2F6CFA12">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14:paraId="60230639">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符合全部三项（3）；</w:t>
            </w:r>
          </w:p>
          <w:p w14:paraId="01136C20">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符合其中两项（2）；</w:t>
            </w:r>
          </w:p>
          <w:p w14:paraId="679791CA">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符合其中一项（1）；</w:t>
            </w:r>
          </w:p>
          <w:p w14:paraId="3D0ABE7B">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14:paraId="55A90824">
            <w:pPr>
              <w:widowControl/>
              <w:spacing w:line="240" w:lineRule="exact"/>
              <w:jc w:val="left"/>
              <w:rPr>
                <w:szCs w:val="21"/>
              </w:rPr>
            </w:pPr>
            <w:r>
              <w:rPr>
                <w:rFonts w:hint="eastAsia"/>
                <w:szCs w:val="21"/>
              </w:rPr>
              <w:t>2</w:t>
            </w:r>
          </w:p>
        </w:tc>
      </w:tr>
      <w:tr w14:paraId="3EF1C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660BEB6">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2C693ECA">
            <w:pPr>
              <w:spacing w:line="240" w:lineRule="exact"/>
              <w:rPr>
                <w:rFonts w:ascii="仿宋_GB2312" w:hAnsi="仿宋_GB2312" w:eastAsia="仿宋_GB2312" w:cs="仿宋_GB2312"/>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14:paraId="7D4B424D">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固定资产利用率（3分）</w:t>
            </w:r>
          </w:p>
        </w:tc>
        <w:tc>
          <w:tcPr>
            <w:tcW w:w="3436" w:type="dxa"/>
            <w:tcBorders>
              <w:top w:val="single" w:color="auto" w:sz="4" w:space="0"/>
              <w:left w:val="single" w:color="auto" w:sz="4" w:space="0"/>
              <w:bottom w:val="single" w:color="000000" w:sz="4" w:space="0"/>
              <w:right w:val="single" w:color="auto" w:sz="4" w:space="0"/>
            </w:tcBorders>
            <w:vAlign w:val="center"/>
          </w:tcPr>
          <w:p w14:paraId="6549740E">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部门实际在用固定资产总额与所有固定资产总额的比率，用以反映和评价部门固定资产使用效率。</w:t>
            </w:r>
          </w:p>
          <w:p w14:paraId="389AAA2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14:paraId="732EA317">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1、固定资产利用率大于或等于95%的，得满分；</w:t>
            </w:r>
          </w:p>
          <w:p w14:paraId="7076D8E0">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2、固定资产利用率小于或等于85%的，得0分；</w:t>
            </w:r>
          </w:p>
          <w:p w14:paraId="0B69200A">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3、固定资产利用率在85%-95%之间的，在0和满分之间计算确定：</w:t>
            </w:r>
          </w:p>
          <w:p w14:paraId="4D2F45C4">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14:paraId="5B1052DD">
            <w:pPr>
              <w:widowControl/>
              <w:spacing w:line="240" w:lineRule="exact"/>
              <w:jc w:val="left"/>
              <w:rPr>
                <w:szCs w:val="21"/>
              </w:rPr>
            </w:pPr>
            <w:r>
              <w:rPr>
                <w:rFonts w:hint="eastAsia"/>
                <w:szCs w:val="21"/>
              </w:rPr>
              <w:t>3</w:t>
            </w:r>
          </w:p>
        </w:tc>
      </w:tr>
      <w:tr w14:paraId="18111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14:paraId="71A6E923">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产出(25分)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214DE9B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职责履行情况（25）</w:t>
            </w:r>
          </w:p>
        </w:tc>
        <w:tc>
          <w:tcPr>
            <w:tcW w:w="1275" w:type="dxa"/>
            <w:tcBorders>
              <w:top w:val="single" w:color="000000" w:sz="4" w:space="0"/>
              <w:left w:val="single" w:color="000000" w:sz="4" w:space="0"/>
              <w:bottom w:val="single" w:color="auto" w:sz="4" w:space="0"/>
              <w:right w:val="single" w:color="auto" w:sz="4" w:space="0"/>
            </w:tcBorders>
            <w:vAlign w:val="center"/>
          </w:tcPr>
          <w:p w14:paraId="7B81F48C">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履职完成情况（10分）</w:t>
            </w:r>
          </w:p>
        </w:tc>
        <w:tc>
          <w:tcPr>
            <w:tcW w:w="3436" w:type="dxa"/>
            <w:tcBorders>
              <w:top w:val="single" w:color="000000" w:sz="4" w:space="0"/>
              <w:left w:val="single" w:color="auto" w:sz="4" w:space="0"/>
              <w:bottom w:val="single" w:color="auto" w:sz="4" w:space="0"/>
              <w:right w:val="single" w:color="auto" w:sz="4" w:space="0"/>
            </w:tcBorders>
            <w:vAlign w:val="center"/>
          </w:tcPr>
          <w:p w14:paraId="41F7F3BC">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根据年度主要任务分解表</w:t>
            </w:r>
            <w:r>
              <w:rPr>
                <w:rFonts w:hint="eastAsia" w:ascii="仿宋_GB2312" w:hAnsi="仿宋_GB2312" w:eastAsia="仿宋_GB2312" w:cs="仿宋_GB2312"/>
                <w:color w:val="000000"/>
                <w:kern w:val="0"/>
                <w:szCs w:val="21"/>
                <w:lang w:eastAsia="zh-CN"/>
              </w:rPr>
              <w:t>的</w:t>
            </w:r>
            <w:r>
              <w:rPr>
                <w:rFonts w:hint="eastAsia" w:ascii="仿宋_GB2312" w:hAnsi="仿宋_GB2312" w:eastAsia="仿宋_GB2312" w:cs="仿宋_GB2312"/>
                <w:color w:val="000000"/>
                <w:kern w:val="0"/>
                <w:szCs w:val="21"/>
              </w:rPr>
              <w:t>具体任务，逐项评价任务量化指标完成情况、实施效果和责任制建立情况。用以反映和考核部门（单位）履职工作任务目标的完成情况。评价要点：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1、每项任务是否已制定了明确、具体、可量化、可衡量的绩效指标；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2、每项任务绩效指标的完成情况，是全部完成、基本完成、未完成，还是未实施；</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3、每项任务实施效果情况，是优秀、良好、一般，还是无效果；</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14:paraId="0B7B8218">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14:paraId="01E7C01E">
            <w:pPr>
              <w:widowControl/>
              <w:spacing w:line="240" w:lineRule="exact"/>
              <w:jc w:val="left"/>
              <w:rPr>
                <w:szCs w:val="21"/>
              </w:rPr>
            </w:pPr>
            <w:r>
              <w:rPr>
                <w:rFonts w:hint="eastAsia"/>
                <w:szCs w:val="21"/>
              </w:rPr>
              <w:t>10</w:t>
            </w:r>
          </w:p>
        </w:tc>
      </w:tr>
      <w:tr w14:paraId="712FB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3359FAC3">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316F27F7">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right w:val="single" w:color="auto" w:sz="4" w:space="0"/>
            </w:tcBorders>
            <w:vAlign w:val="center"/>
          </w:tcPr>
          <w:p w14:paraId="235E603F">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项目完成质量达标率（15）</w:t>
            </w:r>
          </w:p>
        </w:tc>
        <w:tc>
          <w:tcPr>
            <w:tcW w:w="3436" w:type="dxa"/>
            <w:tcBorders>
              <w:top w:val="single" w:color="000000" w:sz="4" w:space="0"/>
              <w:left w:val="single" w:color="auto" w:sz="4" w:space="0"/>
              <w:right w:val="single" w:color="auto" w:sz="4" w:space="0"/>
            </w:tcBorders>
            <w:vAlign w:val="center"/>
          </w:tcPr>
          <w:p w14:paraId="7CC6E67C">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部门已完成项目中质量达标项目个数占已完成项目个数的比率，用以反映和评价部门履职质量目标的实现程度。</w:t>
            </w:r>
          </w:p>
          <w:p w14:paraId="31350368">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项目质量达标率=（已完成项目中质量达标项目个数/已完成项目个数）×100%。</w:t>
            </w:r>
          </w:p>
          <w:p w14:paraId="34A6CC2D">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项目质量达标是指项目决算验收合格。</w:t>
            </w:r>
          </w:p>
        </w:tc>
        <w:tc>
          <w:tcPr>
            <w:tcW w:w="2373" w:type="dxa"/>
            <w:tcBorders>
              <w:top w:val="single" w:color="000000" w:sz="4" w:space="0"/>
              <w:left w:val="single" w:color="auto" w:sz="4" w:space="0"/>
              <w:right w:val="single" w:color="auto" w:sz="4" w:space="0"/>
            </w:tcBorders>
            <w:vAlign w:val="center"/>
          </w:tcPr>
          <w:p w14:paraId="1D09AF60">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1、项目质量达标率等于100%的，得满分；</w:t>
            </w:r>
          </w:p>
          <w:p w14:paraId="4531F2B5">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2、项目质量达标率小于或等于99%的，得0分；</w:t>
            </w:r>
          </w:p>
          <w:p w14:paraId="2456E2A2">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 xml:space="preserve">3、项目质量达标率在99%-100%之间的，在0和满分之间计算确定： </w:t>
            </w:r>
          </w:p>
          <w:p w14:paraId="6A8451D3">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14:paraId="19F119BC">
            <w:pPr>
              <w:widowControl/>
              <w:spacing w:line="240" w:lineRule="exact"/>
              <w:jc w:val="left"/>
              <w:rPr>
                <w:szCs w:val="21"/>
              </w:rPr>
            </w:pPr>
            <w:r>
              <w:rPr>
                <w:rFonts w:hint="eastAsia"/>
                <w:szCs w:val="21"/>
              </w:rPr>
              <w:t>15</w:t>
            </w:r>
          </w:p>
        </w:tc>
      </w:tr>
      <w:tr w14:paraId="12FF8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14:paraId="5541831B">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效果（20分）</w:t>
            </w:r>
          </w:p>
        </w:tc>
        <w:tc>
          <w:tcPr>
            <w:tcW w:w="743" w:type="dxa"/>
            <w:vMerge w:val="restart"/>
            <w:tcBorders>
              <w:top w:val="single" w:color="auto" w:sz="4" w:space="0"/>
              <w:left w:val="single" w:color="000000" w:sz="4" w:space="0"/>
              <w:right w:val="single" w:color="000000" w:sz="4" w:space="0"/>
            </w:tcBorders>
            <w:vAlign w:val="center"/>
          </w:tcPr>
          <w:p w14:paraId="6A470507">
            <w:pPr>
              <w:widowControl/>
              <w:spacing w:line="240" w:lineRule="exact"/>
              <w:jc w:val="left"/>
              <w:rPr>
                <w:rFonts w:ascii="仿宋_GB2312" w:hAnsi="仿宋_GB2312" w:eastAsia="仿宋_GB2312" w:cs="仿宋_GB2312"/>
                <w:kern w:val="0"/>
                <w:szCs w:val="21"/>
              </w:rPr>
            </w:pPr>
          </w:p>
          <w:p w14:paraId="6D608AD2">
            <w:pPr>
              <w:widowControl/>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履职效益情况</w:t>
            </w:r>
          </w:p>
          <w:p w14:paraId="3AC5AB33">
            <w:pPr>
              <w:widowControl/>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（20分）</w:t>
            </w:r>
          </w:p>
        </w:tc>
        <w:tc>
          <w:tcPr>
            <w:tcW w:w="1275" w:type="dxa"/>
            <w:tcBorders>
              <w:top w:val="single" w:color="000000" w:sz="4" w:space="0"/>
              <w:left w:val="single" w:color="000000" w:sz="4" w:space="0"/>
              <w:bottom w:val="single" w:color="000000" w:sz="4" w:space="0"/>
              <w:right w:val="single" w:color="auto" w:sz="4" w:space="0"/>
            </w:tcBorders>
            <w:vAlign w:val="center"/>
          </w:tcPr>
          <w:p w14:paraId="4D3D3937">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经济效益</w:t>
            </w:r>
            <w:r>
              <w:rPr>
                <w:rFonts w:hint="eastAsia" w:ascii="仿宋_GB2312" w:hAnsi="仿宋_GB2312" w:eastAsia="仿宋_GB2312" w:cs="仿宋_GB2312"/>
                <w:kern w:val="0"/>
                <w:szCs w:val="21"/>
              </w:rPr>
              <w:t>（5分）</w:t>
            </w:r>
          </w:p>
        </w:tc>
        <w:tc>
          <w:tcPr>
            <w:tcW w:w="3436" w:type="dxa"/>
            <w:tcBorders>
              <w:top w:val="single" w:color="000000" w:sz="4" w:space="0"/>
              <w:left w:val="single" w:color="auto" w:sz="4" w:space="0"/>
              <w:bottom w:val="single" w:color="000000" w:sz="4" w:space="0"/>
              <w:right w:val="single" w:color="auto" w:sz="4" w:space="0"/>
            </w:tcBorders>
            <w:vAlign w:val="center"/>
          </w:tcPr>
          <w:p w14:paraId="741DB455">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部门及所属二级单位通过履行职责和预算安排支出项目的实施，对我市带来的经济影响。</w:t>
            </w:r>
          </w:p>
          <w:p w14:paraId="0A79858D">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1、通过部门所属企事业单位改革，促进了企事业单位效益增长情况；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2、通过预算支出项目的实施，促进了行业生产能力增长，从而带动行业经济效益增长；</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3、通过预算支出项目的实施，有效提高劳动效率，节约成本费用；</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4、通过预算支出项目的实施，降低了损耗，从而提高了生产效益；</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14:paraId="381C7664">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14:paraId="27537778">
            <w:pPr>
              <w:widowControl/>
              <w:spacing w:line="240" w:lineRule="exact"/>
              <w:jc w:val="left"/>
              <w:rPr>
                <w:szCs w:val="21"/>
              </w:rPr>
            </w:pPr>
            <w:r>
              <w:rPr>
                <w:rFonts w:hint="eastAsia"/>
                <w:szCs w:val="21"/>
              </w:rPr>
              <w:t>5</w:t>
            </w:r>
          </w:p>
        </w:tc>
      </w:tr>
      <w:tr w14:paraId="2766D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14:paraId="69164DC3">
            <w:pPr>
              <w:widowControl/>
              <w:spacing w:line="240" w:lineRule="exact"/>
              <w:jc w:val="left"/>
              <w:rPr>
                <w:rFonts w:ascii="仿宋_GB2312" w:hAnsi="仿宋_GB2312" w:eastAsia="仿宋_GB2312" w:cs="仿宋_GB2312"/>
                <w:kern w:val="0"/>
                <w:szCs w:val="21"/>
              </w:rPr>
            </w:pPr>
          </w:p>
        </w:tc>
        <w:tc>
          <w:tcPr>
            <w:tcW w:w="743" w:type="dxa"/>
            <w:vMerge w:val="continue"/>
            <w:tcBorders>
              <w:left w:val="single" w:color="000000" w:sz="4" w:space="0"/>
              <w:right w:val="single" w:color="000000" w:sz="4" w:space="0"/>
            </w:tcBorders>
            <w:vAlign w:val="center"/>
          </w:tcPr>
          <w:p w14:paraId="4C953851">
            <w:pPr>
              <w:widowControl/>
              <w:spacing w:line="240" w:lineRule="exact"/>
              <w:jc w:val="left"/>
              <w:rPr>
                <w:rFonts w:ascii="仿宋_GB2312" w:hAnsi="仿宋_GB2312"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50E5E288">
            <w:pPr>
              <w:widowControl/>
              <w:spacing w:line="24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14:paraId="405736ED">
            <w:pPr>
              <w:widowControl/>
              <w:spacing w:line="240" w:lineRule="exac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部门及所属二级单位履行职责对社会发展所带来的直接或间接影响。</w:t>
            </w:r>
          </w:p>
          <w:p w14:paraId="78C4402B">
            <w:pPr>
              <w:widowControl/>
              <w:spacing w:line="240" w:lineRule="exac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1、通过部门所属企事业单位的改革，促进了企事业单位可持续发展，带动就业增长情况；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2、通过预算支出项目的实施，是否明显促进了行业精神文明建设；</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3、通过部门履职是否明显提高城乡居民生活水平，满足了人们日益增长的物质与文化生活需求；</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4、通过预算项目的实施，是否提高了劳动生产率，降低了劳动强度，促进了劳动人民的身心健康；</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14:paraId="15E6CF6C">
            <w:pPr>
              <w:widowControl/>
              <w:spacing w:line="240" w:lineRule="exac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14:paraId="2C0A55BB">
            <w:pPr>
              <w:widowControl/>
              <w:spacing w:line="240" w:lineRule="exact"/>
              <w:jc w:val="left"/>
              <w:rPr>
                <w:szCs w:val="21"/>
              </w:rPr>
            </w:pPr>
            <w:r>
              <w:rPr>
                <w:rFonts w:hint="eastAsia"/>
                <w:szCs w:val="21"/>
              </w:rPr>
              <w:t>5</w:t>
            </w:r>
          </w:p>
        </w:tc>
      </w:tr>
      <w:tr w14:paraId="50C0A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14:paraId="1D4B0491">
            <w:pPr>
              <w:widowControl/>
              <w:spacing w:line="240" w:lineRule="exact"/>
              <w:jc w:val="left"/>
              <w:rPr>
                <w:rFonts w:ascii="仿宋_GB2312" w:hAnsi="仿宋_GB2312" w:eastAsia="仿宋_GB2312" w:cs="仿宋_GB2312"/>
                <w:kern w:val="0"/>
                <w:szCs w:val="21"/>
              </w:rPr>
            </w:pPr>
          </w:p>
        </w:tc>
        <w:tc>
          <w:tcPr>
            <w:tcW w:w="743" w:type="dxa"/>
            <w:vMerge w:val="continue"/>
            <w:tcBorders>
              <w:left w:val="single" w:color="000000" w:sz="4" w:space="0"/>
              <w:right w:val="single" w:color="000000" w:sz="4" w:space="0"/>
            </w:tcBorders>
            <w:vAlign w:val="center"/>
          </w:tcPr>
          <w:p w14:paraId="31788A32">
            <w:pPr>
              <w:widowControl/>
              <w:spacing w:line="240" w:lineRule="exact"/>
              <w:jc w:val="left"/>
              <w:rPr>
                <w:rFonts w:ascii="仿宋_GB2312" w:hAnsi="仿宋_GB2312"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01F12520">
            <w:pPr>
              <w:widowControl/>
              <w:spacing w:line="240" w:lineRule="exact"/>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14:paraId="477C2A00">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部门及所属二级单位履行职责对生态环境所带来的直接或间接影响。</w:t>
            </w:r>
          </w:p>
          <w:p w14:paraId="7B475496">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1、通过预算支出项目的实施，绿色、节能环保新技术的应用和推广，明显带动各环节的节能减排，也具有一定的环境效益；</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2、通过履职有效地控制虚假、伪劣、霉变等劣质产品进入市场，影响了人民生活质量，净化地市场环境；</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3、通过预算支出项目的实施，是否达到减少污染物排放；</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14:paraId="61C33DCC">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14:paraId="1943C7B9">
            <w:pPr>
              <w:widowControl/>
              <w:spacing w:line="240" w:lineRule="exact"/>
              <w:jc w:val="left"/>
              <w:rPr>
                <w:szCs w:val="21"/>
              </w:rPr>
            </w:pPr>
            <w:r>
              <w:rPr>
                <w:rFonts w:hint="eastAsia"/>
                <w:szCs w:val="21"/>
              </w:rPr>
              <w:t>5</w:t>
            </w:r>
          </w:p>
        </w:tc>
      </w:tr>
      <w:tr w14:paraId="08D36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14:paraId="0603CF04">
            <w:pPr>
              <w:spacing w:line="240" w:lineRule="exact"/>
              <w:rPr>
                <w:rFonts w:ascii="仿宋_GB2312" w:hAnsi="仿宋_GB2312" w:eastAsia="仿宋_GB2312" w:cs="仿宋_GB2312"/>
                <w:szCs w:val="21"/>
              </w:rPr>
            </w:pPr>
          </w:p>
        </w:tc>
        <w:tc>
          <w:tcPr>
            <w:tcW w:w="743" w:type="dxa"/>
            <w:vMerge w:val="continue"/>
            <w:tcBorders>
              <w:left w:val="single" w:color="000000" w:sz="4" w:space="0"/>
              <w:bottom w:val="single" w:color="auto" w:sz="4" w:space="0"/>
              <w:right w:val="single" w:color="000000" w:sz="4" w:space="0"/>
            </w:tcBorders>
            <w:vAlign w:val="center"/>
          </w:tcPr>
          <w:p w14:paraId="102B647A">
            <w:pPr>
              <w:widowControl/>
              <w:spacing w:line="240" w:lineRule="exact"/>
              <w:jc w:val="lef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14:paraId="0B9FE161">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服务对象满意度（5）</w:t>
            </w:r>
          </w:p>
        </w:tc>
        <w:tc>
          <w:tcPr>
            <w:tcW w:w="3436" w:type="dxa"/>
            <w:tcBorders>
              <w:top w:val="single" w:color="000000" w:sz="4" w:space="0"/>
              <w:left w:val="single" w:color="auto" w:sz="4" w:space="0"/>
              <w:bottom w:val="single" w:color="000000" w:sz="4" w:space="0"/>
              <w:right w:val="single" w:color="auto" w:sz="4" w:space="0"/>
            </w:tcBorders>
            <w:vAlign w:val="center"/>
          </w:tcPr>
          <w:p w14:paraId="3F129107">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14:paraId="212A8321">
            <w:pPr>
              <w:widowControl/>
              <w:spacing w:line="240" w:lineRule="exact"/>
              <w:rPr>
                <w:rFonts w:ascii="仿宋_GB2312" w:hAnsi="仿宋_GB2312" w:eastAsia="仿宋_GB2312" w:cs="仿宋_GB2312"/>
                <w:kern w:val="0"/>
                <w:szCs w:val="21"/>
              </w:rPr>
            </w:pPr>
            <w:r>
              <w:rPr>
                <w:rFonts w:hint="eastAsia" w:ascii="仿宋_GB2312" w:hAnsi="仿宋_GB2312" w:eastAsia="仿宋_GB2312" w:cs="仿宋_GB2312"/>
                <w:kern w:val="0"/>
                <w:szCs w:val="21"/>
              </w:rPr>
              <w:t>按照满意度调查的优秀、良好、合格、不合格给予该项指标打分：</w:t>
            </w:r>
          </w:p>
          <w:p w14:paraId="6108E1AB">
            <w:pPr>
              <w:widowControl/>
              <w:spacing w:line="240" w:lineRule="exact"/>
              <w:rPr>
                <w:rFonts w:ascii="仿宋_GB2312" w:hAnsi="仿宋_GB2312" w:eastAsia="仿宋_GB2312" w:cs="仿宋_GB2312"/>
                <w:szCs w:val="21"/>
              </w:rPr>
            </w:pPr>
            <w:r>
              <w:rPr>
                <w:rFonts w:hint="eastAsia" w:ascii="仿宋_GB2312" w:hAnsi="仿宋_GB2312" w:eastAsia="仿宋_GB2312" w:cs="仿宋_GB2312"/>
                <w:kern w:val="0"/>
                <w:szCs w:val="21"/>
              </w:rPr>
              <w:t>优秀（5）；良好（3）；合格（1）；不合格（0）。</w:t>
            </w:r>
          </w:p>
        </w:tc>
        <w:tc>
          <w:tcPr>
            <w:tcW w:w="764" w:type="dxa"/>
            <w:tcBorders>
              <w:top w:val="single" w:color="000000" w:sz="4" w:space="0"/>
              <w:left w:val="single" w:color="auto" w:sz="4" w:space="0"/>
              <w:bottom w:val="single" w:color="000000" w:sz="4" w:space="0"/>
              <w:right w:val="single" w:color="000000" w:sz="4" w:space="0"/>
            </w:tcBorders>
            <w:vAlign w:val="center"/>
          </w:tcPr>
          <w:p w14:paraId="26F6234A">
            <w:pPr>
              <w:widowControl/>
              <w:spacing w:line="240" w:lineRule="exact"/>
              <w:jc w:val="left"/>
              <w:rPr>
                <w:szCs w:val="21"/>
              </w:rPr>
            </w:pPr>
            <w:r>
              <w:rPr>
                <w:rFonts w:hint="eastAsia"/>
                <w:szCs w:val="21"/>
              </w:rPr>
              <w:t>5</w:t>
            </w:r>
          </w:p>
        </w:tc>
      </w:tr>
    </w:tbl>
    <w:p w14:paraId="0B79CFAD">
      <w:pPr>
        <w:spacing w:line="570" w:lineRule="exact"/>
        <w:jc w:val="left"/>
        <w:rPr>
          <w:rFonts w:ascii="黑体" w:hAnsi="黑体" w:eastAsia="黑体"/>
          <w:sz w:val="32"/>
          <w:szCs w:val="32"/>
        </w:rPr>
      </w:pPr>
    </w:p>
    <w:p w14:paraId="678E9445">
      <w:pPr>
        <w:spacing w:line="570" w:lineRule="exact"/>
        <w:jc w:val="left"/>
        <w:rPr>
          <w:rFonts w:ascii="仿宋" w:hAnsi="仿宋" w:eastAsia="仿宋"/>
          <w:sz w:val="32"/>
          <w:szCs w:val="32"/>
        </w:rPr>
      </w:pPr>
    </w:p>
    <w:p w14:paraId="5D6FD674">
      <w:pPr>
        <w:widowControl/>
        <w:spacing w:line="240" w:lineRule="exact"/>
        <w:jc w:val="left"/>
        <w:textAlignment w:val="center"/>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cs="仿宋_GB2312"/>
          <w:color w:val="000000"/>
          <w:kern w:val="0"/>
          <w:sz w:val="32"/>
          <w:szCs w:val="32"/>
        </w:rPr>
        <w:t>2023年3月23日</w:t>
      </w:r>
    </w:p>
    <w:sectPr>
      <w:pgSz w:w="11906" w:h="16838"/>
      <w:pgMar w:top="2098" w:right="1474"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724B67"/>
    <w:multiLevelType w:val="multilevel"/>
    <w:tmpl w:val="25724B67"/>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64114"/>
    <w:rsid w:val="000807BB"/>
    <w:rsid w:val="000E2DED"/>
    <w:rsid w:val="00115C66"/>
    <w:rsid w:val="00135B49"/>
    <w:rsid w:val="00192771"/>
    <w:rsid w:val="002044E8"/>
    <w:rsid w:val="002535BE"/>
    <w:rsid w:val="00315992"/>
    <w:rsid w:val="003973AA"/>
    <w:rsid w:val="00397FD6"/>
    <w:rsid w:val="00485791"/>
    <w:rsid w:val="004C2564"/>
    <w:rsid w:val="00502F49"/>
    <w:rsid w:val="00551EE5"/>
    <w:rsid w:val="00562919"/>
    <w:rsid w:val="005C0F66"/>
    <w:rsid w:val="005E0BAD"/>
    <w:rsid w:val="00665081"/>
    <w:rsid w:val="006C7496"/>
    <w:rsid w:val="007D5AF3"/>
    <w:rsid w:val="007E1150"/>
    <w:rsid w:val="007E1E16"/>
    <w:rsid w:val="007F304A"/>
    <w:rsid w:val="00896E3E"/>
    <w:rsid w:val="008A247A"/>
    <w:rsid w:val="008E63A9"/>
    <w:rsid w:val="009872E9"/>
    <w:rsid w:val="00AC3D98"/>
    <w:rsid w:val="00B1791E"/>
    <w:rsid w:val="00BA78F3"/>
    <w:rsid w:val="00BD11BC"/>
    <w:rsid w:val="00C85A2A"/>
    <w:rsid w:val="00D4077D"/>
    <w:rsid w:val="00D64114"/>
    <w:rsid w:val="00DA2591"/>
    <w:rsid w:val="00E36C6F"/>
    <w:rsid w:val="00EF561A"/>
    <w:rsid w:val="00F8595C"/>
    <w:rsid w:val="00FE5215"/>
    <w:rsid w:val="17C9180D"/>
    <w:rsid w:val="53090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ED250-5848-45DA-A8F5-EB7CE0F0F887}">
  <ds:schemaRefs/>
</ds:datastoreItem>
</file>

<file path=docProps/app.xml><?xml version="1.0" encoding="utf-8"?>
<Properties xmlns="http://schemas.openxmlformats.org/officeDocument/2006/extended-properties" xmlns:vt="http://schemas.openxmlformats.org/officeDocument/2006/docPropsVTypes">
  <Template>Normal</Template>
  <Pages>34</Pages>
  <Words>17717</Words>
  <Characters>20573</Characters>
  <Lines>151</Lines>
  <Paragraphs>42</Paragraphs>
  <TotalTime>1639</TotalTime>
  <ScaleCrop>false</ScaleCrop>
  <LinksUpToDate>false</LinksUpToDate>
  <CharactersWithSpaces>20842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2023-03-16T02:52:00Z</dcterms:created>
  <dc:creator>lyjy</dc:creator>
  <cp:lastModifiedBy>齐赞法</cp:lastModifiedBy>
  <dcterms:modified xsi:type="dcterms:W3CDTF">2026-05-20T07:37:14Z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eyJoZGlkIjoiZTg1NGM5MzY4ZmUyZDFhOTM5ZDIwNDFhOWMxOGI2YmUiLCJ1c2VySWQiOiI2MjQzMDU2NzcifQ==</vt:lpwstr>
  </property>
  <property fmtid="{D5CDD505-2E9C-101B-9397-08002B2CF9AE}" pid="3" name="KSOProductBuildVer">
    <vt:lpwstr>2052-12.1.0.26375</vt:lpwstr>
  </property>
  <property fmtid="{D5CDD505-2E9C-101B-9397-08002B2CF9AE}" pid="4" name="ICV">
    <vt:lpwstr>A9A7A568EEE5490BBC1DBBDEA0FD043D_12</vt:lpwstr>
  </property>
</Properties>
</file>