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49EE86">
      <w:pPr>
        <w:spacing w:line="580" w:lineRule="exact"/>
        <w:rPr>
          <w:rFonts w:ascii="仿宋_GB2312" w:hAnsi="仿宋_GB2312" w:eastAsia="仿宋_GB2312" w:cs="仿宋_GB2312"/>
          <w:color w:val="000000"/>
          <w:sz w:val="24"/>
        </w:rPr>
      </w:pPr>
      <w:r>
        <w:rPr>
          <w:rFonts w:hint="eastAsia" w:ascii="仿宋_GB2312" w:hAnsi="仿宋_GB2312" w:eastAsia="仿宋_GB2312" w:cs="仿宋_GB2312"/>
          <w:color w:val="000000"/>
          <w:sz w:val="24"/>
        </w:rPr>
        <w:t>附件5：</w:t>
      </w:r>
    </w:p>
    <w:p w14:paraId="0850DF11">
      <w:pPr>
        <w:spacing w:line="580" w:lineRule="exact"/>
        <w:ind w:firstLine="720" w:firstLineChars="199"/>
        <w:rPr>
          <w:rFonts w:ascii="仿宋_GB2312" w:hAnsi="仿宋_GB2312" w:eastAsia="仿宋_GB2312" w:cs="仿宋_GB2312"/>
          <w:b/>
          <w:bCs/>
          <w:spacing w:val="-20"/>
          <w:sz w:val="40"/>
          <w:szCs w:val="48"/>
        </w:rPr>
      </w:pPr>
    </w:p>
    <w:p w14:paraId="560B9E68">
      <w:pPr>
        <w:spacing w:line="580" w:lineRule="exact"/>
        <w:ind w:firstLine="720" w:firstLineChars="199"/>
        <w:jc w:val="center"/>
        <w:rPr>
          <w:rFonts w:hint="eastAsia" w:ascii="仿宋_GB2312" w:hAnsi="仿宋_GB2312" w:eastAsia="仿宋_GB2312" w:cs="仿宋_GB2312"/>
          <w:b/>
          <w:bCs/>
          <w:spacing w:val="-20"/>
          <w:sz w:val="40"/>
          <w:szCs w:val="48"/>
          <w:lang w:val="en-US" w:eastAsia="zh-CN"/>
        </w:rPr>
      </w:pPr>
      <w:r>
        <w:rPr>
          <w:rFonts w:hint="eastAsia" w:ascii="仿宋_GB2312" w:hAnsi="仿宋_GB2312" w:eastAsia="仿宋_GB2312" w:cs="仿宋_GB2312"/>
          <w:b/>
          <w:bCs/>
          <w:spacing w:val="-20"/>
          <w:sz w:val="40"/>
          <w:szCs w:val="48"/>
        </w:rPr>
        <w:t>隆尧县</w:t>
      </w:r>
      <w:r>
        <w:rPr>
          <w:rFonts w:hint="eastAsia" w:ascii="仿宋_GB2312" w:hAnsi="仿宋_GB2312" w:eastAsia="仿宋_GB2312" w:cs="仿宋_GB2312"/>
          <w:b/>
          <w:bCs/>
          <w:spacing w:val="-20"/>
          <w:sz w:val="40"/>
          <w:szCs w:val="48"/>
          <w:lang w:val="en-US" w:eastAsia="zh-CN"/>
        </w:rPr>
        <w:t>职业技术教育中心</w:t>
      </w:r>
    </w:p>
    <w:p w14:paraId="73BC6C34">
      <w:pPr>
        <w:spacing w:line="580" w:lineRule="exact"/>
        <w:ind w:firstLine="720" w:firstLineChars="199"/>
        <w:jc w:val="center"/>
        <w:rPr>
          <w:rFonts w:ascii="仿宋_GB2312" w:hAnsi="仿宋_GB2312" w:eastAsia="仿宋_GB2312" w:cs="仿宋_GB2312"/>
          <w:b/>
          <w:bCs/>
          <w:sz w:val="40"/>
          <w:szCs w:val="48"/>
        </w:rPr>
      </w:pPr>
      <w:r>
        <w:rPr>
          <w:rFonts w:hint="eastAsia" w:ascii="仿宋_GB2312" w:hAnsi="仿宋_GB2312" w:eastAsia="仿宋_GB2312" w:cs="仿宋_GB2312"/>
          <w:b/>
          <w:bCs/>
          <w:spacing w:val="-20"/>
          <w:sz w:val="40"/>
          <w:szCs w:val="48"/>
          <w:lang w:val="en-US" w:eastAsia="zh-CN"/>
        </w:rPr>
        <w:t>智慧校园建设</w:t>
      </w:r>
      <w:r>
        <w:rPr>
          <w:rFonts w:hint="eastAsia" w:ascii="仿宋_GB2312" w:hAnsi="仿宋_GB2312" w:eastAsia="仿宋_GB2312" w:cs="仿宋_GB2312"/>
          <w:b/>
          <w:bCs/>
          <w:sz w:val="40"/>
          <w:szCs w:val="48"/>
        </w:rPr>
        <w:t>项目重点自评绩效报告</w:t>
      </w:r>
    </w:p>
    <w:p w14:paraId="088BD1E8">
      <w:pPr>
        <w:rPr>
          <w:rFonts w:ascii="仿宋_GB2312" w:hAnsi="仿宋_GB2312" w:eastAsia="仿宋_GB2312" w:cs="仿宋_GB2312"/>
        </w:rPr>
      </w:pPr>
      <w:r>
        <w:rPr>
          <w:rFonts w:hint="eastAsia" w:ascii="仿宋_GB2312" w:hAnsi="仿宋_GB2312" w:eastAsia="仿宋_GB2312" w:cs="仿宋_GB2312"/>
          <w:sz w:val="28"/>
          <w:szCs w:val="28"/>
        </w:rPr>
        <w:t xml:space="preserve">                         </w:t>
      </w:r>
    </w:p>
    <w:p w14:paraId="4299DDF8">
      <w:pPr>
        <w:rPr>
          <w:rFonts w:ascii="仿宋_GB2312" w:hAnsi="仿宋_GB2312" w:eastAsia="仿宋_GB2312" w:cs="仿宋_GB2312"/>
        </w:rPr>
      </w:pPr>
    </w:p>
    <w:p w14:paraId="7F58C528">
      <w:pPr>
        <w:rPr>
          <w:rFonts w:ascii="仿宋_GB2312" w:hAnsi="仿宋_GB2312" w:eastAsia="仿宋_GB2312" w:cs="仿宋_GB2312"/>
        </w:rPr>
      </w:pPr>
    </w:p>
    <w:p w14:paraId="0FE24442">
      <w:pPr>
        <w:rPr>
          <w:rFonts w:ascii="仿宋_GB2312" w:hAnsi="仿宋_GB2312" w:eastAsia="仿宋_GB2312" w:cs="仿宋_GB2312"/>
        </w:rPr>
      </w:pPr>
    </w:p>
    <w:p w14:paraId="084F4F0D">
      <w:pPr>
        <w:rPr>
          <w:rFonts w:ascii="仿宋_GB2312" w:hAnsi="仿宋_GB2312" w:eastAsia="仿宋_GB2312" w:cs="仿宋_GB2312"/>
        </w:rPr>
      </w:pPr>
    </w:p>
    <w:p w14:paraId="539F2322">
      <w:pPr>
        <w:rPr>
          <w:rFonts w:ascii="仿宋_GB2312" w:hAnsi="仿宋_GB2312" w:eastAsia="仿宋_GB2312" w:cs="仿宋_GB2312"/>
        </w:rPr>
      </w:pPr>
    </w:p>
    <w:p w14:paraId="021D84FA">
      <w:pPr>
        <w:rPr>
          <w:rFonts w:ascii="仿宋_GB2312" w:hAnsi="仿宋_GB2312" w:eastAsia="仿宋_GB2312" w:cs="仿宋_GB2312"/>
        </w:rPr>
      </w:pPr>
    </w:p>
    <w:p w14:paraId="258F95AD">
      <w:pPr>
        <w:rPr>
          <w:rFonts w:ascii="仿宋_GB2312" w:hAnsi="仿宋_GB2312" w:eastAsia="仿宋_GB2312" w:cs="仿宋_GB2312"/>
        </w:rPr>
      </w:pPr>
    </w:p>
    <w:p w14:paraId="791B5E22">
      <w:pPr>
        <w:pStyle w:val="7"/>
        <w:ind w:firstLine="560"/>
      </w:pPr>
    </w:p>
    <w:p w14:paraId="07A5747F"/>
    <w:p w14:paraId="4E508C7E">
      <w:pPr>
        <w:pStyle w:val="7"/>
        <w:ind w:firstLine="560"/>
      </w:pPr>
    </w:p>
    <w:p w14:paraId="207DB9EE"/>
    <w:p w14:paraId="090F59C1">
      <w:pPr>
        <w:pStyle w:val="7"/>
        <w:ind w:firstLine="560"/>
      </w:pPr>
    </w:p>
    <w:p w14:paraId="0BD552BA">
      <w:pPr>
        <w:spacing w:line="760" w:lineRule="exact"/>
        <w:rPr>
          <w:rFonts w:hint="eastAsia" w:ascii="宋体" w:hAnsi="宋体" w:eastAsia="宋体" w:cs="宋体"/>
          <w:spacing w:val="-20"/>
          <w:sz w:val="30"/>
          <w:szCs w:val="30"/>
          <w:u w:val="single"/>
        </w:rPr>
      </w:pPr>
      <w:r>
        <w:rPr>
          <w:rFonts w:hint="eastAsia" w:ascii="宋体" w:hAnsi="宋体" w:eastAsia="宋体" w:cs="宋体"/>
          <w:spacing w:val="11"/>
          <w:sz w:val="30"/>
          <w:szCs w:val="30"/>
        </w:rPr>
        <w:t>项 目 名 称：</w:t>
      </w:r>
      <w:r>
        <w:rPr>
          <w:rFonts w:hint="eastAsia" w:ascii="宋体" w:hAnsi="宋体" w:eastAsia="宋体" w:cs="宋体"/>
          <w:b/>
          <w:bCs/>
          <w:sz w:val="30"/>
          <w:szCs w:val="30"/>
          <w:u w:val="single"/>
          <w:lang w:val="en-US" w:eastAsia="zh-CN"/>
        </w:rPr>
        <w:t>智慧校园建设项目</w:t>
      </w:r>
      <w:r>
        <w:rPr>
          <w:rFonts w:hint="eastAsia" w:ascii="宋体" w:hAnsi="宋体" w:eastAsia="宋体" w:cs="宋体"/>
          <w:b/>
          <w:bCs/>
          <w:sz w:val="30"/>
          <w:szCs w:val="30"/>
          <w:u w:val="single"/>
        </w:rPr>
        <w:t xml:space="preserve"> </w:t>
      </w:r>
    </w:p>
    <w:p w14:paraId="7D1569FD">
      <w:pPr>
        <w:spacing w:line="760" w:lineRule="exact"/>
        <w:rPr>
          <w:rFonts w:hint="eastAsia" w:ascii="宋体" w:hAnsi="宋体" w:eastAsia="宋体" w:cs="宋体"/>
          <w:sz w:val="30"/>
          <w:szCs w:val="30"/>
          <w:u w:val="single"/>
          <w:lang w:val="en-US" w:eastAsia="zh-CN"/>
        </w:rPr>
      </w:pPr>
      <w:r>
        <w:rPr>
          <w:rFonts w:hint="eastAsia" w:ascii="宋体" w:hAnsi="宋体" w:eastAsia="宋体" w:cs="宋体"/>
          <w:sz w:val="30"/>
          <w:szCs w:val="30"/>
        </w:rPr>
        <w:t>项目实施单位：</w:t>
      </w:r>
      <w:r>
        <w:rPr>
          <w:rFonts w:hint="eastAsia" w:ascii="宋体" w:hAnsi="宋体" w:eastAsia="宋体" w:cs="宋体"/>
          <w:kern w:val="0"/>
          <w:sz w:val="30"/>
          <w:szCs w:val="30"/>
          <w:u w:val="single"/>
          <w:lang w:val="en-US" w:eastAsia="zh-CN"/>
        </w:rPr>
        <w:t>隆尧县职业技术教育中心</w:t>
      </w:r>
    </w:p>
    <w:p w14:paraId="6A4088B2">
      <w:pPr>
        <w:spacing w:line="760" w:lineRule="exact"/>
        <w:rPr>
          <w:rFonts w:hint="eastAsia" w:ascii="宋体" w:hAnsi="宋体" w:eastAsia="宋体" w:cs="宋体"/>
          <w:sz w:val="30"/>
          <w:szCs w:val="30"/>
          <w:u w:val="single"/>
        </w:rPr>
      </w:pPr>
      <w:r>
        <w:rPr>
          <w:rFonts w:hint="eastAsia" w:ascii="宋体" w:hAnsi="宋体" w:eastAsia="宋体" w:cs="宋体"/>
          <w:spacing w:val="28"/>
          <w:sz w:val="30"/>
          <w:szCs w:val="30"/>
        </w:rPr>
        <w:t>项目总金额：</w:t>
      </w:r>
      <w:r>
        <w:rPr>
          <w:rFonts w:hint="eastAsia" w:ascii="宋体" w:hAnsi="宋体" w:eastAsia="宋体" w:cs="宋体"/>
          <w:kern w:val="0"/>
          <w:sz w:val="30"/>
          <w:szCs w:val="30"/>
          <w:u w:val="single"/>
          <w:lang w:val="en-US" w:eastAsia="zh-CN"/>
        </w:rPr>
        <w:t>244.8</w:t>
      </w:r>
      <w:r>
        <w:rPr>
          <w:rFonts w:hint="eastAsia" w:ascii="宋体" w:hAnsi="宋体" w:eastAsia="宋体" w:cs="宋体"/>
          <w:kern w:val="0"/>
          <w:sz w:val="30"/>
          <w:szCs w:val="30"/>
          <w:u w:val="single"/>
        </w:rPr>
        <w:t xml:space="preserve"> 万元</w:t>
      </w:r>
    </w:p>
    <w:p w14:paraId="69EA4297">
      <w:pPr>
        <w:spacing w:line="760" w:lineRule="exact"/>
        <w:rPr>
          <w:rFonts w:hint="eastAsia" w:ascii="宋体" w:hAnsi="宋体" w:eastAsia="宋体" w:cs="宋体"/>
          <w:sz w:val="30"/>
          <w:szCs w:val="30"/>
          <w:u w:val="single"/>
        </w:rPr>
      </w:pPr>
      <w:r>
        <w:rPr>
          <w:rFonts w:hint="eastAsia" w:ascii="宋体" w:hAnsi="宋体" w:eastAsia="宋体" w:cs="宋体"/>
          <w:spacing w:val="11"/>
          <w:sz w:val="30"/>
          <w:szCs w:val="30"/>
        </w:rPr>
        <w:t>评 价 年 度：</w:t>
      </w:r>
      <w:r>
        <w:rPr>
          <w:rFonts w:hint="eastAsia" w:ascii="宋体" w:hAnsi="宋体" w:eastAsia="宋体" w:cs="宋体"/>
          <w:sz w:val="30"/>
          <w:szCs w:val="30"/>
          <w:u w:val="single"/>
        </w:rPr>
        <w:t>2022年度</w:t>
      </w:r>
    </w:p>
    <w:p w14:paraId="3A3774BD">
      <w:pPr>
        <w:spacing w:line="760" w:lineRule="exact"/>
        <w:rPr>
          <w:rFonts w:hint="eastAsia" w:ascii="宋体" w:hAnsi="宋体" w:eastAsia="宋体" w:cs="宋体"/>
          <w:sz w:val="30"/>
          <w:szCs w:val="30"/>
          <w:u w:val="single"/>
        </w:rPr>
      </w:pPr>
      <w:r>
        <w:rPr>
          <w:rFonts w:hint="eastAsia" w:ascii="宋体" w:hAnsi="宋体" w:eastAsia="宋体" w:cs="宋体"/>
          <w:spacing w:val="28"/>
          <w:sz w:val="30"/>
          <w:szCs w:val="30"/>
        </w:rPr>
        <w:t>评价组组长：</w:t>
      </w:r>
      <w:r>
        <w:rPr>
          <w:rFonts w:hint="eastAsia" w:ascii="宋体" w:hAnsi="宋体" w:eastAsia="宋体" w:cs="宋体"/>
          <w:sz w:val="30"/>
          <w:szCs w:val="30"/>
          <w:u w:val="single"/>
        </w:rPr>
        <w:t xml:space="preserve"> </w:t>
      </w:r>
      <w:r>
        <w:rPr>
          <w:rFonts w:hint="eastAsia" w:ascii="宋体" w:hAnsi="宋体" w:cs="宋体"/>
          <w:sz w:val="30"/>
          <w:szCs w:val="30"/>
          <w:u w:val="single"/>
          <w:lang w:eastAsia="zh-CN"/>
        </w:rPr>
        <w:t>李现国</w:t>
      </w:r>
      <w:r>
        <w:rPr>
          <w:rFonts w:hint="eastAsia" w:ascii="宋体" w:hAnsi="宋体" w:eastAsia="宋体" w:cs="宋体"/>
          <w:sz w:val="30"/>
          <w:szCs w:val="30"/>
          <w:u w:val="single"/>
        </w:rPr>
        <w:t xml:space="preserve">  </w:t>
      </w:r>
    </w:p>
    <w:p w14:paraId="573E8115">
      <w:pPr>
        <w:spacing w:line="760" w:lineRule="exact"/>
        <w:rPr>
          <w:rFonts w:hint="eastAsia" w:ascii="宋体" w:hAnsi="宋体" w:eastAsia="宋体" w:cs="宋体"/>
          <w:sz w:val="30"/>
          <w:szCs w:val="30"/>
        </w:rPr>
      </w:pPr>
      <w:r>
        <w:rPr>
          <w:rFonts w:hint="eastAsia" w:ascii="宋体" w:hAnsi="宋体" w:eastAsia="宋体" w:cs="宋体"/>
          <w:spacing w:val="28"/>
          <w:sz w:val="30"/>
          <w:szCs w:val="30"/>
        </w:rPr>
        <w:t>评价组成员：</w:t>
      </w:r>
      <w:r>
        <w:rPr>
          <w:rFonts w:hint="eastAsia" w:ascii="宋体" w:hAnsi="宋体" w:eastAsia="宋体" w:cs="宋体"/>
          <w:sz w:val="30"/>
          <w:szCs w:val="30"/>
          <w:u w:val="single"/>
          <w:lang w:val="en-US" w:eastAsia="zh-CN"/>
        </w:rPr>
        <w:t xml:space="preserve"> </w:t>
      </w:r>
      <w:r>
        <w:rPr>
          <w:rFonts w:hint="eastAsia" w:ascii="宋体" w:hAnsi="宋体" w:cs="宋体"/>
          <w:sz w:val="30"/>
          <w:szCs w:val="30"/>
          <w:u w:val="single"/>
          <w:lang w:val="en-US" w:eastAsia="zh-CN"/>
        </w:rPr>
        <w:t>张立增 卫路周</w:t>
      </w:r>
      <w:r>
        <w:rPr>
          <w:rFonts w:hint="eastAsia" w:ascii="宋体" w:hAnsi="宋体" w:eastAsia="宋体" w:cs="宋体"/>
          <w:sz w:val="30"/>
          <w:szCs w:val="30"/>
          <w:u w:val="single"/>
          <w:lang w:val="en-US" w:eastAsia="zh-CN"/>
        </w:rPr>
        <w:t xml:space="preserve"> 韩丽梅  杨凌军  刘敬敏 </w:t>
      </w:r>
      <w:r>
        <w:rPr>
          <w:rFonts w:hint="eastAsia" w:ascii="宋体" w:hAnsi="宋体" w:eastAsia="宋体" w:cs="宋体"/>
          <w:sz w:val="30"/>
          <w:szCs w:val="30"/>
          <w:u w:val="single"/>
        </w:rPr>
        <w:t xml:space="preserve"> </w:t>
      </w:r>
      <w:r>
        <w:rPr>
          <w:rFonts w:hint="eastAsia" w:ascii="宋体" w:hAnsi="宋体" w:eastAsia="宋体" w:cs="宋体"/>
          <w:sz w:val="30"/>
          <w:szCs w:val="30"/>
          <w:u w:val="single"/>
          <w:lang w:val="en-US" w:eastAsia="zh-CN"/>
        </w:rPr>
        <w:t>贾伟栋</w:t>
      </w:r>
      <w:r>
        <w:rPr>
          <w:rFonts w:hint="eastAsia" w:ascii="宋体" w:hAnsi="宋体" w:eastAsia="宋体" w:cs="宋体"/>
          <w:sz w:val="30"/>
          <w:szCs w:val="30"/>
          <w:u w:val="single"/>
        </w:rPr>
        <w:t xml:space="preserve">                                          </w:t>
      </w:r>
    </w:p>
    <w:p w14:paraId="16183AD2">
      <w:pPr>
        <w:rPr>
          <w:rFonts w:hint="eastAsia" w:ascii="宋体" w:hAnsi="宋体" w:eastAsia="宋体" w:cs="宋体"/>
          <w:sz w:val="30"/>
          <w:szCs w:val="30"/>
        </w:rPr>
      </w:pPr>
      <w:bookmarkStart w:id="0" w:name="_Toc5909_WPSOffice_Level1"/>
      <w:bookmarkStart w:id="1" w:name="_Toc7470_WPSOffice_Level1"/>
    </w:p>
    <w:p w14:paraId="4E0DFD55">
      <w:pPr>
        <w:pStyle w:val="2"/>
        <w:rPr>
          <w:rFonts w:hint="eastAsia" w:ascii="宋体" w:hAnsi="宋体" w:eastAsia="宋体" w:cs="宋体"/>
          <w:sz w:val="30"/>
          <w:szCs w:val="30"/>
        </w:rPr>
      </w:pPr>
    </w:p>
    <w:p w14:paraId="75243816">
      <w:pPr>
        <w:pStyle w:val="2"/>
        <w:rPr>
          <w:rFonts w:hint="eastAsia" w:ascii="宋体" w:hAnsi="宋体" w:eastAsia="宋体" w:cs="宋体"/>
          <w:sz w:val="30"/>
          <w:szCs w:val="30"/>
        </w:rPr>
      </w:pPr>
    </w:p>
    <w:bookmarkEnd w:id="0"/>
    <w:bookmarkEnd w:id="1"/>
    <w:p w14:paraId="7A6AD5CC">
      <w:pPr>
        <w:pStyle w:val="7"/>
        <w:spacing w:line="120" w:lineRule="exact"/>
        <w:ind w:firstLine="560"/>
        <w:rPr>
          <w:rFonts w:hint="eastAsia" w:ascii="宋体" w:hAnsi="宋体" w:eastAsia="宋体" w:cs="宋体"/>
          <w:sz w:val="30"/>
          <w:szCs w:val="30"/>
        </w:rPr>
      </w:pPr>
    </w:p>
    <w:p w14:paraId="1965D6ED">
      <w:pPr>
        <w:spacing w:line="580" w:lineRule="exact"/>
        <w:ind w:firstLine="602" w:firstLineChars="200"/>
        <w:outlineLvl w:val="0"/>
        <w:rPr>
          <w:rFonts w:hint="eastAsia" w:ascii="宋体" w:hAnsi="宋体" w:eastAsia="宋体" w:cs="宋体"/>
          <w:b/>
          <w:bCs/>
          <w:sz w:val="30"/>
          <w:szCs w:val="30"/>
        </w:rPr>
      </w:pPr>
      <w:bookmarkStart w:id="2" w:name="_Toc16913"/>
      <w:bookmarkStart w:id="3" w:name="_Toc2245"/>
      <w:bookmarkStart w:id="4" w:name="_Toc13153"/>
      <w:bookmarkStart w:id="5" w:name="_Toc23411"/>
      <w:bookmarkStart w:id="6" w:name="_Toc11301"/>
      <w:bookmarkStart w:id="7" w:name="_Toc9525"/>
      <w:bookmarkStart w:id="8" w:name="_Toc6314"/>
      <w:bookmarkStart w:id="9" w:name="_Toc30335"/>
      <w:bookmarkStart w:id="10" w:name="_Toc18334"/>
      <w:bookmarkStart w:id="11" w:name="_Toc4013"/>
      <w:r>
        <w:rPr>
          <w:rFonts w:hint="eastAsia" w:ascii="宋体" w:hAnsi="宋体" w:eastAsia="宋体" w:cs="宋体"/>
          <w:b/>
          <w:bCs/>
          <w:sz w:val="30"/>
          <w:szCs w:val="30"/>
        </w:rPr>
        <w:t>一、项目概况</w:t>
      </w:r>
      <w:bookmarkEnd w:id="2"/>
      <w:bookmarkEnd w:id="3"/>
      <w:bookmarkEnd w:id="4"/>
      <w:bookmarkEnd w:id="5"/>
      <w:bookmarkEnd w:id="6"/>
      <w:bookmarkEnd w:id="7"/>
      <w:bookmarkEnd w:id="8"/>
      <w:bookmarkEnd w:id="9"/>
      <w:bookmarkEnd w:id="10"/>
      <w:bookmarkEnd w:id="11"/>
    </w:p>
    <w:p w14:paraId="28CE200A">
      <w:pPr>
        <w:spacing w:line="580" w:lineRule="exact"/>
        <w:ind w:firstLine="602" w:firstLineChars="200"/>
        <w:outlineLvl w:val="1"/>
        <w:rPr>
          <w:rFonts w:hint="eastAsia" w:ascii="宋体" w:hAnsi="宋体" w:eastAsia="宋体" w:cs="宋体"/>
          <w:b/>
          <w:bCs/>
          <w:sz w:val="30"/>
          <w:szCs w:val="30"/>
        </w:rPr>
      </w:pPr>
      <w:bookmarkStart w:id="12" w:name="_Toc15831"/>
      <w:bookmarkStart w:id="13" w:name="_Toc22285"/>
      <w:bookmarkStart w:id="14" w:name="_Toc22453"/>
      <w:bookmarkStart w:id="15" w:name="_Toc32742"/>
      <w:bookmarkStart w:id="16" w:name="_Toc19963"/>
      <w:bookmarkStart w:id="17" w:name="_Toc19370"/>
      <w:bookmarkStart w:id="18" w:name="_Toc30895"/>
      <w:bookmarkStart w:id="19" w:name="_Toc23957"/>
      <w:bookmarkStart w:id="20" w:name="_Toc24784"/>
      <w:bookmarkStart w:id="21" w:name="_Toc937"/>
      <w:r>
        <w:rPr>
          <w:rFonts w:hint="eastAsia" w:ascii="宋体" w:hAnsi="宋体" w:eastAsia="宋体" w:cs="宋体"/>
          <w:b/>
          <w:bCs/>
          <w:sz w:val="30"/>
          <w:szCs w:val="30"/>
        </w:rPr>
        <w:t>（一）项目单位基本情况</w:t>
      </w:r>
      <w:bookmarkEnd w:id="12"/>
      <w:bookmarkEnd w:id="13"/>
      <w:bookmarkEnd w:id="14"/>
      <w:bookmarkEnd w:id="15"/>
      <w:bookmarkEnd w:id="16"/>
      <w:bookmarkEnd w:id="17"/>
      <w:bookmarkEnd w:id="18"/>
      <w:bookmarkEnd w:id="19"/>
      <w:bookmarkEnd w:id="20"/>
      <w:bookmarkEnd w:id="21"/>
    </w:p>
    <w:p w14:paraId="7BA14363">
      <w:pPr>
        <w:keepNext w:val="0"/>
        <w:keepLines w:val="0"/>
        <w:pageBreakBefore w:val="0"/>
        <w:kinsoku/>
        <w:wordWrap/>
        <w:overflowPunct/>
        <w:topLinePunct w:val="0"/>
        <w:autoSpaceDE/>
        <w:autoSpaceDN/>
        <w:bidi w:val="0"/>
        <w:adjustRightInd/>
        <w:snapToGrid/>
        <w:spacing w:line="560" w:lineRule="exact"/>
        <w:ind w:firstLine="600" w:firstLineChars="200"/>
        <w:textAlignment w:val="auto"/>
        <w:rPr>
          <w:rFonts w:hint="eastAsia" w:ascii="宋体" w:hAnsi="宋体" w:eastAsia="宋体" w:cs="宋体"/>
          <w:color w:val="000000"/>
          <w:sz w:val="30"/>
          <w:szCs w:val="30"/>
          <w:lang w:val="en-US" w:eastAsia="zh-CN"/>
        </w:rPr>
      </w:pPr>
      <w:bookmarkStart w:id="22" w:name="_Toc15167"/>
      <w:bookmarkStart w:id="23" w:name="_Toc29308"/>
      <w:bookmarkStart w:id="24" w:name="_Toc8843"/>
      <w:r>
        <w:rPr>
          <w:rFonts w:hint="eastAsia" w:ascii="宋体" w:hAnsi="宋体" w:eastAsia="宋体" w:cs="宋体"/>
          <w:sz w:val="30"/>
          <w:szCs w:val="30"/>
        </w:rPr>
        <w:t>隆尧县职业技术教育中心</w:t>
      </w:r>
      <w:r>
        <w:rPr>
          <w:rFonts w:hint="eastAsia" w:ascii="宋体" w:hAnsi="宋体" w:eastAsia="宋体" w:cs="宋体"/>
          <w:snapToGrid w:val="0"/>
          <w:sz w:val="30"/>
          <w:szCs w:val="30"/>
        </w:rPr>
        <w:t>位于隆尧县城康庄路593号，</w:t>
      </w:r>
      <w:r>
        <w:rPr>
          <w:rFonts w:hint="eastAsia" w:ascii="宋体" w:hAnsi="宋体" w:eastAsia="宋体" w:cs="宋体"/>
          <w:sz w:val="30"/>
          <w:szCs w:val="30"/>
        </w:rPr>
        <w:t>始建于1983年，</w:t>
      </w:r>
      <w:r>
        <w:rPr>
          <w:rFonts w:hint="eastAsia" w:ascii="宋体" w:hAnsi="宋体" w:eastAsia="宋体" w:cs="宋体"/>
          <w:snapToGrid w:val="0"/>
          <w:sz w:val="30"/>
          <w:szCs w:val="30"/>
        </w:rPr>
        <w:t>学校</w:t>
      </w:r>
      <w:r>
        <w:rPr>
          <w:rFonts w:hint="eastAsia" w:ascii="宋体" w:hAnsi="宋体" w:eastAsia="宋体" w:cs="宋体"/>
          <w:sz w:val="30"/>
          <w:szCs w:val="30"/>
        </w:rPr>
        <w:t>占地面积</w:t>
      </w:r>
      <w:r>
        <w:rPr>
          <w:rFonts w:hint="eastAsia" w:ascii="宋体" w:hAnsi="宋体" w:eastAsia="宋体" w:cs="宋体"/>
          <w:sz w:val="30"/>
          <w:szCs w:val="30"/>
          <w:lang w:val="en-US" w:eastAsia="zh-CN"/>
        </w:rPr>
        <w:t>8.3万平方米</w:t>
      </w:r>
      <w:r>
        <w:rPr>
          <w:rFonts w:hint="eastAsia" w:ascii="宋体" w:hAnsi="宋体" w:eastAsia="宋体" w:cs="宋体"/>
          <w:sz w:val="30"/>
          <w:szCs w:val="30"/>
        </w:rPr>
        <w:t>，建筑面积</w:t>
      </w:r>
      <w:r>
        <w:rPr>
          <w:rFonts w:hint="eastAsia" w:ascii="宋体" w:hAnsi="宋体" w:eastAsia="宋体" w:cs="宋体"/>
          <w:sz w:val="30"/>
          <w:szCs w:val="30"/>
          <w:lang w:val="en-US" w:eastAsia="zh-CN"/>
        </w:rPr>
        <w:t>6.08</w:t>
      </w:r>
      <w:r>
        <w:rPr>
          <w:rFonts w:hint="eastAsia" w:ascii="宋体" w:hAnsi="宋体" w:eastAsia="宋体" w:cs="宋体"/>
          <w:sz w:val="30"/>
          <w:szCs w:val="30"/>
        </w:rPr>
        <w:t>万平方米</w:t>
      </w:r>
      <w:r>
        <w:rPr>
          <w:rFonts w:hint="eastAsia" w:ascii="宋体" w:hAnsi="宋体" w:eastAsia="宋体" w:cs="宋体"/>
          <w:color w:val="000000"/>
          <w:sz w:val="30"/>
          <w:szCs w:val="30"/>
        </w:rPr>
        <w:t>。</w:t>
      </w:r>
      <w:r>
        <w:rPr>
          <w:rFonts w:hint="eastAsia" w:ascii="宋体" w:hAnsi="宋体" w:eastAsia="宋体" w:cs="宋体"/>
          <w:sz w:val="30"/>
          <w:szCs w:val="30"/>
        </w:rPr>
        <w:t>是一所容技能培训、职业中专、职业高中于一身，集教学、科研、科技推广为一体的多功能综合性国家级公办重点中等职业学校。</w:t>
      </w:r>
    </w:p>
    <w:p w14:paraId="15DE55EB">
      <w:pPr>
        <w:spacing w:line="580" w:lineRule="exact"/>
        <w:ind w:firstLine="602" w:firstLineChars="200"/>
        <w:outlineLvl w:val="1"/>
        <w:rPr>
          <w:rFonts w:hint="eastAsia" w:ascii="宋体" w:hAnsi="宋体" w:eastAsia="宋体" w:cs="宋体"/>
          <w:b/>
          <w:bCs/>
          <w:sz w:val="30"/>
          <w:szCs w:val="30"/>
        </w:rPr>
      </w:pPr>
      <w:r>
        <w:rPr>
          <w:rFonts w:hint="eastAsia" w:ascii="宋体" w:hAnsi="宋体" w:eastAsia="宋体" w:cs="宋体"/>
          <w:b/>
          <w:bCs/>
          <w:sz w:val="30"/>
          <w:szCs w:val="30"/>
        </w:rPr>
        <w:t>（二）项目基本情况</w:t>
      </w:r>
      <w:bookmarkEnd w:id="22"/>
      <w:bookmarkEnd w:id="23"/>
      <w:bookmarkEnd w:id="24"/>
    </w:p>
    <w:p w14:paraId="7D6FF1BD">
      <w:pPr>
        <w:ind w:firstLine="600" w:firstLineChars="200"/>
        <w:rPr>
          <w:rFonts w:hint="eastAsia" w:ascii="宋体" w:hAnsi="宋体" w:eastAsia="宋体" w:cs="宋体"/>
          <w:sz w:val="30"/>
          <w:szCs w:val="30"/>
        </w:rPr>
      </w:pPr>
      <w:bookmarkStart w:id="25" w:name="_Toc27552"/>
      <w:bookmarkStart w:id="26" w:name="_Toc32656"/>
      <w:bookmarkStart w:id="27" w:name="_Toc24191"/>
      <w:bookmarkStart w:id="28" w:name="_Toc26594"/>
      <w:r>
        <w:rPr>
          <w:rFonts w:hint="eastAsia" w:ascii="宋体" w:hAnsi="宋体" w:eastAsia="宋体" w:cs="宋体"/>
          <w:sz w:val="30"/>
          <w:szCs w:val="30"/>
        </w:rPr>
        <w:t>本项目主要包括日常管理移动端APP、招生管理系统、迎新报道管理系统、指挥中心视频会议系统、校园OA办公系统、校园资产管理系统、党建管理系统、数字广播系统升级、远程教育系统升级、教育教学资源共享系统、宿舍管理系统对接、数字图书馆升级对接、电子班牌系统、超融合一体化、电子班牌（硬件）和指挥中心建设。</w:t>
      </w:r>
    </w:p>
    <w:p w14:paraId="1534A60A">
      <w:pPr>
        <w:ind w:firstLine="600" w:firstLineChars="200"/>
        <w:rPr>
          <w:rFonts w:hint="eastAsia" w:ascii="宋体" w:hAnsi="宋体" w:eastAsia="宋体" w:cs="宋体"/>
          <w:sz w:val="30"/>
          <w:szCs w:val="30"/>
        </w:rPr>
      </w:pPr>
      <w:r>
        <w:rPr>
          <w:rFonts w:hint="eastAsia" w:ascii="宋体" w:hAnsi="宋体" w:eastAsia="宋体" w:cs="宋体"/>
          <w:sz w:val="30"/>
          <w:szCs w:val="30"/>
        </w:rPr>
        <w:t>项目预算为</w:t>
      </w:r>
      <w:r>
        <w:rPr>
          <w:rFonts w:hint="eastAsia" w:ascii="宋体" w:hAnsi="宋体" w:eastAsia="宋体" w:cs="宋体"/>
          <w:sz w:val="30"/>
          <w:szCs w:val="30"/>
          <w:lang w:val="en-US" w:eastAsia="zh-CN"/>
        </w:rPr>
        <w:t>244.8</w:t>
      </w:r>
      <w:r>
        <w:rPr>
          <w:rFonts w:hint="eastAsia" w:ascii="宋体" w:hAnsi="宋体" w:eastAsia="宋体" w:cs="宋体"/>
          <w:sz w:val="30"/>
          <w:szCs w:val="30"/>
        </w:rPr>
        <w:t>万元。其中硬件建设超融合一体化、电子班牌（硬件）和指挥中心，费用为97.97万元；软件建设日常管理移动端APP、招生管理系统、迎新报道管理系统、指挥中心视频会议系统、数字广播系统升级、校园OA办公系统、校园资产管理系统、党建管理系统、远程教育系统升级、教育教学资源共享系统、宿舍管理系统对接、数字图书馆升级对接和电子班牌系统，费用为</w:t>
      </w:r>
      <w:r>
        <w:rPr>
          <w:rFonts w:hint="eastAsia" w:ascii="宋体" w:hAnsi="宋体" w:eastAsia="宋体" w:cs="宋体"/>
          <w:sz w:val="30"/>
          <w:szCs w:val="30"/>
          <w:lang w:val="en-US" w:eastAsia="zh-CN"/>
        </w:rPr>
        <w:t>146.83</w:t>
      </w:r>
      <w:r>
        <w:rPr>
          <w:rFonts w:hint="eastAsia" w:ascii="宋体" w:hAnsi="宋体" w:eastAsia="宋体" w:cs="宋体"/>
          <w:sz w:val="30"/>
          <w:szCs w:val="30"/>
        </w:rPr>
        <w:t>万元。</w:t>
      </w:r>
    </w:p>
    <w:p w14:paraId="182BFFB4">
      <w:pPr>
        <w:ind w:left="-359" w:leftChars="-171" w:right="-693" w:rightChars="-330" w:firstLine="640"/>
        <w:jc w:val="left"/>
        <w:rPr>
          <w:rFonts w:hint="eastAsia" w:ascii="宋体" w:hAnsi="宋体" w:eastAsia="宋体" w:cs="宋体"/>
          <w:sz w:val="30"/>
          <w:szCs w:val="30"/>
          <w:lang w:val="en-US" w:eastAsia="zh-CN"/>
        </w:rPr>
      </w:pPr>
      <w:r>
        <w:rPr>
          <w:rFonts w:hint="eastAsia" w:ascii="宋体" w:hAnsi="宋体" w:eastAsia="宋体" w:cs="宋体"/>
          <w:sz w:val="30"/>
          <w:szCs w:val="30"/>
          <w:lang w:val="en-US" w:eastAsia="zh-CN"/>
        </w:rPr>
        <w:t xml:space="preserve">    根据工作安排，该项目由中国广电网络股份有限公司隆尧县分</w:t>
      </w:r>
    </w:p>
    <w:p w14:paraId="30AADA4A">
      <w:pPr>
        <w:ind w:left="-359" w:leftChars="-171" w:right="-693" w:rightChars="-330" w:firstLine="640"/>
        <w:jc w:val="left"/>
        <w:rPr>
          <w:rFonts w:hint="eastAsia" w:ascii="宋体" w:hAnsi="宋体" w:eastAsia="宋体" w:cs="宋体"/>
          <w:sz w:val="30"/>
          <w:szCs w:val="30"/>
          <w:lang w:val="en-US" w:eastAsia="zh-CN"/>
        </w:rPr>
      </w:pPr>
      <w:r>
        <w:rPr>
          <w:rFonts w:hint="eastAsia" w:ascii="宋体" w:hAnsi="宋体" w:eastAsia="宋体" w:cs="宋体"/>
          <w:sz w:val="30"/>
          <w:szCs w:val="30"/>
          <w:lang w:val="en-US" w:eastAsia="zh-CN"/>
        </w:rPr>
        <w:t>公司中标，一标段为硬件部分113.1802万元中标，二标段软件部分126.7552万元中标。共计239.9354万元，该项目验收后支付工程款239.9354万元</w:t>
      </w:r>
    </w:p>
    <w:bookmarkEnd w:id="25"/>
    <w:bookmarkEnd w:id="26"/>
    <w:bookmarkEnd w:id="27"/>
    <w:bookmarkEnd w:id="28"/>
    <w:p w14:paraId="71721D20">
      <w:pPr>
        <w:spacing w:line="580" w:lineRule="exact"/>
        <w:ind w:firstLine="602" w:firstLineChars="200"/>
        <w:outlineLvl w:val="0"/>
        <w:rPr>
          <w:rFonts w:hint="eastAsia" w:ascii="宋体" w:hAnsi="宋体" w:eastAsia="宋体" w:cs="宋体"/>
          <w:b/>
          <w:bCs/>
          <w:sz w:val="30"/>
          <w:szCs w:val="30"/>
        </w:rPr>
      </w:pPr>
      <w:bookmarkStart w:id="29" w:name="_Toc6781"/>
      <w:bookmarkStart w:id="30" w:name="_Toc4859"/>
      <w:bookmarkStart w:id="31" w:name="_Toc2988"/>
      <w:bookmarkStart w:id="32" w:name="_Toc28908"/>
      <w:bookmarkStart w:id="33" w:name="_Toc7839"/>
      <w:bookmarkStart w:id="34" w:name="_Toc26109"/>
      <w:bookmarkStart w:id="35" w:name="_Toc12860"/>
      <w:bookmarkStart w:id="36" w:name="_Toc14644"/>
      <w:bookmarkStart w:id="37" w:name="_Toc18992"/>
      <w:bookmarkStart w:id="38" w:name="_Toc17782"/>
      <w:r>
        <w:rPr>
          <w:rFonts w:hint="eastAsia" w:ascii="宋体" w:hAnsi="宋体" w:eastAsia="宋体" w:cs="宋体"/>
          <w:b/>
          <w:bCs/>
          <w:sz w:val="30"/>
          <w:szCs w:val="30"/>
        </w:rPr>
        <w:t>二、项目实施情况</w:t>
      </w:r>
      <w:bookmarkEnd w:id="29"/>
      <w:bookmarkEnd w:id="30"/>
      <w:bookmarkEnd w:id="31"/>
      <w:bookmarkEnd w:id="32"/>
      <w:bookmarkEnd w:id="33"/>
      <w:bookmarkEnd w:id="34"/>
      <w:bookmarkEnd w:id="35"/>
      <w:bookmarkEnd w:id="36"/>
      <w:bookmarkEnd w:id="37"/>
      <w:bookmarkEnd w:id="38"/>
    </w:p>
    <w:p w14:paraId="345A7B9F">
      <w:pPr>
        <w:ind w:firstLine="600" w:firstLineChars="200"/>
        <w:rPr>
          <w:rFonts w:hint="eastAsia" w:ascii="宋体" w:hAnsi="宋体" w:eastAsia="宋体" w:cs="宋体"/>
          <w:sz w:val="30"/>
          <w:szCs w:val="30"/>
        </w:rPr>
      </w:pPr>
      <w:r>
        <w:rPr>
          <w:rFonts w:hint="eastAsia" w:ascii="宋体" w:hAnsi="宋体" w:eastAsia="宋体" w:cs="宋体"/>
          <w:sz w:val="30"/>
          <w:szCs w:val="30"/>
          <w:lang w:val="en-US" w:eastAsia="zh-CN"/>
        </w:rPr>
        <w:t>隆尧县职教中心智慧校园</w:t>
      </w:r>
      <w:r>
        <w:rPr>
          <w:rFonts w:hint="eastAsia" w:ascii="宋体" w:hAnsi="宋体" w:eastAsia="宋体" w:cs="宋体"/>
          <w:sz w:val="30"/>
          <w:szCs w:val="30"/>
        </w:rPr>
        <w:t>项目</w:t>
      </w:r>
      <w:r>
        <w:rPr>
          <w:rFonts w:hint="eastAsia" w:ascii="宋体" w:hAnsi="宋体" w:eastAsia="宋体" w:cs="宋体"/>
          <w:sz w:val="30"/>
          <w:szCs w:val="30"/>
          <w:lang w:val="en-US" w:eastAsia="zh-CN"/>
        </w:rPr>
        <w:t>列入2022年年初预算资金244.8万元，经招投标后由中国广电网络股份有限公司隆尧县分公司中标，一标段为硬件部分113.1802万元中标，二标段软件部分126.7552万元中标。共计239.9354万元，该项目验收后，</w:t>
      </w:r>
      <w:r>
        <w:rPr>
          <w:rFonts w:hint="eastAsia" w:ascii="宋体" w:hAnsi="宋体" w:eastAsia="宋体" w:cs="宋体"/>
          <w:sz w:val="30"/>
          <w:szCs w:val="30"/>
        </w:rPr>
        <w:t>由单位申请经财政局行政事业股审核后由隆尧县教育支付中心复核后进行拨付。</w:t>
      </w:r>
    </w:p>
    <w:p w14:paraId="61F2723B">
      <w:pPr>
        <w:ind w:left="-359" w:leftChars="-171" w:right="-693" w:rightChars="-330" w:firstLine="640"/>
        <w:jc w:val="left"/>
        <w:rPr>
          <w:rFonts w:hint="eastAsia" w:ascii="宋体" w:hAnsi="宋体" w:eastAsia="宋体" w:cs="宋体"/>
          <w:sz w:val="30"/>
          <w:szCs w:val="30"/>
          <w:lang w:val="en-US" w:eastAsia="zh-CN"/>
        </w:rPr>
      </w:pPr>
      <w:r>
        <w:rPr>
          <w:rFonts w:hint="eastAsia" w:ascii="宋体" w:hAnsi="宋体" w:eastAsia="宋体" w:cs="宋体"/>
          <w:sz w:val="30"/>
          <w:szCs w:val="30"/>
          <w:lang w:val="en-US" w:eastAsia="zh-CN"/>
        </w:rPr>
        <w:t>支付工程款239.9354万元。</w:t>
      </w:r>
    </w:p>
    <w:p w14:paraId="756EE55C">
      <w:pPr>
        <w:ind w:firstLine="900" w:firstLineChars="300"/>
        <w:rPr>
          <w:rFonts w:hint="eastAsia" w:ascii="宋体" w:hAnsi="宋体" w:eastAsia="宋体" w:cs="宋体"/>
          <w:sz w:val="30"/>
          <w:szCs w:val="30"/>
        </w:rPr>
      </w:pPr>
      <w:r>
        <w:rPr>
          <w:rFonts w:hint="eastAsia" w:ascii="宋体" w:hAnsi="宋体" w:eastAsia="宋体" w:cs="宋体"/>
          <w:sz w:val="30"/>
          <w:szCs w:val="30"/>
          <w:lang w:val="en-US" w:eastAsia="zh-CN"/>
        </w:rPr>
        <w:t>智慧校园</w:t>
      </w:r>
      <w:r>
        <w:rPr>
          <w:rFonts w:hint="eastAsia" w:ascii="宋体" w:hAnsi="宋体" w:eastAsia="宋体" w:cs="宋体"/>
          <w:sz w:val="30"/>
          <w:szCs w:val="30"/>
        </w:rPr>
        <w:t>项目资金的使用严格按照相关规定专款专用，依报帐程序执行。财务管理：经费开支有经手人、证明人及有关领导审批签字。无大额现金支付工程款，白条入账现象，资金管理规范，无违反基建财务会计制度</w:t>
      </w:r>
      <w:bookmarkStart w:id="82" w:name="_GoBack"/>
      <w:r>
        <w:rPr>
          <w:rFonts w:hint="eastAsia" w:ascii="宋体" w:hAnsi="宋体" w:cs="宋体"/>
          <w:sz w:val="30"/>
          <w:szCs w:val="30"/>
          <w:lang w:eastAsia="zh-CN"/>
        </w:rPr>
        <w:t>《现金管理暂行条例》</w:t>
      </w:r>
      <w:bookmarkEnd w:id="82"/>
      <w:r>
        <w:rPr>
          <w:rFonts w:hint="eastAsia" w:ascii="宋体" w:hAnsi="宋体" w:eastAsia="宋体" w:cs="宋体"/>
          <w:sz w:val="30"/>
          <w:szCs w:val="30"/>
        </w:rPr>
        <w:t>现象，无挤占、截留、挪用专项资金现象。</w:t>
      </w:r>
    </w:p>
    <w:p w14:paraId="4859CF6D">
      <w:pPr>
        <w:spacing w:line="580" w:lineRule="exact"/>
        <w:ind w:firstLine="602" w:firstLineChars="200"/>
        <w:outlineLvl w:val="0"/>
        <w:rPr>
          <w:rFonts w:hint="eastAsia" w:ascii="宋体" w:hAnsi="宋体" w:eastAsia="宋体" w:cs="宋体"/>
          <w:b/>
          <w:bCs/>
          <w:sz w:val="30"/>
          <w:szCs w:val="30"/>
        </w:rPr>
      </w:pPr>
      <w:bookmarkStart w:id="39" w:name="_Toc29800"/>
      <w:bookmarkStart w:id="40" w:name="_Toc26855"/>
      <w:bookmarkStart w:id="41" w:name="_Toc10651"/>
      <w:bookmarkStart w:id="42" w:name="_Toc12150"/>
      <w:bookmarkStart w:id="43" w:name="_Toc20904"/>
      <w:bookmarkStart w:id="44" w:name="_Toc21501"/>
      <w:bookmarkStart w:id="45" w:name="_Toc5317"/>
      <w:bookmarkStart w:id="46" w:name="_Toc6451"/>
      <w:bookmarkStart w:id="47" w:name="_Toc18915"/>
      <w:bookmarkStart w:id="48" w:name="_Toc5215"/>
      <w:r>
        <w:rPr>
          <w:rFonts w:hint="eastAsia" w:ascii="宋体" w:hAnsi="宋体" w:eastAsia="宋体" w:cs="宋体"/>
          <w:b/>
          <w:bCs/>
          <w:sz w:val="30"/>
          <w:szCs w:val="30"/>
        </w:rPr>
        <w:t>三、绩效评价工作情况</w:t>
      </w:r>
      <w:bookmarkEnd w:id="39"/>
      <w:bookmarkEnd w:id="40"/>
      <w:bookmarkEnd w:id="41"/>
      <w:bookmarkEnd w:id="42"/>
      <w:bookmarkEnd w:id="43"/>
      <w:bookmarkEnd w:id="44"/>
      <w:bookmarkEnd w:id="45"/>
      <w:bookmarkEnd w:id="46"/>
      <w:bookmarkEnd w:id="47"/>
      <w:bookmarkEnd w:id="48"/>
    </w:p>
    <w:p w14:paraId="2C9F2AB2">
      <w:pPr>
        <w:ind w:firstLine="600" w:firstLineChars="200"/>
        <w:rPr>
          <w:rFonts w:hint="eastAsia" w:ascii="宋体" w:hAnsi="宋体" w:eastAsia="宋体" w:cs="宋体"/>
          <w:sz w:val="30"/>
          <w:szCs w:val="30"/>
        </w:rPr>
      </w:pPr>
      <w:bookmarkStart w:id="49" w:name="_Toc4056"/>
      <w:bookmarkStart w:id="50" w:name="_Toc25600"/>
      <w:bookmarkStart w:id="51" w:name="_Toc14742"/>
      <w:bookmarkStart w:id="52" w:name="_Toc15730"/>
      <w:bookmarkStart w:id="53" w:name="_Toc7570"/>
      <w:bookmarkStart w:id="54" w:name="_Toc5105"/>
      <w:bookmarkStart w:id="55" w:name="_Toc22771"/>
      <w:bookmarkStart w:id="56" w:name="_Toc8077"/>
      <w:bookmarkStart w:id="57" w:name="_Toc23608"/>
      <w:bookmarkStart w:id="58" w:name="_Toc17355"/>
      <w:r>
        <w:rPr>
          <w:rFonts w:hint="eastAsia" w:ascii="宋体" w:hAnsi="宋体" w:eastAsia="宋体" w:cs="宋体"/>
          <w:sz w:val="30"/>
          <w:szCs w:val="30"/>
        </w:rPr>
        <w:t>（一）总目标：</w:t>
      </w:r>
      <w:r>
        <w:rPr>
          <w:rFonts w:hint="eastAsia" w:ascii="宋体" w:hAnsi="宋体" w:eastAsia="宋体" w:cs="宋体"/>
          <w:color w:val="000000"/>
          <w:kern w:val="0"/>
          <w:sz w:val="30"/>
          <w:szCs w:val="30"/>
          <w:lang w:val="en-US" w:eastAsia="zh-CN" w:bidi="ar"/>
        </w:rPr>
        <w:t>我单位深入理解下达的 2022 年智慧校园项目预算落实文件，及时落实学校资金管理方法。</w:t>
      </w:r>
      <w:r>
        <w:rPr>
          <w:rFonts w:hint="eastAsia" w:ascii="宋体" w:hAnsi="宋体" w:eastAsia="宋体" w:cs="宋体"/>
          <w:sz w:val="30"/>
          <w:szCs w:val="30"/>
        </w:rPr>
        <w:t>智慧校园建设是为了使校园网络的使用者可以更有效、更方便地利用校园网以及互联网来开展教学、科研、管理和生活活动。智慧校园建设的出发点和最终目标就是“服务”，即为学校的学生、教师、管理人员通过智慧化的协作提供更好的服务，支持学校的发展。智慧校园建设应用服务应体现在标准化、网络化、智能化和个性化的特点。为学校的建设与发展提供更好的协作平台和服务是信息化建设的宗旨。</w:t>
      </w:r>
    </w:p>
    <w:p w14:paraId="13107DEE">
      <w:pPr>
        <w:ind w:firstLine="600" w:firstLineChars="200"/>
        <w:rPr>
          <w:rFonts w:hint="eastAsia" w:ascii="宋体" w:hAnsi="宋体" w:eastAsia="宋体" w:cs="宋体"/>
          <w:sz w:val="30"/>
          <w:szCs w:val="30"/>
          <w:lang w:val="en-US"/>
        </w:rPr>
      </w:pPr>
      <w:r>
        <w:rPr>
          <w:rFonts w:hint="eastAsia" w:ascii="宋体" w:hAnsi="宋体" w:eastAsia="宋体" w:cs="宋体"/>
          <w:sz w:val="30"/>
          <w:szCs w:val="30"/>
        </w:rPr>
        <w:t>现在学校已经拥有了如：家长APP、学生档案管理、教务管理系统、教职工查询系统等，有一些使用多年的软件系统，学校教职人员、学生以及领导人员对信息化的发展有了很大的认识和体会，也从中得到了便利，充分理解信息化发展是未来学校发展的趋势。学校在信息化发展方面已经具有良好的基础，学校领导对信息化的高度重视，也成为各校信息化发展的动力。因此在后续的发展中也应有相应的高度，应该从全校信息化未来5-10年的建设来进行规划，充分考虑学校现有资源和需求，并将校园工作、学习和生活与物联网相结合，形成以各种应用服务系统为载体的一体化智慧校园环境，为学校的下一步的发展创建实现达到国内先进水平的信息基础设施和信息智能化服务体系，提高学校的智慧化建设，极大地增强学校的核心竞争力。</w:t>
      </w:r>
    </w:p>
    <w:p w14:paraId="246820F5">
      <w:pPr>
        <w:rPr>
          <w:rFonts w:hint="eastAsia" w:ascii="宋体" w:hAnsi="宋体" w:eastAsia="宋体" w:cs="宋体"/>
          <w:sz w:val="30"/>
          <w:szCs w:val="30"/>
        </w:rPr>
      </w:pPr>
      <w:r>
        <w:rPr>
          <w:rFonts w:hint="eastAsia" w:ascii="宋体" w:hAnsi="宋体" w:eastAsia="宋体" w:cs="宋体"/>
          <w:sz w:val="30"/>
          <w:szCs w:val="30"/>
        </w:rPr>
        <w:t>（二）年度目标：</w:t>
      </w:r>
      <w:r>
        <w:rPr>
          <w:rFonts w:hint="eastAsia" w:ascii="宋体" w:hAnsi="宋体" w:eastAsia="宋体" w:cs="宋体"/>
          <w:sz w:val="30"/>
          <w:szCs w:val="30"/>
          <w:lang w:eastAsia="zh-CN"/>
        </w:rPr>
        <w:t>及时</w:t>
      </w:r>
      <w:r>
        <w:rPr>
          <w:rFonts w:hint="eastAsia" w:ascii="宋体" w:hAnsi="宋体" w:cs="宋体"/>
          <w:sz w:val="30"/>
          <w:szCs w:val="30"/>
          <w:lang w:eastAsia="zh-CN"/>
        </w:rPr>
        <w:t>进行</w:t>
      </w:r>
      <w:r>
        <w:rPr>
          <w:rFonts w:hint="eastAsia" w:ascii="宋体" w:hAnsi="宋体" w:eastAsia="宋体" w:cs="宋体"/>
          <w:sz w:val="30"/>
          <w:szCs w:val="30"/>
          <w:lang w:val="en-US" w:eastAsia="zh-CN"/>
        </w:rPr>
        <w:t>智慧校园项目安装工程，</w:t>
      </w:r>
      <w:r>
        <w:rPr>
          <w:rFonts w:hint="eastAsia" w:ascii="宋体" w:hAnsi="宋体" w:eastAsia="宋体" w:cs="宋体"/>
          <w:sz w:val="30"/>
          <w:szCs w:val="30"/>
        </w:rPr>
        <w:t>截止202</w:t>
      </w:r>
      <w:r>
        <w:rPr>
          <w:rFonts w:hint="eastAsia" w:ascii="宋体" w:hAnsi="宋体" w:eastAsia="宋体" w:cs="宋体"/>
          <w:sz w:val="30"/>
          <w:szCs w:val="30"/>
          <w:lang w:val="en-US" w:eastAsia="zh-CN"/>
        </w:rPr>
        <w:t>2</w:t>
      </w:r>
      <w:r>
        <w:rPr>
          <w:rFonts w:hint="eastAsia" w:ascii="宋体" w:hAnsi="宋体" w:eastAsia="宋体" w:cs="宋体"/>
          <w:sz w:val="30"/>
          <w:szCs w:val="30"/>
        </w:rPr>
        <w:t>年年底已完成</w:t>
      </w:r>
      <w:r>
        <w:rPr>
          <w:rFonts w:hint="eastAsia" w:ascii="宋体" w:hAnsi="宋体" w:eastAsia="宋体" w:cs="宋体"/>
          <w:sz w:val="30"/>
          <w:szCs w:val="30"/>
          <w:lang w:val="en-US" w:eastAsia="zh-CN"/>
        </w:rPr>
        <w:t>支付工程款239.9354万元。</w:t>
      </w:r>
    </w:p>
    <w:p w14:paraId="5496139C">
      <w:pPr>
        <w:widowControl/>
        <w:rPr>
          <w:rFonts w:hint="eastAsia" w:ascii="宋体" w:hAnsi="宋体" w:eastAsia="宋体" w:cs="宋体"/>
          <w:kern w:val="0"/>
          <w:sz w:val="30"/>
          <w:szCs w:val="30"/>
        </w:rPr>
      </w:pPr>
      <w:r>
        <w:rPr>
          <w:rFonts w:hint="eastAsia" w:ascii="宋体" w:hAnsi="宋体" w:eastAsia="宋体" w:cs="宋体"/>
          <w:sz w:val="30"/>
          <w:szCs w:val="30"/>
        </w:rPr>
        <w:t>（三）</w:t>
      </w:r>
      <w:r>
        <w:rPr>
          <w:rFonts w:hint="eastAsia" w:ascii="宋体" w:hAnsi="宋体" w:eastAsia="宋体" w:cs="宋体"/>
          <w:kern w:val="0"/>
          <w:sz w:val="30"/>
          <w:szCs w:val="30"/>
        </w:rPr>
        <w:t>绩效指标设定情况：</w:t>
      </w:r>
    </w:p>
    <w:p w14:paraId="4756CB43">
      <w:pPr>
        <w:spacing w:line="541" w:lineRule="exact"/>
        <w:rPr>
          <w:rFonts w:hint="eastAsia" w:ascii="宋体" w:hAnsi="宋体" w:eastAsia="宋体" w:cs="宋体"/>
          <w:sz w:val="30"/>
          <w:szCs w:val="30"/>
        </w:rPr>
      </w:pPr>
      <w:r>
        <w:rPr>
          <w:rFonts w:hint="eastAsia" w:ascii="宋体" w:hAnsi="宋体" w:eastAsia="宋体" w:cs="宋体"/>
          <w:color w:val="000000"/>
          <w:sz w:val="30"/>
          <w:szCs w:val="30"/>
        </w:rPr>
        <w:t>1．产出指标完成情况分析</w:t>
      </w:r>
    </w:p>
    <w:p w14:paraId="1914B07E">
      <w:pPr>
        <w:ind w:firstLine="645"/>
        <w:rPr>
          <w:rFonts w:hint="eastAsia" w:ascii="宋体" w:hAnsi="宋体" w:eastAsia="宋体" w:cs="宋体"/>
          <w:sz w:val="30"/>
          <w:szCs w:val="30"/>
        </w:rPr>
      </w:pPr>
      <w:r>
        <w:rPr>
          <w:rFonts w:hint="eastAsia" w:ascii="宋体" w:hAnsi="宋体" w:eastAsia="宋体" w:cs="宋体"/>
          <w:sz w:val="30"/>
          <w:szCs w:val="30"/>
        </w:rPr>
        <w:t>1、产出指标完成情况分析。</w:t>
      </w:r>
    </w:p>
    <w:p w14:paraId="6E8B2F11">
      <w:pPr>
        <w:ind w:firstLine="645"/>
        <w:rPr>
          <w:rFonts w:hint="eastAsia" w:ascii="宋体" w:hAnsi="宋体" w:eastAsia="宋体" w:cs="宋体"/>
          <w:sz w:val="30"/>
          <w:szCs w:val="30"/>
          <w:lang w:val="en-US" w:eastAsia="zh-CN"/>
        </w:rPr>
      </w:pPr>
      <w:r>
        <w:rPr>
          <w:rFonts w:hint="eastAsia" w:ascii="宋体" w:hAnsi="宋体" w:eastAsia="宋体" w:cs="宋体"/>
          <w:sz w:val="30"/>
          <w:szCs w:val="30"/>
        </w:rPr>
        <w:t>（1）数量指标：</w:t>
      </w:r>
      <w:r>
        <w:rPr>
          <w:rFonts w:hint="eastAsia" w:ascii="宋体" w:hAnsi="宋体" w:eastAsia="宋体" w:cs="宋体"/>
          <w:sz w:val="30"/>
          <w:szCs w:val="30"/>
          <w:lang w:val="en-US" w:eastAsia="zh-CN"/>
        </w:rPr>
        <w:t>智慧校园系统平台建设一套</w:t>
      </w:r>
    </w:p>
    <w:p w14:paraId="5CFC2CD1">
      <w:pPr>
        <w:ind w:firstLine="645"/>
        <w:rPr>
          <w:rFonts w:hint="eastAsia" w:ascii="宋体" w:hAnsi="宋体" w:eastAsia="宋体" w:cs="宋体"/>
          <w:sz w:val="30"/>
          <w:szCs w:val="30"/>
        </w:rPr>
      </w:pPr>
      <w:r>
        <w:rPr>
          <w:rFonts w:hint="eastAsia" w:ascii="宋体" w:hAnsi="宋体" w:eastAsia="宋体" w:cs="宋体"/>
          <w:sz w:val="30"/>
          <w:szCs w:val="30"/>
        </w:rPr>
        <w:t>（2）质量指标：</w:t>
      </w:r>
      <w:r>
        <w:rPr>
          <w:rFonts w:hint="eastAsia" w:ascii="宋体" w:hAnsi="宋体" w:eastAsia="宋体" w:cs="宋体"/>
          <w:sz w:val="30"/>
          <w:szCs w:val="30"/>
          <w:lang w:val="en-US" w:eastAsia="zh-CN"/>
        </w:rPr>
        <w:t>购置符合</w:t>
      </w:r>
      <w:r>
        <w:rPr>
          <w:rFonts w:hint="eastAsia" w:ascii="宋体" w:hAnsi="宋体" w:eastAsia="宋体" w:cs="宋体"/>
          <w:sz w:val="30"/>
          <w:szCs w:val="30"/>
        </w:rPr>
        <w:t>采购质量标准均符合国家相关规定和合同约定。</w:t>
      </w:r>
    </w:p>
    <w:p w14:paraId="72D40F59">
      <w:pPr>
        <w:ind w:firstLine="645"/>
        <w:rPr>
          <w:rFonts w:hint="eastAsia" w:ascii="宋体" w:hAnsi="宋体" w:eastAsia="宋体" w:cs="宋体"/>
          <w:sz w:val="30"/>
          <w:szCs w:val="30"/>
        </w:rPr>
      </w:pPr>
      <w:r>
        <w:rPr>
          <w:rFonts w:hint="eastAsia" w:ascii="宋体" w:hAnsi="宋体" w:eastAsia="宋体" w:cs="宋体"/>
          <w:sz w:val="30"/>
          <w:szCs w:val="30"/>
        </w:rPr>
        <w:t>（3）时效指标：</w:t>
      </w:r>
      <w:r>
        <w:rPr>
          <w:rFonts w:hint="eastAsia" w:ascii="宋体" w:hAnsi="宋体" w:eastAsia="宋体" w:cs="宋体"/>
          <w:sz w:val="30"/>
          <w:szCs w:val="30"/>
          <w:lang w:val="en-US" w:eastAsia="zh-CN"/>
        </w:rPr>
        <w:t>购置</w:t>
      </w:r>
      <w:r>
        <w:rPr>
          <w:rFonts w:hint="eastAsia" w:ascii="宋体" w:hAnsi="宋体" w:eastAsia="宋体" w:cs="宋体"/>
          <w:sz w:val="30"/>
          <w:szCs w:val="30"/>
        </w:rPr>
        <w:t>采购均按双方合同约定按时完工、交货并验收。</w:t>
      </w:r>
    </w:p>
    <w:p w14:paraId="662F119D">
      <w:pPr>
        <w:ind w:firstLine="600" w:firstLineChars="200"/>
        <w:rPr>
          <w:rFonts w:hint="eastAsia" w:ascii="宋体" w:hAnsi="宋体" w:eastAsia="宋体" w:cs="宋体"/>
          <w:kern w:val="0"/>
          <w:sz w:val="30"/>
          <w:szCs w:val="30"/>
          <w:lang w:val="en-US" w:eastAsia="zh-CN"/>
        </w:rPr>
      </w:pPr>
      <w:r>
        <w:rPr>
          <w:rFonts w:hint="eastAsia" w:ascii="宋体" w:hAnsi="宋体" w:eastAsia="宋体" w:cs="宋体"/>
          <w:sz w:val="30"/>
          <w:szCs w:val="30"/>
        </w:rPr>
        <w:t>（4）成本指标：</w:t>
      </w:r>
      <w:r>
        <w:rPr>
          <w:rFonts w:hint="eastAsia" w:ascii="宋体" w:hAnsi="宋体" w:eastAsia="宋体" w:cs="宋体"/>
          <w:sz w:val="30"/>
          <w:szCs w:val="30"/>
          <w:lang w:val="en-US" w:eastAsia="zh-CN"/>
        </w:rPr>
        <w:t>购置智慧校园平台239.9354万元</w:t>
      </w:r>
    </w:p>
    <w:p w14:paraId="41EDEE6F">
      <w:pPr>
        <w:ind w:firstLine="645"/>
        <w:rPr>
          <w:rFonts w:hint="eastAsia" w:ascii="宋体" w:hAnsi="宋体" w:eastAsia="宋体" w:cs="宋体"/>
          <w:sz w:val="30"/>
          <w:szCs w:val="30"/>
        </w:rPr>
      </w:pPr>
      <w:r>
        <w:rPr>
          <w:rFonts w:hint="eastAsia" w:ascii="宋体" w:hAnsi="宋体" w:eastAsia="宋体" w:cs="宋体"/>
          <w:sz w:val="30"/>
          <w:szCs w:val="30"/>
        </w:rPr>
        <w:t>2、效益指标完成情况分析。</w:t>
      </w:r>
    </w:p>
    <w:p w14:paraId="43CD1219">
      <w:pPr>
        <w:ind w:firstLine="645"/>
        <w:rPr>
          <w:rFonts w:hint="eastAsia" w:ascii="宋体" w:hAnsi="宋体" w:eastAsia="宋体" w:cs="宋体"/>
          <w:sz w:val="30"/>
          <w:szCs w:val="30"/>
          <w:lang w:val="en-US" w:eastAsia="zh-CN"/>
        </w:rPr>
      </w:pPr>
      <w:r>
        <w:rPr>
          <w:rFonts w:hint="eastAsia" w:ascii="宋体" w:hAnsi="宋体" w:eastAsia="宋体" w:cs="宋体"/>
          <w:sz w:val="30"/>
          <w:szCs w:val="30"/>
        </w:rPr>
        <w:t>（1）经济效益：</w:t>
      </w:r>
      <w:r>
        <w:rPr>
          <w:rFonts w:hint="eastAsia" w:ascii="宋体" w:hAnsi="宋体" w:eastAsia="宋体" w:cs="宋体"/>
          <w:sz w:val="30"/>
          <w:szCs w:val="30"/>
          <w:lang w:val="en-US" w:eastAsia="zh-CN"/>
        </w:rPr>
        <w:t>智慧校园</w:t>
      </w:r>
      <w:r>
        <w:rPr>
          <w:rFonts w:hint="eastAsia" w:ascii="宋体" w:hAnsi="宋体" w:eastAsia="宋体" w:cs="宋体"/>
          <w:sz w:val="30"/>
          <w:szCs w:val="30"/>
        </w:rPr>
        <w:t>采购任务完成。</w:t>
      </w:r>
      <w:r>
        <w:rPr>
          <w:rFonts w:hint="eastAsia" w:ascii="宋体" w:hAnsi="宋体" w:eastAsia="宋体" w:cs="宋体"/>
          <w:sz w:val="30"/>
          <w:szCs w:val="30"/>
          <w:lang w:val="en-US" w:eastAsia="zh-CN"/>
        </w:rPr>
        <w:t>增强了软件系统建设，提高了师资水平。</w:t>
      </w:r>
    </w:p>
    <w:p w14:paraId="18D7FF88">
      <w:pPr>
        <w:ind w:firstLine="645"/>
        <w:rPr>
          <w:rFonts w:hint="eastAsia" w:ascii="宋体" w:hAnsi="宋体" w:eastAsia="宋体" w:cs="宋体"/>
          <w:sz w:val="30"/>
          <w:szCs w:val="30"/>
          <w:lang w:val="en-US" w:eastAsia="zh-CN"/>
        </w:rPr>
      </w:pPr>
      <w:r>
        <w:rPr>
          <w:rFonts w:hint="eastAsia" w:ascii="宋体" w:hAnsi="宋体" w:eastAsia="宋体" w:cs="宋体"/>
          <w:sz w:val="30"/>
          <w:szCs w:val="30"/>
        </w:rPr>
        <w:t>（2）社会效益：有效改善了办学条件，有效促进了教学和学校整体工作稳步发展</w:t>
      </w:r>
      <w:r>
        <w:rPr>
          <w:rFonts w:hint="eastAsia" w:ascii="宋体" w:hAnsi="宋体" w:eastAsia="宋体" w:cs="宋体"/>
          <w:sz w:val="30"/>
          <w:szCs w:val="30"/>
          <w:lang w:eastAsia="zh-CN"/>
        </w:rPr>
        <w:t>，</w:t>
      </w:r>
      <w:r>
        <w:rPr>
          <w:rFonts w:hint="eastAsia" w:ascii="宋体" w:hAnsi="宋体" w:eastAsia="宋体" w:cs="宋体"/>
          <w:sz w:val="30"/>
          <w:szCs w:val="30"/>
          <w:lang w:val="en-US" w:eastAsia="zh-CN"/>
        </w:rPr>
        <w:t>为学校师生提供了更好的服务。</w:t>
      </w:r>
    </w:p>
    <w:p w14:paraId="1E582151">
      <w:pPr>
        <w:ind w:firstLine="645"/>
        <w:rPr>
          <w:rFonts w:hint="eastAsia" w:ascii="宋体" w:hAnsi="宋体" w:eastAsia="宋体" w:cs="宋体"/>
          <w:sz w:val="30"/>
          <w:szCs w:val="30"/>
          <w:lang w:val="en-US" w:eastAsia="zh-CN"/>
        </w:rPr>
      </w:pPr>
      <w:r>
        <w:rPr>
          <w:rFonts w:hint="eastAsia" w:ascii="宋体" w:hAnsi="宋体" w:eastAsia="宋体" w:cs="宋体"/>
          <w:sz w:val="30"/>
          <w:szCs w:val="30"/>
        </w:rPr>
        <w:t>（3）生态效益：</w:t>
      </w:r>
      <w:r>
        <w:rPr>
          <w:rFonts w:hint="eastAsia" w:ascii="宋体" w:hAnsi="宋体" w:eastAsia="宋体" w:cs="宋体"/>
          <w:sz w:val="30"/>
          <w:szCs w:val="30"/>
          <w:lang w:val="en-US" w:eastAsia="zh-CN"/>
        </w:rPr>
        <w:t>改善了学校校园环境，提升了教学质量。</w:t>
      </w:r>
    </w:p>
    <w:p w14:paraId="34425CBC">
      <w:pPr>
        <w:ind w:firstLine="645"/>
        <w:rPr>
          <w:rFonts w:hint="eastAsia" w:ascii="宋体" w:hAnsi="宋体" w:eastAsia="宋体" w:cs="宋体"/>
          <w:sz w:val="30"/>
          <w:szCs w:val="30"/>
        </w:rPr>
      </w:pPr>
      <w:r>
        <w:rPr>
          <w:rFonts w:hint="eastAsia" w:ascii="宋体" w:hAnsi="宋体" w:eastAsia="宋体" w:cs="宋体"/>
          <w:sz w:val="30"/>
          <w:szCs w:val="30"/>
        </w:rPr>
        <w:t>（4）可持续影响：</w:t>
      </w:r>
      <w:r>
        <w:rPr>
          <w:rFonts w:hint="eastAsia" w:ascii="宋体" w:hAnsi="宋体" w:eastAsia="宋体" w:cs="宋体"/>
          <w:sz w:val="30"/>
          <w:szCs w:val="30"/>
          <w:lang w:val="en-US" w:eastAsia="zh-CN"/>
        </w:rPr>
        <w:t>智慧校园系统</w:t>
      </w:r>
      <w:r>
        <w:rPr>
          <w:rFonts w:hint="eastAsia" w:ascii="宋体" w:hAnsi="宋体" w:eastAsia="宋体" w:cs="宋体"/>
          <w:sz w:val="30"/>
          <w:szCs w:val="30"/>
        </w:rPr>
        <w:t>可持续使用</w:t>
      </w:r>
      <w:r>
        <w:rPr>
          <w:rFonts w:hint="eastAsia" w:ascii="宋体" w:hAnsi="宋体" w:eastAsia="宋体" w:cs="宋体"/>
          <w:sz w:val="30"/>
          <w:szCs w:val="30"/>
          <w:lang w:val="en-US" w:eastAsia="zh-CN"/>
        </w:rPr>
        <w:t>10</w:t>
      </w:r>
      <w:r>
        <w:rPr>
          <w:rFonts w:hint="eastAsia" w:ascii="宋体" w:hAnsi="宋体" w:eastAsia="宋体" w:cs="宋体"/>
          <w:sz w:val="30"/>
          <w:szCs w:val="30"/>
        </w:rPr>
        <w:t>年</w:t>
      </w:r>
      <w:r>
        <w:rPr>
          <w:rFonts w:hint="eastAsia" w:ascii="宋体" w:hAnsi="宋体" w:eastAsia="宋体" w:cs="宋体"/>
          <w:sz w:val="30"/>
          <w:szCs w:val="30"/>
          <w:lang w:val="en-US" w:eastAsia="zh-CN"/>
        </w:rPr>
        <w:t>以上，教师队伍能力增强。</w:t>
      </w:r>
    </w:p>
    <w:p w14:paraId="57873932">
      <w:pPr>
        <w:spacing w:line="580" w:lineRule="exact"/>
        <w:ind w:firstLine="600" w:firstLineChars="200"/>
        <w:outlineLvl w:val="1"/>
        <w:rPr>
          <w:rFonts w:hint="eastAsia" w:ascii="宋体" w:hAnsi="宋体" w:eastAsia="宋体" w:cs="宋体"/>
          <w:sz w:val="30"/>
          <w:szCs w:val="30"/>
        </w:rPr>
      </w:pPr>
      <w:r>
        <w:rPr>
          <w:rFonts w:hint="eastAsia" w:ascii="宋体" w:hAnsi="宋体" w:eastAsia="宋体" w:cs="宋体"/>
          <w:sz w:val="30"/>
          <w:szCs w:val="30"/>
        </w:rPr>
        <w:t>3、满意度指标完成情况分析：</w:t>
      </w:r>
      <w:r>
        <w:rPr>
          <w:rFonts w:hint="eastAsia" w:ascii="宋体" w:hAnsi="宋体" w:eastAsia="宋体" w:cs="宋体"/>
          <w:sz w:val="30"/>
          <w:szCs w:val="30"/>
          <w:lang w:val="en-US" w:eastAsia="zh-CN"/>
        </w:rPr>
        <w:t>智慧校园系统安装</w:t>
      </w:r>
      <w:r>
        <w:rPr>
          <w:rFonts w:hint="eastAsia" w:ascii="宋体" w:hAnsi="宋体" w:eastAsia="宋体" w:cs="宋体"/>
          <w:sz w:val="30"/>
          <w:szCs w:val="30"/>
        </w:rPr>
        <w:t>正常交货均符合双方合同约定和国家有关政策，经学校验收并投入使用后深受全体师生的一致好评。</w:t>
      </w:r>
      <w:bookmarkStart w:id="59" w:name="_Toc22038"/>
      <w:bookmarkStart w:id="60" w:name="_Toc6747"/>
      <w:bookmarkStart w:id="61" w:name="_Toc7393"/>
      <w:bookmarkStart w:id="62" w:name="_Toc12940"/>
      <w:bookmarkStart w:id="63" w:name="_Toc1868"/>
      <w:bookmarkStart w:id="64" w:name="_Toc13179"/>
      <w:bookmarkStart w:id="65" w:name="_Toc9401"/>
      <w:bookmarkStart w:id="66" w:name="_Toc26780"/>
      <w:bookmarkStart w:id="67" w:name="_Toc11243"/>
      <w:bookmarkStart w:id="68" w:name="_Toc24302"/>
    </w:p>
    <w:p w14:paraId="19110D81">
      <w:pPr>
        <w:spacing w:line="580" w:lineRule="exact"/>
        <w:ind w:firstLine="640" w:firstLineChars="200"/>
        <w:outlineLvl w:val="1"/>
        <w:rPr>
          <w:rFonts w:hint="eastAsia" w:ascii="宋体" w:hAnsi="宋体" w:eastAsia="宋体" w:cs="宋体"/>
          <w:sz w:val="32"/>
          <w:szCs w:val="40"/>
        </w:rPr>
      </w:pPr>
      <w:r>
        <w:rPr>
          <w:rFonts w:hint="eastAsia" w:ascii="宋体" w:hAnsi="宋体" w:eastAsia="宋体" w:cs="宋体"/>
          <w:sz w:val="32"/>
          <w:szCs w:val="40"/>
        </w:rPr>
        <w:t>（四）评价的主要方法及等级设定</w:t>
      </w:r>
      <w:bookmarkEnd w:id="59"/>
      <w:bookmarkEnd w:id="60"/>
      <w:bookmarkEnd w:id="61"/>
      <w:bookmarkEnd w:id="62"/>
      <w:bookmarkEnd w:id="63"/>
      <w:bookmarkEnd w:id="64"/>
      <w:bookmarkEnd w:id="65"/>
      <w:bookmarkEnd w:id="66"/>
      <w:bookmarkEnd w:id="67"/>
      <w:bookmarkEnd w:id="68"/>
    </w:p>
    <w:p w14:paraId="755B459B">
      <w:pPr>
        <w:spacing w:line="580" w:lineRule="exact"/>
        <w:ind w:firstLine="640" w:firstLineChars="200"/>
        <w:rPr>
          <w:rFonts w:hint="eastAsia" w:ascii="宋体" w:hAnsi="宋体" w:eastAsia="宋体" w:cs="宋体"/>
          <w:kern w:val="0"/>
          <w:sz w:val="32"/>
          <w:szCs w:val="32"/>
          <w:shd w:val="clear" w:color="auto" w:fill="FFFFFF"/>
        </w:rPr>
      </w:pPr>
      <w:r>
        <w:rPr>
          <w:rStyle w:val="10"/>
          <w:rFonts w:hint="eastAsia" w:ascii="宋体" w:hAnsi="宋体" w:eastAsia="宋体" w:cs="宋体"/>
          <w:b w:val="0"/>
          <w:bCs/>
          <w:sz w:val="32"/>
          <w:szCs w:val="32"/>
        </w:rPr>
        <w:t>根据相关</w:t>
      </w:r>
      <w:r>
        <w:rPr>
          <w:rFonts w:hint="eastAsia" w:ascii="宋体" w:hAnsi="宋体" w:eastAsia="宋体" w:cs="宋体"/>
          <w:sz w:val="32"/>
          <w:szCs w:val="32"/>
          <w:shd w:val="clear" w:color="auto" w:fill="FFFFFF"/>
        </w:rPr>
        <w:t>要求，评价工作将</w:t>
      </w:r>
      <w:r>
        <w:rPr>
          <w:rFonts w:hint="eastAsia" w:ascii="宋体" w:hAnsi="宋体" w:eastAsia="宋体" w:cs="宋体"/>
          <w:kern w:val="0"/>
          <w:sz w:val="32"/>
          <w:szCs w:val="32"/>
        </w:rPr>
        <w:t>网络评价与现场评价相结合；数字资料与纸质资料评价相结合；会计资料评价与工程技术资料评价相结合</w:t>
      </w:r>
      <w:r>
        <w:rPr>
          <w:rFonts w:hint="eastAsia" w:ascii="宋体" w:hAnsi="宋体" w:eastAsia="宋体" w:cs="宋体"/>
          <w:kern w:val="0"/>
          <w:sz w:val="32"/>
          <w:szCs w:val="32"/>
          <w:shd w:val="clear" w:color="auto" w:fill="FFFFFF"/>
        </w:rPr>
        <w:t>。</w:t>
      </w:r>
    </w:p>
    <w:p w14:paraId="46B11B99">
      <w:pPr>
        <w:tabs>
          <w:tab w:val="left" w:pos="420"/>
        </w:tabs>
        <w:spacing w:line="580" w:lineRule="exact"/>
        <w:ind w:firstLine="640" w:firstLineChars="200"/>
        <w:jc w:val="left"/>
        <w:rPr>
          <w:rFonts w:hint="eastAsia" w:ascii="宋体" w:hAnsi="宋体" w:eastAsia="宋体" w:cs="宋体"/>
          <w:sz w:val="32"/>
          <w:szCs w:val="32"/>
        </w:rPr>
      </w:pPr>
      <w:r>
        <w:rPr>
          <w:rFonts w:hint="eastAsia" w:ascii="宋体" w:hAnsi="宋体" w:eastAsia="宋体" w:cs="宋体"/>
          <w:sz w:val="32"/>
          <w:szCs w:val="32"/>
        </w:rPr>
        <w:t>1.在听取隆尧县</w:t>
      </w:r>
      <w:r>
        <w:rPr>
          <w:rFonts w:hint="eastAsia" w:ascii="宋体" w:hAnsi="宋体" w:cs="宋体"/>
          <w:sz w:val="32"/>
          <w:szCs w:val="32"/>
          <w:lang w:eastAsia="zh-CN"/>
        </w:rPr>
        <w:t>智慧校园项目主管领导对</w:t>
      </w:r>
      <w:r>
        <w:rPr>
          <w:rFonts w:hint="eastAsia" w:ascii="宋体" w:hAnsi="宋体" w:eastAsia="宋体" w:cs="宋体"/>
          <w:sz w:val="32"/>
          <w:szCs w:val="32"/>
        </w:rPr>
        <w:t>项目实施情况汇报的基础上，核实相关资料的真实性、合法性、合理性，对项目资料中反映的或分析中发现的问题进行重点核查。</w:t>
      </w:r>
    </w:p>
    <w:p w14:paraId="583C27C0">
      <w:pPr>
        <w:tabs>
          <w:tab w:val="left" w:pos="420"/>
        </w:tabs>
        <w:spacing w:line="580" w:lineRule="exact"/>
        <w:ind w:firstLine="640" w:firstLineChars="200"/>
        <w:jc w:val="left"/>
        <w:rPr>
          <w:rFonts w:hint="eastAsia" w:ascii="宋体" w:hAnsi="宋体" w:eastAsia="宋体" w:cs="宋体"/>
          <w:sz w:val="32"/>
          <w:szCs w:val="32"/>
        </w:rPr>
      </w:pPr>
      <w:r>
        <w:rPr>
          <w:rFonts w:hint="eastAsia" w:ascii="宋体" w:hAnsi="宋体" w:eastAsia="宋体" w:cs="宋体"/>
          <w:sz w:val="32"/>
          <w:szCs w:val="32"/>
        </w:rPr>
        <w:t>2.实地检查的形式：采取座谈、现场核实、走访、调查问卷、查阅资料等方式。</w:t>
      </w:r>
    </w:p>
    <w:p w14:paraId="01E51130">
      <w:pPr>
        <w:pStyle w:val="7"/>
        <w:ind w:firstLine="640"/>
        <w:rPr>
          <w:rFonts w:hint="eastAsia" w:ascii="宋体" w:hAnsi="宋体" w:eastAsia="宋体" w:cs="宋体"/>
          <w:color w:val="auto"/>
          <w:sz w:val="32"/>
          <w:szCs w:val="32"/>
        </w:rPr>
      </w:pPr>
      <w:r>
        <w:rPr>
          <w:rFonts w:hint="eastAsia" w:ascii="宋体" w:hAnsi="宋体" w:eastAsia="宋体" w:cs="宋体"/>
          <w:color w:val="auto"/>
          <w:sz w:val="32"/>
          <w:szCs w:val="32"/>
        </w:rPr>
        <w:t>3.综合评价。评价组在全面分析整理被评价项目的相关数据资料的基础上，总结评价情况，对照评价指标和标准，进行综合评议与打分，得出评价结论，撰写评价报告。</w:t>
      </w:r>
    </w:p>
    <w:p w14:paraId="2CE6621E">
      <w:pPr>
        <w:spacing w:line="480" w:lineRule="exact"/>
        <w:ind w:firstLine="640" w:firstLineChars="200"/>
        <w:rPr>
          <w:rFonts w:hint="eastAsia" w:ascii="宋体" w:hAnsi="宋体" w:eastAsia="宋体" w:cs="宋体"/>
        </w:rPr>
      </w:pPr>
      <w:r>
        <w:rPr>
          <w:rFonts w:hint="eastAsia" w:ascii="宋体" w:hAnsi="宋体" w:eastAsia="宋体" w:cs="宋体"/>
          <w:sz w:val="32"/>
          <w:szCs w:val="32"/>
        </w:rPr>
        <w:t>4.评价等级设置为：优秀95分以上（含95分）、良好80分-94分（含80分）、合格60分-79分（含60分）、不合格（60分以下）四个等级。</w:t>
      </w:r>
    </w:p>
    <w:p w14:paraId="05A9DE94">
      <w:pPr>
        <w:pStyle w:val="7"/>
        <w:ind w:firstLine="640"/>
        <w:rPr>
          <w:rFonts w:hint="eastAsia" w:ascii="宋体" w:hAnsi="宋体" w:eastAsia="宋体" w:cs="宋体"/>
          <w:sz w:val="32"/>
          <w:szCs w:val="32"/>
        </w:rPr>
      </w:pPr>
      <w:r>
        <w:rPr>
          <w:rFonts w:hint="eastAsia" w:ascii="宋体" w:hAnsi="宋体" w:eastAsia="宋体" w:cs="宋体"/>
          <w:color w:val="auto"/>
          <w:sz w:val="32"/>
          <w:szCs w:val="32"/>
        </w:rPr>
        <w:t>《隆尧县</w:t>
      </w:r>
      <w:r>
        <w:rPr>
          <w:rFonts w:hint="eastAsia" w:cs="宋体"/>
          <w:color w:val="auto"/>
          <w:sz w:val="32"/>
          <w:szCs w:val="32"/>
          <w:lang w:eastAsia="zh-CN"/>
        </w:rPr>
        <w:t>智慧校园</w:t>
      </w:r>
      <w:r>
        <w:rPr>
          <w:rFonts w:hint="eastAsia" w:ascii="宋体" w:hAnsi="宋体" w:eastAsia="宋体" w:cs="宋体"/>
          <w:color w:val="auto"/>
          <w:sz w:val="32"/>
          <w:szCs w:val="32"/>
        </w:rPr>
        <w:t>项目》绩效自评为</w:t>
      </w:r>
      <w:r>
        <w:rPr>
          <w:rFonts w:hint="eastAsia" w:cs="宋体"/>
          <w:color w:val="auto"/>
          <w:sz w:val="32"/>
          <w:szCs w:val="32"/>
          <w:lang w:val="en-US" w:eastAsia="zh-CN"/>
        </w:rPr>
        <w:t>98</w:t>
      </w:r>
      <w:r>
        <w:rPr>
          <w:rFonts w:hint="eastAsia" w:ascii="宋体" w:hAnsi="宋体" w:eastAsia="宋体" w:cs="宋体"/>
          <w:color w:val="auto"/>
          <w:sz w:val="32"/>
          <w:szCs w:val="32"/>
        </w:rPr>
        <w:t>分，自评结果为优。</w:t>
      </w:r>
    </w:p>
    <w:p w14:paraId="39FF5464">
      <w:pPr>
        <w:ind w:firstLine="645"/>
        <w:rPr>
          <w:rFonts w:hint="eastAsia" w:ascii="宋体" w:hAnsi="宋体" w:eastAsia="宋体" w:cs="宋体"/>
          <w:sz w:val="30"/>
          <w:szCs w:val="30"/>
        </w:rPr>
      </w:pPr>
    </w:p>
    <w:bookmarkEnd w:id="49"/>
    <w:bookmarkEnd w:id="50"/>
    <w:bookmarkEnd w:id="51"/>
    <w:bookmarkEnd w:id="52"/>
    <w:bookmarkEnd w:id="53"/>
    <w:bookmarkEnd w:id="54"/>
    <w:bookmarkEnd w:id="55"/>
    <w:bookmarkEnd w:id="56"/>
    <w:bookmarkEnd w:id="57"/>
    <w:bookmarkEnd w:id="58"/>
    <w:p w14:paraId="42605FB1">
      <w:pPr>
        <w:spacing w:line="580" w:lineRule="exact"/>
        <w:ind w:firstLine="602" w:firstLineChars="200"/>
        <w:outlineLvl w:val="0"/>
        <w:rPr>
          <w:rFonts w:hint="eastAsia" w:ascii="宋体" w:hAnsi="宋体" w:eastAsia="宋体" w:cs="宋体"/>
          <w:sz w:val="30"/>
          <w:szCs w:val="30"/>
        </w:rPr>
      </w:pPr>
      <w:bookmarkStart w:id="69" w:name="_Toc5623"/>
      <w:bookmarkStart w:id="70" w:name="_Toc30508"/>
      <w:bookmarkStart w:id="71" w:name="_Toc21014"/>
      <w:bookmarkStart w:id="72" w:name="_Toc17025"/>
      <w:bookmarkStart w:id="73" w:name="_Toc22222"/>
      <w:bookmarkStart w:id="74" w:name="_Toc6105"/>
      <w:bookmarkStart w:id="75" w:name="_Toc20748"/>
      <w:bookmarkStart w:id="76" w:name="_Toc18842"/>
      <w:bookmarkStart w:id="77" w:name="_Toc10113"/>
      <w:bookmarkStart w:id="78" w:name="_Toc28621"/>
      <w:r>
        <w:rPr>
          <w:rFonts w:hint="eastAsia" w:ascii="宋体" w:hAnsi="宋体" w:eastAsia="宋体" w:cs="宋体"/>
          <w:b/>
          <w:bCs/>
          <w:sz w:val="30"/>
          <w:szCs w:val="30"/>
        </w:rPr>
        <w:t>四、绩效评价指标体系及得分情况</w:t>
      </w:r>
      <w:bookmarkEnd w:id="69"/>
      <w:bookmarkEnd w:id="70"/>
      <w:bookmarkEnd w:id="71"/>
      <w:bookmarkEnd w:id="72"/>
      <w:bookmarkEnd w:id="73"/>
      <w:bookmarkEnd w:id="74"/>
      <w:bookmarkEnd w:id="75"/>
      <w:bookmarkEnd w:id="76"/>
      <w:bookmarkEnd w:id="77"/>
      <w:bookmarkEnd w:id="78"/>
    </w:p>
    <w:p w14:paraId="30082D3E">
      <w:pPr>
        <w:ind w:firstLine="2229" w:firstLineChars="740"/>
        <w:rPr>
          <w:rFonts w:hint="eastAsia" w:ascii="宋体" w:hAnsi="宋体" w:eastAsia="宋体" w:cs="宋体"/>
          <w:b/>
          <w:color w:val="000000"/>
          <w:kern w:val="0"/>
          <w:sz w:val="30"/>
          <w:szCs w:val="30"/>
        </w:rPr>
      </w:pPr>
      <w:r>
        <w:rPr>
          <w:rFonts w:hint="eastAsia" w:ascii="宋体" w:hAnsi="宋体" w:eastAsia="宋体" w:cs="宋体"/>
          <w:b/>
          <w:color w:val="000000"/>
          <w:kern w:val="0"/>
          <w:sz w:val="30"/>
          <w:szCs w:val="30"/>
          <w:lang w:val="en-US" w:eastAsia="zh-CN"/>
        </w:rPr>
        <w:t>智慧校园</w:t>
      </w:r>
      <w:r>
        <w:rPr>
          <w:rFonts w:hint="eastAsia" w:ascii="宋体" w:hAnsi="宋体" w:eastAsia="宋体" w:cs="宋体"/>
          <w:b/>
          <w:color w:val="000000"/>
          <w:kern w:val="0"/>
          <w:sz w:val="30"/>
          <w:szCs w:val="30"/>
        </w:rPr>
        <w:t>项目重点绩效评价指标表</w:t>
      </w:r>
    </w:p>
    <w:tbl>
      <w:tblPr>
        <w:tblStyle w:val="8"/>
        <w:tblW w:w="9098" w:type="dxa"/>
        <w:tblInd w:w="-130" w:type="dxa"/>
        <w:tblLayout w:type="fixed"/>
        <w:tblCellMar>
          <w:top w:w="0" w:type="dxa"/>
          <w:left w:w="0" w:type="dxa"/>
          <w:bottom w:w="0" w:type="dxa"/>
          <w:right w:w="0" w:type="dxa"/>
        </w:tblCellMar>
      </w:tblPr>
      <w:tblGrid>
        <w:gridCol w:w="1276"/>
        <w:gridCol w:w="491"/>
        <w:gridCol w:w="2498"/>
        <w:gridCol w:w="740"/>
        <w:gridCol w:w="3382"/>
        <w:gridCol w:w="711"/>
      </w:tblGrid>
      <w:tr w14:paraId="28BC94A0">
        <w:tblPrEx>
          <w:tblCellMar>
            <w:top w:w="0" w:type="dxa"/>
            <w:left w:w="0" w:type="dxa"/>
            <w:bottom w:w="0" w:type="dxa"/>
            <w:right w:w="0" w:type="dxa"/>
          </w:tblCellMar>
        </w:tblPrEx>
        <w:trPr>
          <w:trHeight w:val="590" w:hRule="atLeast"/>
        </w:trPr>
        <w:tc>
          <w:tcPr>
            <w:tcW w:w="1276" w:type="dxa"/>
            <w:tcBorders>
              <w:top w:val="single" w:color="000000" w:sz="4" w:space="0"/>
              <w:left w:val="single" w:color="000000" w:sz="4" w:space="0"/>
              <w:bottom w:val="single" w:color="000000" w:sz="4" w:space="0"/>
              <w:right w:val="nil"/>
            </w:tcBorders>
            <w:noWrap/>
            <w:tcMar>
              <w:top w:w="12" w:type="dxa"/>
              <w:left w:w="12" w:type="dxa"/>
              <w:right w:w="12" w:type="dxa"/>
            </w:tcMar>
            <w:vAlign w:val="center"/>
          </w:tcPr>
          <w:p w14:paraId="0840A1D5">
            <w:pPr>
              <w:widowControl/>
              <w:jc w:val="left"/>
              <w:textAlignment w:val="center"/>
              <w:rPr>
                <w:rFonts w:hint="eastAsia" w:ascii="宋体" w:hAnsi="宋体" w:eastAsia="宋体" w:cs="宋体"/>
                <w:b/>
                <w:color w:val="000000"/>
                <w:sz w:val="21"/>
                <w:szCs w:val="21"/>
              </w:rPr>
            </w:pPr>
            <w:r>
              <w:rPr>
                <w:rFonts w:hint="eastAsia" w:ascii="宋体" w:hAnsi="宋体" w:eastAsia="宋体" w:cs="宋体"/>
                <w:b/>
                <w:color w:val="000000"/>
                <w:kern w:val="0"/>
                <w:sz w:val="21"/>
                <w:szCs w:val="21"/>
              </w:rPr>
              <w:t>一级指标</w:t>
            </w:r>
          </w:p>
        </w:tc>
        <w:tc>
          <w:tcPr>
            <w:tcW w:w="49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4424A0B7">
            <w:pPr>
              <w:widowControl/>
              <w:jc w:val="left"/>
              <w:textAlignment w:val="center"/>
              <w:rPr>
                <w:rFonts w:hint="eastAsia" w:ascii="宋体" w:hAnsi="宋体" w:eastAsia="宋体" w:cs="宋体"/>
                <w:b/>
                <w:color w:val="000000"/>
                <w:sz w:val="21"/>
                <w:szCs w:val="21"/>
              </w:rPr>
            </w:pPr>
            <w:r>
              <w:rPr>
                <w:rFonts w:hint="eastAsia" w:ascii="宋体" w:hAnsi="宋体" w:eastAsia="宋体" w:cs="宋体"/>
                <w:b/>
                <w:color w:val="000000"/>
                <w:kern w:val="0"/>
                <w:sz w:val="21"/>
                <w:szCs w:val="21"/>
              </w:rPr>
              <w:t>二级指标</w:t>
            </w:r>
          </w:p>
        </w:tc>
        <w:tc>
          <w:tcPr>
            <w:tcW w:w="249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0AD94831">
            <w:pPr>
              <w:widowControl/>
              <w:jc w:val="left"/>
              <w:textAlignment w:val="center"/>
              <w:rPr>
                <w:rFonts w:hint="eastAsia" w:ascii="宋体" w:hAnsi="宋体" w:eastAsia="宋体" w:cs="宋体"/>
                <w:b/>
                <w:color w:val="000000"/>
                <w:sz w:val="21"/>
                <w:szCs w:val="21"/>
              </w:rPr>
            </w:pPr>
            <w:r>
              <w:rPr>
                <w:rFonts w:hint="eastAsia" w:ascii="宋体" w:hAnsi="宋体" w:eastAsia="宋体" w:cs="宋体"/>
                <w:b/>
                <w:color w:val="000000"/>
                <w:kern w:val="0"/>
                <w:sz w:val="21"/>
                <w:szCs w:val="21"/>
              </w:rPr>
              <w:t>三级指标</w:t>
            </w:r>
          </w:p>
        </w:tc>
        <w:tc>
          <w:tcPr>
            <w:tcW w:w="740" w:type="dxa"/>
            <w:vMerge w:val="restart"/>
            <w:tcBorders>
              <w:top w:val="single" w:color="000000" w:sz="4" w:space="0"/>
              <w:left w:val="nil"/>
              <w:bottom w:val="single" w:color="000000" w:sz="4" w:space="0"/>
              <w:right w:val="single" w:color="000000" w:sz="4" w:space="0"/>
            </w:tcBorders>
            <w:noWrap/>
            <w:tcMar>
              <w:top w:w="12" w:type="dxa"/>
              <w:left w:w="12" w:type="dxa"/>
              <w:right w:w="12" w:type="dxa"/>
            </w:tcMar>
            <w:vAlign w:val="center"/>
          </w:tcPr>
          <w:p w14:paraId="6D84019D">
            <w:pPr>
              <w:widowControl/>
              <w:jc w:val="left"/>
              <w:textAlignment w:val="center"/>
              <w:rPr>
                <w:rFonts w:hint="eastAsia" w:ascii="宋体" w:hAnsi="宋体" w:eastAsia="宋体" w:cs="宋体"/>
                <w:b/>
                <w:color w:val="000000"/>
                <w:sz w:val="21"/>
                <w:szCs w:val="21"/>
              </w:rPr>
            </w:pPr>
            <w:r>
              <w:rPr>
                <w:rFonts w:hint="eastAsia" w:ascii="宋体" w:hAnsi="宋体" w:eastAsia="宋体" w:cs="宋体"/>
                <w:b/>
                <w:color w:val="000000"/>
                <w:kern w:val="0"/>
                <w:sz w:val="21"/>
                <w:szCs w:val="21"/>
              </w:rPr>
              <w:t>分值</w:t>
            </w:r>
          </w:p>
        </w:tc>
        <w:tc>
          <w:tcPr>
            <w:tcW w:w="3382" w:type="dxa"/>
            <w:vMerge w:val="restart"/>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0832CDCD">
            <w:pPr>
              <w:widowControl/>
              <w:jc w:val="left"/>
              <w:textAlignment w:val="center"/>
              <w:rPr>
                <w:rFonts w:hint="eastAsia" w:ascii="宋体" w:hAnsi="宋体" w:eastAsia="宋体" w:cs="宋体"/>
                <w:b/>
                <w:color w:val="000000"/>
                <w:sz w:val="21"/>
                <w:szCs w:val="21"/>
              </w:rPr>
            </w:pPr>
            <w:r>
              <w:rPr>
                <w:rFonts w:hint="eastAsia" w:ascii="宋体" w:hAnsi="宋体" w:eastAsia="宋体" w:cs="宋体"/>
                <w:b/>
                <w:color w:val="000000"/>
                <w:kern w:val="0"/>
                <w:sz w:val="21"/>
                <w:szCs w:val="21"/>
              </w:rPr>
              <w:t>指标说明</w:t>
            </w:r>
          </w:p>
        </w:tc>
        <w:tc>
          <w:tcPr>
            <w:tcW w:w="711" w:type="dxa"/>
            <w:vMerge w:val="restart"/>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7982CF2A">
            <w:pPr>
              <w:widowControl/>
              <w:jc w:val="left"/>
              <w:textAlignment w:val="center"/>
              <w:rPr>
                <w:rFonts w:hint="eastAsia" w:ascii="宋体" w:hAnsi="宋体" w:eastAsia="宋体" w:cs="宋体"/>
                <w:b/>
                <w:color w:val="000000"/>
                <w:sz w:val="21"/>
                <w:szCs w:val="21"/>
              </w:rPr>
            </w:pPr>
            <w:r>
              <w:rPr>
                <w:rFonts w:hint="eastAsia" w:ascii="宋体" w:hAnsi="宋体" w:eastAsia="宋体" w:cs="宋体"/>
                <w:b/>
                <w:color w:val="000000"/>
                <w:kern w:val="0"/>
                <w:sz w:val="21"/>
                <w:szCs w:val="21"/>
              </w:rPr>
              <w:t>得分</w:t>
            </w:r>
          </w:p>
        </w:tc>
      </w:tr>
      <w:tr w14:paraId="30DD84FB">
        <w:tblPrEx>
          <w:tblCellMar>
            <w:top w:w="0" w:type="dxa"/>
            <w:left w:w="0" w:type="dxa"/>
            <w:bottom w:w="0" w:type="dxa"/>
            <w:right w:w="0" w:type="dxa"/>
          </w:tblCellMar>
        </w:tblPrEx>
        <w:trPr>
          <w:trHeight w:val="348" w:hRule="atLeast"/>
        </w:trPr>
        <w:tc>
          <w:tcPr>
            <w:tcW w:w="127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476D6F94">
            <w:pPr>
              <w:widowControl/>
              <w:jc w:val="left"/>
              <w:textAlignment w:val="center"/>
              <w:rPr>
                <w:rFonts w:hint="eastAsia" w:ascii="宋体" w:hAnsi="宋体" w:eastAsia="宋体" w:cs="宋体"/>
                <w:b/>
                <w:color w:val="000000"/>
                <w:sz w:val="21"/>
                <w:szCs w:val="21"/>
              </w:rPr>
            </w:pPr>
            <w:r>
              <w:rPr>
                <w:rFonts w:hint="eastAsia" w:ascii="宋体" w:hAnsi="宋体" w:eastAsia="宋体" w:cs="宋体"/>
                <w:b/>
                <w:color w:val="000000"/>
                <w:kern w:val="0"/>
                <w:sz w:val="21"/>
                <w:szCs w:val="21"/>
              </w:rPr>
              <w:t>名称</w:t>
            </w:r>
          </w:p>
        </w:tc>
        <w:tc>
          <w:tcPr>
            <w:tcW w:w="49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23BF1B2C">
            <w:pPr>
              <w:widowControl/>
              <w:jc w:val="left"/>
              <w:textAlignment w:val="center"/>
              <w:rPr>
                <w:rFonts w:hint="eastAsia" w:ascii="宋体" w:hAnsi="宋体" w:eastAsia="宋体" w:cs="宋体"/>
                <w:b/>
                <w:color w:val="000000"/>
                <w:sz w:val="21"/>
                <w:szCs w:val="21"/>
              </w:rPr>
            </w:pPr>
            <w:r>
              <w:rPr>
                <w:rFonts w:hint="eastAsia" w:ascii="宋体" w:hAnsi="宋体" w:eastAsia="宋体" w:cs="宋体"/>
                <w:b/>
                <w:color w:val="000000"/>
                <w:kern w:val="0"/>
                <w:sz w:val="21"/>
                <w:szCs w:val="21"/>
              </w:rPr>
              <w:t>名称</w:t>
            </w:r>
          </w:p>
        </w:tc>
        <w:tc>
          <w:tcPr>
            <w:tcW w:w="249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4E5100EA">
            <w:pPr>
              <w:widowControl/>
              <w:jc w:val="left"/>
              <w:textAlignment w:val="center"/>
              <w:rPr>
                <w:rFonts w:hint="eastAsia" w:ascii="宋体" w:hAnsi="宋体" w:eastAsia="宋体" w:cs="宋体"/>
                <w:b/>
                <w:color w:val="000000"/>
                <w:sz w:val="21"/>
                <w:szCs w:val="21"/>
              </w:rPr>
            </w:pPr>
            <w:r>
              <w:rPr>
                <w:rFonts w:hint="eastAsia" w:ascii="宋体" w:hAnsi="宋体" w:eastAsia="宋体" w:cs="宋体"/>
                <w:b/>
                <w:color w:val="000000"/>
                <w:kern w:val="0"/>
                <w:sz w:val="21"/>
                <w:szCs w:val="21"/>
              </w:rPr>
              <w:t>名称</w:t>
            </w:r>
          </w:p>
        </w:tc>
        <w:tc>
          <w:tcPr>
            <w:tcW w:w="740" w:type="dxa"/>
            <w:vMerge w:val="continue"/>
            <w:tcBorders>
              <w:top w:val="single" w:color="000000" w:sz="4" w:space="0"/>
              <w:left w:val="nil"/>
              <w:bottom w:val="single" w:color="000000" w:sz="4" w:space="0"/>
              <w:right w:val="single" w:color="000000" w:sz="4" w:space="0"/>
            </w:tcBorders>
            <w:noWrap/>
            <w:tcMar>
              <w:top w:w="12" w:type="dxa"/>
              <w:left w:w="12" w:type="dxa"/>
              <w:right w:w="12" w:type="dxa"/>
            </w:tcMar>
            <w:vAlign w:val="center"/>
          </w:tcPr>
          <w:p w14:paraId="698EB16D">
            <w:pPr>
              <w:jc w:val="left"/>
              <w:rPr>
                <w:rFonts w:hint="eastAsia" w:ascii="宋体" w:hAnsi="宋体" w:eastAsia="宋体" w:cs="宋体"/>
                <w:b/>
                <w:color w:val="000000"/>
                <w:sz w:val="21"/>
                <w:szCs w:val="21"/>
              </w:rPr>
            </w:pPr>
          </w:p>
        </w:tc>
        <w:tc>
          <w:tcPr>
            <w:tcW w:w="3382"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18F16839">
            <w:pPr>
              <w:jc w:val="left"/>
              <w:rPr>
                <w:rFonts w:hint="eastAsia" w:ascii="宋体" w:hAnsi="宋体" w:eastAsia="宋体" w:cs="宋体"/>
                <w:b/>
                <w:color w:val="000000"/>
                <w:sz w:val="21"/>
                <w:szCs w:val="21"/>
              </w:rPr>
            </w:pPr>
          </w:p>
        </w:tc>
        <w:tc>
          <w:tcPr>
            <w:tcW w:w="711"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12762745">
            <w:pPr>
              <w:jc w:val="left"/>
              <w:rPr>
                <w:rFonts w:hint="eastAsia" w:ascii="宋体" w:hAnsi="宋体" w:eastAsia="宋体" w:cs="宋体"/>
                <w:b/>
                <w:color w:val="000000"/>
                <w:sz w:val="21"/>
                <w:szCs w:val="21"/>
              </w:rPr>
            </w:pPr>
          </w:p>
        </w:tc>
      </w:tr>
      <w:tr w14:paraId="0FD9280E">
        <w:tblPrEx>
          <w:tblCellMar>
            <w:top w:w="0" w:type="dxa"/>
            <w:left w:w="0" w:type="dxa"/>
            <w:bottom w:w="0" w:type="dxa"/>
            <w:right w:w="0" w:type="dxa"/>
          </w:tblCellMar>
        </w:tblPrEx>
        <w:trPr>
          <w:trHeight w:val="666" w:hRule="atLeast"/>
        </w:trPr>
        <w:tc>
          <w:tcPr>
            <w:tcW w:w="1276" w:type="dxa"/>
            <w:vMerge w:val="restart"/>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626C56DC">
            <w:pPr>
              <w:widowControl/>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rPr>
              <w:t>“工作活动”设置（*分）</w:t>
            </w:r>
          </w:p>
        </w:tc>
        <w:tc>
          <w:tcPr>
            <w:tcW w:w="491" w:type="dxa"/>
            <w:vMerge w:val="restart"/>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2C4ABD91">
            <w:pPr>
              <w:widowControl/>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rPr>
              <w:t>项目立项情况</w:t>
            </w:r>
          </w:p>
        </w:tc>
        <w:tc>
          <w:tcPr>
            <w:tcW w:w="249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42785286">
            <w:pPr>
              <w:widowControl/>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rPr>
              <w:t>是否符合政府经济和社会总体发展规划</w:t>
            </w:r>
          </w:p>
        </w:tc>
        <w:tc>
          <w:tcPr>
            <w:tcW w:w="74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5453A11E">
            <w:pPr>
              <w:widowControl/>
              <w:jc w:val="center"/>
              <w:textAlignment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5</w:t>
            </w:r>
          </w:p>
        </w:tc>
        <w:tc>
          <w:tcPr>
            <w:tcW w:w="338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20D9B467">
            <w:pPr>
              <w:widowControl/>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rPr>
              <w:t>有政府相关政策、规划、任务等文件得</w:t>
            </w:r>
            <w:r>
              <w:rPr>
                <w:rFonts w:hint="eastAsia" w:ascii="宋体" w:hAnsi="宋体" w:cs="宋体"/>
                <w:color w:val="000000"/>
                <w:kern w:val="0"/>
                <w:sz w:val="21"/>
                <w:szCs w:val="21"/>
                <w:lang w:val="en-US" w:eastAsia="zh-CN"/>
              </w:rPr>
              <w:t>1</w:t>
            </w:r>
            <w:r>
              <w:rPr>
                <w:rFonts w:hint="eastAsia" w:ascii="宋体" w:hAnsi="宋体" w:eastAsia="宋体" w:cs="宋体"/>
                <w:color w:val="000000"/>
                <w:kern w:val="0"/>
                <w:sz w:val="21"/>
                <w:szCs w:val="21"/>
              </w:rPr>
              <w:t>分；无不得分。</w:t>
            </w:r>
          </w:p>
        </w:tc>
        <w:tc>
          <w:tcPr>
            <w:tcW w:w="71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426B8BD1">
            <w:pPr>
              <w:widowControl/>
              <w:jc w:val="center"/>
              <w:textAlignment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5</w:t>
            </w:r>
          </w:p>
        </w:tc>
      </w:tr>
      <w:tr w14:paraId="6075A8DF">
        <w:tblPrEx>
          <w:tblCellMar>
            <w:top w:w="0" w:type="dxa"/>
            <w:left w:w="0" w:type="dxa"/>
            <w:bottom w:w="0" w:type="dxa"/>
            <w:right w:w="0" w:type="dxa"/>
          </w:tblCellMar>
        </w:tblPrEx>
        <w:trPr>
          <w:trHeight w:val="1174" w:hRule="atLeast"/>
        </w:trPr>
        <w:tc>
          <w:tcPr>
            <w:tcW w:w="1276"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29F4D970">
            <w:pPr>
              <w:jc w:val="center"/>
              <w:rPr>
                <w:rFonts w:hint="eastAsia" w:ascii="宋体" w:hAnsi="宋体" w:eastAsia="宋体" w:cs="宋体"/>
                <w:color w:val="000000"/>
                <w:sz w:val="21"/>
                <w:szCs w:val="21"/>
              </w:rPr>
            </w:pPr>
          </w:p>
        </w:tc>
        <w:tc>
          <w:tcPr>
            <w:tcW w:w="491"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36A2F3C7">
            <w:pPr>
              <w:jc w:val="center"/>
              <w:rPr>
                <w:rFonts w:hint="eastAsia" w:ascii="宋体" w:hAnsi="宋体" w:eastAsia="宋体" w:cs="宋体"/>
                <w:color w:val="000000"/>
                <w:sz w:val="21"/>
                <w:szCs w:val="21"/>
              </w:rPr>
            </w:pPr>
          </w:p>
        </w:tc>
        <w:tc>
          <w:tcPr>
            <w:tcW w:w="249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12299A50">
            <w:pPr>
              <w:widowControl/>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rPr>
              <w:t>项目活动与职责相关性</w:t>
            </w:r>
          </w:p>
        </w:tc>
        <w:tc>
          <w:tcPr>
            <w:tcW w:w="74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68A8645A">
            <w:pPr>
              <w:widowControl/>
              <w:jc w:val="center"/>
              <w:textAlignment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5</w:t>
            </w:r>
          </w:p>
        </w:tc>
        <w:tc>
          <w:tcPr>
            <w:tcW w:w="338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65094315">
            <w:pPr>
              <w:widowControl/>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rPr>
              <w:t>工作活动与部门职责、工作规划和重点工作相关，工作活动项下确定的预算项目合理，与工作活动密切相关，工作活动和项目预算安排合理，得</w:t>
            </w:r>
            <w:r>
              <w:rPr>
                <w:rFonts w:hint="eastAsia" w:ascii="宋体" w:hAnsi="宋体" w:cs="宋体"/>
                <w:color w:val="000000"/>
                <w:kern w:val="0"/>
                <w:sz w:val="21"/>
                <w:szCs w:val="21"/>
                <w:lang w:val="en-US" w:eastAsia="zh-CN"/>
              </w:rPr>
              <w:t>1</w:t>
            </w:r>
            <w:r>
              <w:rPr>
                <w:rFonts w:hint="eastAsia" w:ascii="宋体" w:hAnsi="宋体" w:eastAsia="宋体" w:cs="宋体"/>
                <w:color w:val="000000"/>
                <w:kern w:val="0"/>
                <w:sz w:val="21"/>
                <w:szCs w:val="21"/>
              </w:rPr>
              <w:t>分；否则不得分。</w:t>
            </w:r>
          </w:p>
        </w:tc>
        <w:tc>
          <w:tcPr>
            <w:tcW w:w="71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2F70837E">
            <w:pPr>
              <w:widowControl/>
              <w:jc w:val="center"/>
              <w:textAlignment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5</w:t>
            </w:r>
          </w:p>
        </w:tc>
      </w:tr>
      <w:tr w14:paraId="7C41A9A7">
        <w:tblPrEx>
          <w:tblCellMar>
            <w:top w:w="0" w:type="dxa"/>
            <w:left w:w="0" w:type="dxa"/>
            <w:bottom w:w="0" w:type="dxa"/>
            <w:right w:w="0" w:type="dxa"/>
          </w:tblCellMar>
        </w:tblPrEx>
        <w:trPr>
          <w:trHeight w:val="569" w:hRule="atLeast"/>
        </w:trPr>
        <w:tc>
          <w:tcPr>
            <w:tcW w:w="1276"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6C1315F9">
            <w:pPr>
              <w:jc w:val="center"/>
              <w:rPr>
                <w:rFonts w:hint="eastAsia" w:ascii="宋体" w:hAnsi="宋体" w:eastAsia="宋体" w:cs="宋体"/>
                <w:color w:val="000000"/>
                <w:sz w:val="21"/>
                <w:szCs w:val="21"/>
              </w:rPr>
            </w:pPr>
          </w:p>
        </w:tc>
        <w:tc>
          <w:tcPr>
            <w:tcW w:w="491" w:type="dxa"/>
            <w:vMerge w:val="restart"/>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1A2FD6D8">
            <w:pPr>
              <w:widowControl/>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rPr>
              <w:t>绩效自评情况</w:t>
            </w:r>
          </w:p>
        </w:tc>
        <w:tc>
          <w:tcPr>
            <w:tcW w:w="249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4062DDDE">
            <w:pPr>
              <w:widowControl/>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rPr>
              <w:t>项目设立绩效目标合理性</w:t>
            </w:r>
          </w:p>
        </w:tc>
        <w:tc>
          <w:tcPr>
            <w:tcW w:w="74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7C73A938">
            <w:pPr>
              <w:widowControl/>
              <w:jc w:val="center"/>
              <w:textAlignment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5</w:t>
            </w:r>
          </w:p>
        </w:tc>
        <w:tc>
          <w:tcPr>
            <w:tcW w:w="338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181B2C9F">
            <w:pPr>
              <w:widowControl/>
              <w:jc w:val="center"/>
              <w:textAlignment w:val="center"/>
              <w:rPr>
                <w:rFonts w:hint="eastAsia" w:ascii="宋体" w:hAnsi="宋体" w:eastAsia="宋体" w:cs="宋体"/>
                <w:color w:val="000000"/>
                <w:kern w:val="0"/>
                <w:sz w:val="21"/>
                <w:szCs w:val="21"/>
                <w:lang w:eastAsia="zh-CN"/>
              </w:rPr>
            </w:pPr>
            <w:r>
              <w:rPr>
                <w:rFonts w:hint="eastAsia" w:ascii="宋体" w:hAnsi="宋体" w:eastAsia="宋体" w:cs="宋体"/>
                <w:color w:val="000000"/>
                <w:kern w:val="0"/>
                <w:sz w:val="21"/>
                <w:szCs w:val="21"/>
              </w:rPr>
              <w:t>①是否将项目绩效目标细化分解为具体的绩效指标；</w:t>
            </w:r>
          </w:p>
          <w:p w14:paraId="7C974BE4">
            <w:pPr>
              <w:widowControl/>
              <w:jc w:val="center"/>
              <w:textAlignment w:val="center"/>
              <w:rPr>
                <w:rFonts w:hint="eastAsia" w:ascii="宋体" w:hAnsi="宋体" w:eastAsia="宋体" w:cs="宋体"/>
                <w:color w:val="000000"/>
                <w:kern w:val="0"/>
                <w:sz w:val="21"/>
                <w:szCs w:val="21"/>
                <w:lang w:eastAsia="zh-CN"/>
              </w:rPr>
            </w:pPr>
            <w:r>
              <w:rPr>
                <w:rFonts w:hint="eastAsia" w:ascii="宋体" w:hAnsi="宋体" w:eastAsia="宋体" w:cs="宋体"/>
                <w:color w:val="000000"/>
                <w:kern w:val="0"/>
                <w:sz w:val="21"/>
                <w:szCs w:val="21"/>
              </w:rPr>
              <w:t>②是否通过清晰、可衡量的指标值予以体现；</w:t>
            </w:r>
          </w:p>
          <w:p w14:paraId="5707F4B0">
            <w:pPr>
              <w:widowControl/>
              <w:jc w:val="center"/>
              <w:textAlignment w:val="center"/>
              <w:rPr>
                <w:rFonts w:hint="eastAsia" w:ascii="宋体" w:hAnsi="宋体" w:eastAsia="宋体" w:cs="宋体"/>
                <w:color w:val="000000"/>
                <w:kern w:val="0"/>
                <w:sz w:val="21"/>
                <w:szCs w:val="21"/>
                <w:lang w:eastAsia="zh-CN"/>
              </w:rPr>
            </w:pPr>
            <w:r>
              <w:rPr>
                <w:rFonts w:hint="eastAsia" w:ascii="宋体" w:hAnsi="宋体" w:eastAsia="宋体" w:cs="宋体"/>
                <w:color w:val="000000"/>
                <w:kern w:val="0"/>
                <w:sz w:val="21"/>
                <w:szCs w:val="21"/>
              </w:rPr>
              <w:t>③是否与项目年度任务数或计划数相对应；</w:t>
            </w:r>
          </w:p>
          <w:p w14:paraId="27D2D5A5">
            <w:pPr>
              <w:widowControl/>
              <w:jc w:val="center"/>
              <w:textAlignment w:val="center"/>
              <w:rPr>
                <w:rFonts w:hint="eastAsia" w:ascii="宋体" w:hAnsi="宋体" w:eastAsia="宋体" w:cs="宋体"/>
                <w:color w:val="000000"/>
                <w:kern w:val="0"/>
                <w:sz w:val="21"/>
                <w:szCs w:val="21"/>
                <w:lang w:eastAsia="zh-CN"/>
              </w:rPr>
            </w:pPr>
            <w:r>
              <w:rPr>
                <w:rFonts w:hint="eastAsia" w:ascii="宋体" w:hAnsi="宋体" w:eastAsia="宋体" w:cs="宋体"/>
                <w:color w:val="000000"/>
                <w:kern w:val="0"/>
                <w:sz w:val="21"/>
                <w:szCs w:val="21"/>
              </w:rPr>
              <w:t>④是否与预算确定的项目投资额或资金量相匹配。</w:t>
            </w:r>
          </w:p>
          <w:p w14:paraId="3FAC8D9B">
            <w:pPr>
              <w:widowControl/>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rPr>
              <w:t>缺少一项扣</w:t>
            </w:r>
            <w:r>
              <w:rPr>
                <w:rFonts w:hint="eastAsia" w:ascii="宋体" w:hAnsi="宋体" w:cs="宋体"/>
                <w:color w:val="000000"/>
                <w:kern w:val="0"/>
                <w:sz w:val="21"/>
                <w:szCs w:val="21"/>
                <w:lang w:val="en-US" w:eastAsia="zh-CN"/>
              </w:rPr>
              <w:t>1</w:t>
            </w:r>
            <w:r>
              <w:rPr>
                <w:rFonts w:hint="eastAsia" w:ascii="宋体" w:hAnsi="宋体" w:eastAsia="宋体" w:cs="宋体"/>
                <w:color w:val="000000"/>
                <w:kern w:val="0"/>
                <w:sz w:val="21"/>
                <w:szCs w:val="21"/>
              </w:rPr>
              <w:t>分,扣完为止。</w:t>
            </w:r>
          </w:p>
        </w:tc>
        <w:tc>
          <w:tcPr>
            <w:tcW w:w="71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56014CA7">
            <w:pPr>
              <w:widowControl/>
              <w:jc w:val="center"/>
              <w:textAlignment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5</w:t>
            </w:r>
          </w:p>
        </w:tc>
      </w:tr>
      <w:tr w14:paraId="65847B4C">
        <w:tblPrEx>
          <w:tblCellMar>
            <w:top w:w="0" w:type="dxa"/>
            <w:left w:w="0" w:type="dxa"/>
            <w:bottom w:w="0" w:type="dxa"/>
            <w:right w:w="0" w:type="dxa"/>
          </w:tblCellMar>
        </w:tblPrEx>
        <w:trPr>
          <w:trHeight w:val="1472" w:hRule="atLeast"/>
        </w:trPr>
        <w:tc>
          <w:tcPr>
            <w:tcW w:w="1276"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39AC7BF4">
            <w:pPr>
              <w:jc w:val="center"/>
              <w:rPr>
                <w:rFonts w:hint="eastAsia" w:ascii="宋体" w:hAnsi="宋体" w:eastAsia="宋体" w:cs="宋体"/>
                <w:color w:val="000000"/>
                <w:sz w:val="21"/>
                <w:szCs w:val="21"/>
              </w:rPr>
            </w:pPr>
          </w:p>
        </w:tc>
        <w:tc>
          <w:tcPr>
            <w:tcW w:w="491"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37A4924C">
            <w:pPr>
              <w:jc w:val="center"/>
              <w:rPr>
                <w:rFonts w:hint="eastAsia" w:ascii="宋体" w:hAnsi="宋体" w:eastAsia="宋体" w:cs="宋体"/>
                <w:color w:val="000000"/>
                <w:sz w:val="21"/>
                <w:szCs w:val="21"/>
              </w:rPr>
            </w:pPr>
          </w:p>
        </w:tc>
        <w:tc>
          <w:tcPr>
            <w:tcW w:w="249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3ED94C38">
            <w:pPr>
              <w:widowControl/>
              <w:ind w:firstLine="630" w:firstLineChars="30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rPr>
              <w:t>自评报告情况</w:t>
            </w:r>
          </w:p>
        </w:tc>
        <w:tc>
          <w:tcPr>
            <w:tcW w:w="74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03130668">
            <w:pPr>
              <w:widowControl/>
              <w:jc w:val="center"/>
              <w:textAlignment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5</w:t>
            </w:r>
          </w:p>
        </w:tc>
        <w:tc>
          <w:tcPr>
            <w:tcW w:w="338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7293D179">
            <w:pPr>
              <w:widowControl/>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rPr>
              <w:t>是否有绩效评价报告，报告是否依据充分、内容真实完整；数据准确、分析透彻。每存在一项问题扣</w:t>
            </w:r>
            <w:r>
              <w:rPr>
                <w:rFonts w:hint="eastAsia" w:ascii="宋体" w:hAnsi="宋体" w:cs="宋体"/>
                <w:color w:val="000000"/>
                <w:kern w:val="0"/>
                <w:sz w:val="21"/>
                <w:szCs w:val="21"/>
                <w:lang w:val="en-US" w:eastAsia="zh-CN"/>
              </w:rPr>
              <w:t>1</w:t>
            </w:r>
            <w:r>
              <w:rPr>
                <w:rFonts w:hint="eastAsia" w:ascii="宋体" w:hAnsi="宋体" w:eastAsia="宋体" w:cs="宋体"/>
                <w:color w:val="000000"/>
                <w:kern w:val="0"/>
                <w:sz w:val="21"/>
                <w:szCs w:val="21"/>
              </w:rPr>
              <w:t>分，扣完为止。</w:t>
            </w:r>
          </w:p>
        </w:tc>
        <w:tc>
          <w:tcPr>
            <w:tcW w:w="71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45475507">
            <w:pPr>
              <w:widowControl/>
              <w:jc w:val="center"/>
              <w:textAlignment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5</w:t>
            </w:r>
          </w:p>
        </w:tc>
      </w:tr>
      <w:tr w14:paraId="50A014EB">
        <w:tblPrEx>
          <w:tblCellMar>
            <w:top w:w="0" w:type="dxa"/>
            <w:left w:w="0" w:type="dxa"/>
            <w:bottom w:w="0" w:type="dxa"/>
            <w:right w:w="0" w:type="dxa"/>
          </w:tblCellMar>
        </w:tblPrEx>
        <w:trPr>
          <w:trHeight w:val="1029" w:hRule="atLeast"/>
        </w:trPr>
        <w:tc>
          <w:tcPr>
            <w:tcW w:w="1276" w:type="dxa"/>
            <w:vMerge w:val="restart"/>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20907012">
            <w:pPr>
              <w:widowControl/>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rPr>
              <w:t>“工作活动”管理（*分）</w:t>
            </w:r>
          </w:p>
        </w:tc>
        <w:tc>
          <w:tcPr>
            <w:tcW w:w="491" w:type="dxa"/>
            <w:vMerge w:val="restart"/>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106EDFBE">
            <w:pPr>
              <w:widowControl/>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rPr>
              <w:t>资金管理</w:t>
            </w:r>
          </w:p>
        </w:tc>
        <w:tc>
          <w:tcPr>
            <w:tcW w:w="249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1E5F1416">
            <w:pPr>
              <w:widowControl/>
              <w:ind w:firstLine="420" w:firstLineChars="20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rPr>
              <w:t>预算调整率</w:t>
            </w:r>
          </w:p>
        </w:tc>
        <w:tc>
          <w:tcPr>
            <w:tcW w:w="74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4FC2F109">
            <w:pPr>
              <w:widowControl/>
              <w:jc w:val="center"/>
              <w:textAlignment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6</w:t>
            </w:r>
          </w:p>
        </w:tc>
        <w:tc>
          <w:tcPr>
            <w:tcW w:w="338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013BF941">
            <w:pPr>
              <w:widowControl/>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rPr>
              <w:t>预算调整率=（预算调整数/预算数）×100%。预算调整率每大于1%扣</w:t>
            </w:r>
            <w:r>
              <w:rPr>
                <w:rFonts w:hint="eastAsia" w:ascii="宋体" w:hAnsi="宋体" w:cs="宋体"/>
                <w:color w:val="000000"/>
                <w:kern w:val="0"/>
                <w:sz w:val="21"/>
                <w:szCs w:val="21"/>
                <w:lang w:val="en-US" w:eastAsia="zh-CN"/>
              </w:rPr>
              <w:t>1</w:t>
            </w:r>
            <w:r>
              <w:rPr>
                <w:rFonts w:hint="eastAsia" w:ascii="宋体" w:hAnsi="宋体" w:eastAsia="宋体" w:cs="宋体"/>
                <w:color w:val="000000"/>
                <w:kern w:val="0"/>
                <w:sz w:val="21"/>
                <w:szCs w:val="21"/>
              </w:rPr>
              <w:t>分，扣完为止。</w:t>
            </w:r>
          </w:p>
        </w:tc>
        <w:tc>
          <w:tcPr>
            <w:tcW w:w="71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7D3FAE04">
            <w:pPr>
              <w:widowControl/>
              <w:jc w:val="center"/>
              <w:textAlignment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6</w:t>
            </w:r>
          </w:p>
        </w:tc>
      </w:tr>
      <w:tr w14:paraId="5B751CE8">
        <w:tblPrEx>
          <w:tblCellMar>
            <w:top w:w="0" w:type="dxa"/>
            <w:left w:w="0" w:type="dxa"/>
            <w:bottom w:w="0" w:type="dxa"/>
            <w:right w:w="0" w:type="dxa"/>
          </w:tblCellMar>
        </w:tblPrEx>
        <w:trPr>
          <w:trHeight w:val="1029" w:hRule="atLeast"/>
        </w:trPr>
        <w:tc>
          <w:tcPr>
            <w:tcW w:w="1276" w:type="dxa"/>
            <w:vMerge w:val="continue"/>
            <w:tcBorders>
              <w:top w:val="single" w:color="000000" w:sz="4" w:space="0"/>
              <w:left w:val="single" w:color="000000" w:sz="4" w:space="0"/>
              <w:bottom w:val="nil"/>
              <w:right w:val="single" w:color="000000" w:sz="4" w:space="0"/>
            </w:tcBorders>
            <w:shd w:val="clear" w:color="auto" w:fill="auto"/>
            <w:noWrap/>
            <w:tcMar>
              <w:top w:w="12" w:type="dxa"/>
              <w:left w:w="12" w:type="dxa"/>
              <w:right w:w="12" w:type="dxa"/>
            </w:tcMar>
            <w:vAlign w:val="center"/>
          </w:tcPr>
          <w:p w14:paraId="224C6983">
            <w:pPr>
              <w:jc w:val="center"/>
              <w:rPr>
                <w:rFonts w:hint="eastAsia" w:ascii="宋体" w:hAnsi="宋体" w:eastAsia="宋体" w:cs="宋体"/>
                <w:color w:val="000000"/>
                <w:sz w:val="21"/>
                <w:szCs w:val="21"/>
              </w:rPr>
            </w:pPr>
          </w:p>
        </w:tc>
        <w:tc>
          <w:tcPr>
            <w:tcW w:w="491"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71069BA">
            <w:pPr>
              <w:jc w:val="center"/>
              <w:rPr>
                <w:rFonts w:hint="eastAsia" w:ascii="宋体" w:hAnsi="宋体" w:eastAsia="宋体" w:cs="宋体"/>
                <w:color w:val="000000"/>
                <w:sz w:val="21"/>
                <w:szCs w:val="21"/>
              </w:rPr>
            </w:pPr>
          </w:p>
        </w:tc>
        <w:tc>
          <w:tcPr>
            <w:tcW w:w="2498" w:type="dxa"/>
            <w:tcBorders>
              <w:top w:val="single" w:color="000000" w:sz="4" w:space="0"/>
              <w:left w:val="single" w:color="000000" w:sz="4" w:space="0"/>
              <w:bottom w:val="single" w:color="000000" w:sz="4" w:space="0"/>
              <w:right w:val="single" w:color="000000" w:sz="4" w:space="0"/>
            </w:tcBorders>
            <w:shd w:val="clear" w:color="auto" w:fill="FFFFFF"/>
            <w:noWrap/>
            <w:tcMar>
              <w:top w:w="12" w:type="dxa"/>
              <w:left w:w="12" w:type="dxa"/>
              <w:right w:w="12" w:type="dxa"/>
            </w:tcMar>
            <w:vAlign w:val="center"/>
          </w:tcPr>
          <w:p w14:paraId="4AA9E1D5">
            <w:pPr>
              <w:widowControl/>
              <w:ind w:firstLine="420" w:firstLineChars="200"/>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rPr>
              <w:t>资金使用合规性</w:t>
            </w:r>
          </w:p>
        </w:tc>
        <w:tc>
          <w:tcPr>
            <w:tcW w:w="74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05A96042">
            <w:pPr>
              <w:widowControl/>
              <w:jc w:val="center"/>
              <w:textAlignment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6</w:t>
            </w:r>
          </w:p>
        </w:tc>
        <w:tc>
          <w:tcPr>
            <w:tcW w:w="3382" w:type="dxa"/>
            <w:tcBorders>
              <w:top w:val="single" w:color="000000" w:sz="4" w:space="0"/>
              <w:left w:val="single" w:color="000000" w:sz="4" w:space="0"/>
              <w:bottom w:val="single" w:color="000000" w:sz="4" w:space="0"/>
              <w:right w:val="single" w:color="000000" w:sz="4" w:space="0"/>
            </w:tcBorders>
            <w:shd w:val="clear" w:color="auto" w:fill="FFFFFF"/>
            <w:noWrap/>
            <w:tcMar>
              <w:top w:w="12" w:type="dxa"/>
              <w:left w:w="12" w:type="dxa"/>
              <w:right w:w="12" w:type="dxa"/>
            </w:tcMar>
            <w:vAlign w:val="center"/>
          </w:tcPr>
          <w:p w14:paraId="1BE24649">
            <w:pPr>
              <w:widowControl/>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rPr>
              <w:t>项目资金使用是否符合国家财经法规及相关的财务管理制度规定，资金支出程序是否规范,报账手续是否齐全。每存在一项不合规问题扣</w:t>
            </w:r>
            <w:r>
              <w:rPr>
                <w:rFonts w:hint="eastAsia" w:ascii="宋体" w:hAnsi="宋体" w:cs="宋体"/>
                <w:color w:val="000000"/>
                <w:kern w:val="0"/>
                <w:sz w:val="21"/>
                <w:szCs w:val="21"/>
                <w:lang w:val="en-US" w:eastAsia="zh-CN"/>
              </w:rPr>
              <w:t>1</w:t>
            </w:r>
            <w:r>
              <w:rPr>
                <w:rFonts w:hint="eastAsia" w:ascii="宋体" w:hAnsi="宋体" w:eastAsia="宋体" w:cs="宋体"/>
                <w:color w:val="000000"/>
                <w:kern w:val="0"/>
                <w:sz w:val="21"/>
                <w:szCs w:val="21"/>
              </w:rPr>
              <w:t>分，扣完为止。</w:t>
            </w:r>
          </w:p>
        </w:tc>
        <w:tc>
          <w:tcPr>
            <w:tcW w:w="71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6A2DF29B">
            <w:pPr>
              <w:widowControl/>
              <w:jc w:val="center"/>
              <w:textAlignment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6</w:t>
            </w:r>
          </w:p>
        </w:tc>
      </w:tr>
      <w:tr w14:paraId="58530E17">
        <w:tblPrEx>
          <w:tblCellMar>
            <w:top w:w="0" w:type="dxa"/>
            <w:left w:w="0" w:type="dxa"/>
            <w:bottom w:w="0" w:type="dxa"/>
            <w:right w:w="0" w:type="dxa"/>
          </w:tblCellMar>
        </w:tblPrEx>
        <w:trPr>
          <w:trHeight w:val="836" w:hRule="atLeast"/>
        </w:trPr>
        <w:tc>
          <w:tcPr>
            <w:tcW w:w="1276" w:type="dxa"/>
            <w:vMerge w:val="continue"/>
            <w:tcBorders>
              <w:top w:val="single" w:color="000000" w:sz="4" w:space="0"/>
              <w:left w:val="single" w:color="000000" w:sz="4" w:space="0"/>
              <w:bottom w:val="nil"/>
              <w:right w:val="single" w:color="000000" w:sz="4" w:space="0"/>
            </w:tcBorders>
            <w:noWrap/>
            <w:tcMar>
              <w:top w:w="12" w:type="dxa"/>
              <w:left w:w="12" w:type="dxa"/>
              <w:right w:w="12" w:type="dxa"/>
            </w:tcMar>
            <w:vAlign w:val="center"/>
          </w:tcPr>
          <w:p w14:paraId="3D137464">
            <w:pPr>
              <w:jc w:val="center"/>
              <w:rPr>
                <w:rFonts w:hint="eastAsia" w:ascii="宋体" w:hAnsi="宋体" w:eastAsia="宋体" w:cs="宋体"/>
                <w:color w:val="000000"/>
                <w:sz w:val="21"/>
                <w:szCs w:val="21"/>
              </w:rPr>
            </w:pPr>
          </w:p>
        </w:tc>
        <w:tc>
          <w:tcPr>
            <w:tcW w:w="491"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37BA3072">
            <w:pPr>
              <w:jc w:val="center"/>
              <w:rPr>
                <w:rFonts w:hint="eastAsia" w:ascii="宋体" w:hAnsi="宋体" w:eastAsia="宋体" w:cs="宋体"/>
                <w:color w:val="000000"/>
                <w:sz w:val="21"/>
                <w:szCs w:val="21"/>
              </w:rPr>
            </w:pPr>
          </w:p>
        </w:tc>
        <w:tc>
          <w:tcPr>
            <w:tcW w:w="249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6B3B1C6B">
            <w:pPr>
              <w:widowControl/>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rPr>
              <w:t>会计核算规范性</w:t>
            </w:r>
          </w:p>
        </w:tc>
        <w:tc>
          <w:tcPr>
            <w:tcW w:w="74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19804CF5">
            <w:pPr>
              <w:widowControl/>
              <w:jc w:val="center"/>
              <w:textAlignment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6</w:t>
            </w:r>
          </w:p>
        </w:tc>
        <w:tc>
          <w:tcPr>
            <w:tcW w:w="338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750AFB39">
            <w:pPr>
              <w:widowControl/>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rPr>
              <w:t>会计核算是否符合《会计法》、《政府会计制度》、《会计基础工作规范》等法律法规和相关制度规定。每存在一项不合规问题扣</w:t>
            </w:r>
            <w:r>
              <w:rPr>
                <w:rFonts w:hint="eastAsia" w:ascii="宋体" w:hAnsi="宋体" w:cs="宋体"/>
                <w:color w:val="000000"/>
                <w:kern w:val="0"/>
                <w:sz w:val="21"/>
                <w:szCs w:val="21"/>
                <w:lang w:val="en-US" w:eastAsia="zh-CN"/>
              </w:rPr>
              <w:t>1</w:t>
            </w:r>
            <w:r>
              <w:rPr>
                <w:rFonts w:hint="eastAsia" w:ascii="宋体" w:hAnsi="宋体" w:eastAsia="宋体" w:cs="宋体"/>
                <w:color w:val="000000"/>
                <w:kern w:val="0"/>
                <w:sz w:val="21"/>
                <w:szCs w:val="21"/>
              </w:rPr>
              <w:t>分，扣完为止。</w:t>
            </w:r>
          </w:p>
        </w:tc>
        <w:tc>
          <w:tcPr>
            <w:tcW w:w="71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56C51D06">
            <w:pPr>
              <w:widowControl/>
              <w:jc w:val="center"/>
              <w:textAlignment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6</w:t>
            </w:r>
          </w:p>
        </w:tc>
      </w:tr>
      <w:tr w14:paraId="7A1199C4">
        <w:tblPrEx>
          <w:tblCellMar>
            <w:top w:w="0" w:type="dxa"/>
            <w:left w:w="0" w:type="dxa"/>
            <w:bottom w:w="0" w:type="dxa"/>
            <w:right w:w="0" w:type="dxa"/>
          </w:tblCellMar>
        </w:tblPrEx>
        <w:trPr>
          <w:trHeight w:val="1426" w:hRule="atLeast"/>
        </w:trPr>
        <w:tc>
          <w:tcPr>
            <w:tcW w:w="1276" w:type="dxa"/>
            <w:vMerge w:val="continue"/>
            <w:tcBorders>
              <w:top w:val="single" w:color="000000" w:sz="4" w:space="0"/>
              <w:left w:val="single" w:color="000000" w:sz="4" w:space="0"/>
              <w:bottom w:val="nil"/>
              <w:right w:val="single" w:color="000000" w:sz="4" w:space="0"/>
            </w:tcBorders>
            <w:noWrap/>
            <w:tcMar>
              <w:top w:w="12" w:type="dxa"/>
              <w:left w:w="12" w:type="dxa"/>
              <w:right w:w="12" w:type="dxa"/>
            </w:tcMar>
            <w:vAlign w:val="center"/>
          </w:tcPr>
          <w:p w14:paraId="1AF50F18">
            <w:pPr>
              <w:jc w:val="center"/>
              <w:rPr>
                <w:rFonts w:hint="eastAsia" w:ascii="宋体" w:hAnsi="宋体" w:eastAsia="宋体" w:cs="宋体"/>
                <w:color w:val="000000"/>
                <w:sz w:val="21"/>
                <w:szCs w:val="21"/>
              </w:rPr>
            </w:pPr>
          </w:p>
        </w:tc>
        <w:tc>
          <w:tcPr>
            <w:tcW w:w="491" w:type="dxa"/>
            <w:vMerge w:val="restart"/>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64F894BC">
            <w:pPr>
              <w:widowControl/>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rPr>
              <w:t>项目管理</w:t>
            </w:r>
          </w:p>
        </w:tc>
        <w:tc>
          <w:tcPr>
            <w:tcW w:w="249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66297799">
            <w:pPr>
              <w:widowControl/>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rPr>
              <w:t>项目责任机制是否健全</w:t>
            </w:r>
          </w:p>
        </w:tc>
        <w:tc>
          <w:tcPr>
            <w:tcW w:w="74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271C98EC">
            <w:pPr>
              <w:widowControl/>
              <w:jc w:val="center"/>
              <w:textAlignment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6</w:t>
            </w:r>
          </w:p>
        </w:tc>
        <w:tc>
          <w:tcPr>
            <w:tcW w:w="338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17307F57">
            <w:pPr>
              <w:widowControl/>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rPr>
              <w:t>是否建立责任机制，项目管理和责任落实到有关人。每存在一项问题扣*分，扣完为止。</w:t>
            </w:r>
          </w:p>
        </w:tc>
        <w:tc>
          <w:tcPr>
            <w:tcW w:w="71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1B54A79B">
            <w:pPr>
              <w:widowControl/>
              <w:jc w:val="center"/>
              <w:textAlignment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6</w:t>
            </w:r>
          </w:p>
        </w:tc>
      </w:tr>
      <w:tr w14:paraId="1C3E31C9">
        <w:tblPrEx>
          <w:tblCellMar>
            <w:top w:w="0" w:type="dxa"/>
            <w:left w:w="0" w:type="dxa"/>
            <w:bottom w:w="0" w:type="dxa"/>
            <w:right w:w="0" w:type="dxa"/>
          </w:tblCellMar>
        </w:tblPrEx>
        <w:trPr>
          <w:trHeight w:val="762" w:hRule="atLeast"/>
        </w:trPr>
        <w:tc>
          <w:tcPr>
            <w:tcW w:w="1276" w:type="dxa"/>
            <w:vMerge w:val="continue"/>
            <w:tcBorders>
              <w:top w:val="single" w:color="000000" w:sz="4" w:space="0"/>
              <w:left w:val="single" w:color="000000" w:sz="4" w:space="0"/>
              <w:bottom w:val="nil"/>
              <w:right w:val="single" w:color="000000" w:sz="4" w:space="0"/>
            </w:tcBorders>
            <w:noWrap/>
            <w:tcMar>
              <w:top w:w="12" w:type="dxa"/>
              <w:left w:w="12" w:type="dxa"/>
              <w:right w:w="12" w:type="dxa"/>
            </w:tcMar>
            <w:vAlign w:val="center"/>
          </w:tcPr>
          <w:p w14:paraId="2C2AE6C2">
            <w:pPr>
              <w:jc w:val="center"/>
              <w:rPr>
                <w:rFonts w:hint="eastAsia" w:ascii="宋体" w:hAnsi="宋体" w:eastAsia="宋体" w:cs="宋体"/>
                <w:color w:val="000000"/>
                <w:sz w:val="21"/>
                <w:szCs w:val="21"/>
              </w:rPr>
            </w:pPr>
          </w:p>
        </w:tc>
        <w:tc>
          <w:tcPr>
            <w:tcW w:w="491"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01BCDB18">
            <w:pPr>
              <w:jc w:val="center"/>
              <w:rPr>
                <w:rFonts w:hint="eastAsia" w:ascii="宋体" w:hAnsi="宋体" w:eastAsia="宋体" w:cs="宋体"/>
                <w:color w:val="000000"/>
                <w:sz w:val="21"/>
                <w:szCs w:val="21"/>
              </w:rPr>
            </w:pPr>
          </w:p>
        </w:tc>
        <w:tc>
          <w:tcPr>
            <w:tcW w:w="249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2F16362B">
            <w:pPr>
              <w:widowControl/>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rPr>
              <w:t>管理制度健全性</w:t>
            </w:r>
          </w:p>
        </w:tc>
        <w:tc>
          <w:tcPr>
            <w:tcW w:w="74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5A57B9C5">
            <w:pPr>
              <w:widowControl/>
              <w:jc w:val="center"/>
              <w:textAlignment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6</w:t>
            </w:r>
          </w:p>
        </w:tc>
        <w:tc>
          <w:tcPr>
            <w:tcW w:w="338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76455B27">
            <w:pPr>
              <w:widowControl/>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rPr>
              <w:t>制定管理制度和措施（包括财务制度）是否明确、清晰、具有可操作性，能否保障工作活动顺利实施。每缺少一项制度扣</w:t>
            </w:r>
            <w:r>
              <w:rPr>
                <w:rFonts w:hint="eastAsia" w:ascii="宋体" w:hAnsi="宋体" w:cs="宋体"/>
                <w:color w:val="000000"/>
                <w:kern w:val="0"/>
                <w:sz w:val="21"/>
                <w:szCs w:val="21"/>
                <w:lang w:val="en-US" w:eastAsia="zh-CN"/>
              </w:rPr>
              <w:t>1</w:t>
            </w:r>
            <w:r>
              <w:rPr>
                <w:rFonts w:hint="eastAsia" w:ascii="宋体" w:hAnsi="宋体" w:eastAsia="宋体" w:cs="宋体"/>
                <w:color w:val="000000"/>
                <w:kern w:val="0"/>
                <w:sz w:val="21"/>
                <w:szCs w:val="21"/>
              </w:rPr>
              <w:t>分，扣完为止。</w:t>
            </w:r>
          </w:p>
        </w:tc>
        <w:tc>
          <w:tcPr>
            <w:tcW w:w="71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33EFFC4E">
            <w:pPr>
              <w:widowControl/>
              <w:jc w:val="center"/>
              <w:textAlignment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6</w:t>
            </w:r>
          </w:p>
        </w:tc>
      </w:tr>
      <w:tr w14:paraId="279D8073">
        <w:tblPrEx>
          <w:tblCellMar>
            <w:top w:w="0" w:type="dxa"/>
            <w:left w:w="0" w:type="dxa"/>
            <w:bottom w:w="0" w:type="dxa"/>
            <w:right w:w="0" w:type="dxa"/>
          </w:tblCellMar>
        </w:tblPrEx>
        <w:trPr>
          <w:trHeight w:val="499" w:hRule="atLeast"/>
        </w:trPr>
        <w:tc>
          <w:tcPr>
            <w:tcW w:w="1276" w:type="dxa"/>
            <w:vMerge w:val="restart"/>
            <w:tcBorders>
              <w:top w:val="single" w:color="000000" w:sz="4" w:space="0"/>
              <w:left w:val="single" w:color="000000" w:sz="4" w:space="0"/>
              <w:bottom w:val="nil"/>
              <w:right w:val="single" w:color="000000" w:sz="4" w:space="0"/>
            </w:tcBorders>
            <w:noWrap/>
            <w:tcMar>
              <w:top w:w="12" w:type="dxa"/>
              <w:left w:w="12" w:type="dxa"/>
              <w:right w:w="12" w:type="dxa"/>
            </w:tcMar>
            <w:vAlign w:val="center"/>
          </w:tcPr>
          <w:p w14:paraId="29A7B61D">
            <w:pPr>
              <w:widowControl/>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rPr>
              <w:t>“工作活动”产出（*分）</w:t>
            </w:r>
          </w:p>
        </w:tc>
        <w:tc>
          <w:tcPr>
            <w:tcW w:w="49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2E91895C">
            <w:pPr>
              <w:widowControl/>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rPr>
              <w:t>数量指标</w:t>
            </w:r>
          </w:p>
        </w:tc>
        <w:tc>
          <w:tcPr>
            <w:tcW w:w="249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top"/>
          </w:tcPr>
          <w:p w14:paraId="1C8CF866">
            <w:pPr>
              <w:keepNext w:val="0"/>
              <w:keepLines w:val="0"/>
              <w:widowControl/>
              <w:numPr>
                <w:ilvl w:val="0"/>
                <w:numId w:val="0"/>
              </w:numPr>
              <w:suppressLineNumbers w:val="0"/>
              <w:ind w:leftChars="0"/>
              <w:jc w:val="center"/>
              <w:textAlignment w:val="top"/>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购置智慧校园系统</w:t>
            </w:r>
          </w:p>
        </w:tc>
        <w:tc>
          <w:tcPr>
            <w:tcW w:w="74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718F2474">
            <w:pPr>
              <w:widowControl/>
              <w:numPr>
                <w:ilvl w:val="0"/>
                <w:numId w:val="0"/>
              </w:numPr>
              <w:ind w:leftChars="0" w:firstLine="420" w:firstLineChars="200"/>
              <w:jc w:val="both"/>
              <w:textAlignment w:val="center"/>
              <w:rPr>
                <w:rFonts w:hint="eastAsia" w:ascii="宋体" w:hAnsi="宋体" w:eastAsia="宋体" w:cs="宋体"/>
                <w:color w:val="000000"/>
                <w:sz w:val="21"/>
                <w:szCs w:val="21"/>
                <w:lang w:val="en-US" w:eastAsia="zh-CN"/>
              </w:rPr>
            </w:pPr>
            <w:r>
              <w:rPr>
                <w:rFonts w:hint="eastAsia" w:ascii="宋体" w:hAnsi="宋体" w:cs="宋体"/>
                <w:color w:val="000000"/>
                <w:sz w:val="21"/>
                <w:szCs w:val="21"/>
                <w:lang w:val="en-US" w:eastAsia="zh-CN"/>
              </w:rPr>
              <w:t>1</w:t>
            </w:r>
            <w:r>
              <w:rPr>
                <w:rFonts w:hint="eastAsia" w:ascii="宋体" w:hAnsi="宋体" w:eastAsia="宋体" w:cs="宋体"/>
                <w:color w:val="000000"/>
                <w:sz w:val="21"/>
                <w:szCs w:val="21"/>
                <w:lang w:val="en-US" w:eastAsia="zh-CN"/>
              </w:rPr>
              <w:t>0</w:t>
            </w:r>
          </w:p>
        </w:tc>
        <w:tc>
          <w:tcPr>
            <w:tcW w:w="338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top"/>
          </w:tcPr>
          <w:p w14:paraId="1D516B84">
            <w:pPr>
              <w:keepNext w:val="0"/>
              <w:keepLines w:val="0"/>
              <w:widowControl/>
              <w:numPr>
                <w:ilvl w:val="0"/>
                <w:numId w:val="0"/>
              </w:numPr>
              <w:suppressLineNumbers w:val="0"/>
              <w:ind w:leftChars="0"/>
              <w:jc w:val="both"/>
              <w:textAlignment w:val="top"/>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智慧校园系统平台建设一套</w:t>
            </w:r>
          </w:p>
        </w:tc>
        <w:tc>
          <w:tcPr>
            <w:tcW w:w="71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2F430145">
            <w:pPr>
              <w:widowControl/>
              <w:jc w:val="center"/>
              <w:textAlignment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10</w:t>
            </w:r>
          </w:p>
        </w:tc>
      </w:tr>
      <w:tr w14:paraId="0047A07E">
        <w:tblPrEx>
          <w:tblCellMar>
            <w:top w:w="0" w:type="dxa"/>
            <w:left w:w="0" w:type="dxa"/>
            <w:bottom w:w="0" w:type="dxa"/>
            <w:right w:w="0" w:type="dxa"/>
          </w:tblCellMar>
        </w:tblPrEx>
        <w:trPr>
          <w:trHeight w:val="647" w:hRule="atLeast"/>
        </w:trPr>
        <w:tc>
          <w:tcPr>
            <w:tcW w:w="1276" w:type="dxa"/>
            <w:vMerge w:val="continue"/>
            <w:tcBorders>
              <w:top w:val="single" w:color="000000" w:sz="4" w:space="0"/>
              <w:left w:val="single" w:color="000000" w:sz="4" w:space="0"/>
              <w:bottom w:val="nil"/>
              <w:right w:val="single" w:color="000000" w:sz="4" w:space="0"/>
            </w:tcBorders>
            <w:noWrap/>
            <w:tcMar>
              <w:top w:w="12" w:type="dxa"/>
              <w:left w:w="12" w:type="dxa"/>
              <w:right w:w="12" w:type="dxa"/>
            </w:tcMar>
            <w:vAlign w:val="center"/>
          </w:tcPr>
          <w:p w14:paraId="1D240D06">
            <w:pPr>
              <w:jc w:val="center"/>
              <w:rPr>
                <w:rFonts w:hint="eastAsia" w:ascii="宋体" w:hAnsi="宋体" w:eastAsia="宋体" w:cs="宋体"/>
                <w:color w:val="000000"/>
                <w:sz w:val="21"/>
                <w:szCs w:val="21"/>
              </w:rPr>
            </w:pPr>
          </w:p>
        </w:tc>
        <w:tc>
          <w:tcPr>
            <w:tcW w:w="49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5DD0A6AC">
            <w:pPr>
              <w:widowControl/>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rPr>
              <w:t>质量指标</w:t>
            </w:r>
          </w:p>
        </w:tc>
        <w:tc>
          <w:tcPr>
            <w:tcW w:w="249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top"/>
          </w:tcPr>
          <w:p w14:paraId="4B9B995C">
            <w:pPr>
              <w:keepNext w:val="0"/>
              <w:keepLines w:val="0"/>
              <w:widowControl/>
              <w:numPr>
                <w:ilvl w:val="0"/>
                <w:numId w:val="0"/>
              </w:numPr>
              <w:suppressLineNumbers w:val="0"/>
              <w:ind w:leftChars="0"/>
              <w:jc w:val="center"/>
              <w:textAlignment w:val="top"/>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购入产品合格率</w:t>
            </w:r>
          </w:p>
        </w:tc>
        <w:tc>
          <w:tcPr>
            <w:tcW w:w="74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5894DFEF">
            <w:pPr>
              <w:widowControl/>
              <w:numPr>
                <w:ilvl w:val="0"/>
                <w:numId w:val="0"/>
              </w:numPr>
              <w:ind w:leftChars="0" w:firstLine="420" w:firstLineChars="200"/>
              <w:jc w:val="both"/>
              <w:textAlignment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10</w:t>
            </w:r>
          </w:p>
        </w:tc>
        <w:tc>
          <w:tcPr>
            <w:tcW w:w="338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48D8BD33">
            <w:pPr>
              <w:widowControl/>
              <w:numPr>
                <w:ilvl w:val="0"/>
                <w:numId w:val="0"/>
              </w:numPr>
              <w:ind w:leftChars="0"/>
              <w:jc w:val="both"/>
              <w:textAlignment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符合国家标准</w:t>
            </w:r>
          </w:p>
        </w:tc>
        <w:tc>
          <w:tcPr>
            <w:tcW w:w="71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285008FB">
            <w:pPr>
              <w:widowControl/>
              <w:jc w:val="center"/>
              <w:textAlignment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10</w:t>
            </w:r>
          </w:p>
        </w:tc>
      </w:tr>
      <w:tr w14:paraId="79CCB591">
        <w:tblPrEx>
          <w:tblCellMar>
            <w:top w:w="0" w:type="dxa"/>
            <w:left w:w="0" w:type="dxa"/>
            <w:bottom w:w="0" w:type="dxa"/>
            <w:right w:w="0" w:type="dxa"/>
          </w:tblCellMar>
        </w:tblPrEx>
        <w:trPr>
          <w:trHeight w:val="591" w:hRule="atLeast"/>
        </w:trPr>
        <w:tc>
          <w:tcPr>
            <w:tcW w:w="1276"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02516A92">
            <w:pPr>
              <w:jc w:val="center"/>
              <w:rPr>
                <w:rFonts w:hint="eastAsia" w:ascii="宋体" w:hAnsi="宋体" w:eastAsia="宋体" w:cs="宋体"/>
                <w:color w:val="000000"/>
                <w:sz w:val="21"/>
                <w:szCs w:val="21"/>
              </w:rPr>
            </w:pPr>
          </w:p>
        </w:tc>
        <w:tc>
          <w:tcPr>
            <w:tcW w:w="49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4ABB2A06">
            <w:pPr>
              <w:widowControl/>
              <w:jc w:val="center"/>
              <w:textAlignment w:val="center"/>
              <w:rPr>
                <w:rFonts w:hint="eastAsia" w:ascii="宋体" w:hAnsi="宋体" w:eastAsia="宋体" w:cs="宋体"/>
                <w:color w:val="000000"/>
                <w:sz w:val="21"/>
                <w:szCs w:val="21"/>
              </w:rPr>
            </w:pPr>
            <w:r>
              <w:rPr>
                <w:rFonts w:hint="eastAsia" w:ascii="宋体" w:hAnsi="宋体" w:eastAsia="宋体" w:cs="宋体"/>
                <w:color w:val="000000"/>
                <w:kern w:val="0"/>
                <w:sz w:val="21"/>
                <w:szCs w:val="21"/>
              </w:rPr>
              <w:t>时效指标</w:t>
            </w:r>
          </w:p>
        </w:tc>
        <w:tc>
          <w:tcPr>
            <w:tcW w:w="249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top"/>
          </w:tcPr>
          <w:p w14:paraId="71B5C8E2">
            <w:pPr>
              <w:keepNext w:val="0"/>
              <w:keepLines w:val="0"/>
              <w:widowControl/>
              <w:numPr>
                <w:ilvl w:val="0"/>
                <w:numId w:val="0"/>
              </w:numPr>
              <w:suppressLineNumbers w:val="0"/>
              <w:ind w:leftChars="0"/>
              <w:jc w:val="center"/>
              <w:textAlignment w:val="top"/>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2022年1月--2022年12月底</w:t>
            </w:r>
          </w:p>
        </w:tc>
        <w:tc>
          <w:tcPr>
            <w:tcW w:w="74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4D228416">
            <w:pPr>
              <w:widowControl/>
              <w:numPr>
                <w:ilvl w:val="0"/>
                <w:numId w:val="0"/>
              </w:numPr>
              <w:ind w:leftChars="0" w:firstLine="420" w:firstLineChars="200"/>
              <w:jc w:val="both"/>
              <w:textAlignment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10</w:t>
            </w:r>
          </w:p>
        </w:tc>
        <w:tc>
          <w:tcPr>
            <w:tcW w:w="338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05E47ABE">
            <w:pPr>
              <w:widowControl/>
              <w:numPr>
                <w:ilvl w:val="0"/>
                <w:numId w:val="0"/>
              </w:numPr>
              <w:ind w:leftChars="0"/>
              <w:jc w:val="left"/>
              <w:textAlignment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按时完成</w:t>
            </w:r>
          </w:p>
        </w:tc>
        <w:tc>
          <w:tcPr>
            <w:tcW w:w="71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42C3C819">
            <w:pPr>
              <w:widowControl/>
              <w:jc w:val="center"/>
              <w:textAlignment w:val="center"/>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10</w:t>
            </w:r>
          </w:p>
        </w:tc>
      </w:tr>
      <w:tr w14:paraId="1A58B327">
        <w:tblPrEx>
          <w:tblCellMar>
            <w:top w:w="0" w:type="dxa"/>
            <w:left w:w="0" w:type="dxa"/>
            <w:bottom w:w="0" w:type="dxa"/>
            <w:right w:w="0" w:type="dxa"/>
          </w:tblCellMar>
        </w:tblPrEx>
        <w:trPr>
          <w:trHeight w:val="408" w:hRule="atLeast"/>
        </w:trPr>
        <w:tc>
          <w:tcPr>
            <w:tcW w:w="1276" w:type="dxa"/>
            <w:tcBorders>
              <w:top w:val="single" w:color="000000" w:sz="4" w:space="0"/>
              <w:left w:val="single" w:color="000000" w:sz="4" w:space="0"/>
              <w:right w:val="single" w:color="000000" w:sz="4" w:space="0"/>
            </w:tcBorders>
            <w:noWrap/>
            <w:tcMar>
              <w:top w:w="12" w:type="dxa"/>
              <w:left w:w="12" w:type="dxa"/>
              <w:right w:w="12" w:type="dxa"/>
            </w:tcMar>
            <w:vAlign w:val="center"/>
          </w:tcPr>
          <w:p w14:paraId="3A0CECA1">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“工作活动”效果（</w:t>
            </w:r>
            <w:r>
              <w:rPr>
                <w:rFonts w:hint="eastAsia" w:ascii="宋体" w:hAnsi="宋体" w:eastAsia="宋体" w:cs="宋体"/>
                <w:color w:val="000000"/>
                <w:kern w:val="0"/>
                <w:sz w:val="21"/>
                <w:szCs w:val="21"/>
              </w:rPr>
              <w:t>*</w:t>
            </w:r>
            <w:r>
              <w:rPr>
                <w:rFonts w:hint="eastAsia" w:ascii="宋体" w:hAnsi="宋体" w:eastAsia="宋体" w:cs="宋体"/>
                <w:color w:val="000000"/>
                <w:sz w:val="21"/>
                <w:szCs w:val="21"/>
              </w:rPr>
              <w:t>分）</w:t>
            </w:r>
          </w:p>
        </w:tc>
        <w:tc>
          <w:tcPr>
            <w:tcW w:w="491" w:type="dxa"/>
            <w:tcBorders>
              <w:top w:val="single" w:color="000000" w:sz="4" w:space="0"/>
              <w:left w:val="single" w:color="000000" w:sz="4" w:space="0"/>
              <w:right w:val="single" w:color="000000" w:sz="4" w:space="0"/>
            </w:tcBorders>
            <w:noWrap/>
            <w:tcMar>
              <w:top w:w="12" w:type="dxa"/>
              <w:left w:w="12" w:type="dxa"/>
              <w:right w:w="12" w:type="dxa"/>
            </w:tcMar>
            <w:vAlign w:val="center"/>
          </w:tcPr>
          <w:p w14:paraId="6EF32DF7">
            <w:pPr>
              <w:jc w:val="center"/>
              <w:rPr>
                <w:rFonts w:hint="eastAsia" w:ascii="宋体" w:hAnsi="宋体" w:eastAsia="宋体" w:cs="宋体"/>
                <w:sz w:val="21"/>
                <w:szCs w:val="21"/>
              </w:rPr>
            </w:pPr>
            <w:r>
              <w:rPr>
                <w:rFonts w:hint="eastAsia" w:ascii="宋体" w:hAnsi="宋体" w:eastAsia="宋体" w:cs="宋体"/>
                <w:sz w:val="21"/>
                <w:szCs w:val="21"/>
              </w:rPr>
              <w:t>满意度</w:t>
            </w:r>
          </w:p>
        </w:tc>
        <w:tc>
          <w:tcPr>
            <w:tcW w:w="249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top"/>
          </w:tcPr>
          <w:p w14:paraId="440B2057">
            <w:pPr>
              <w:keepNext w:val="0"/>
              <w:keepLines w:val="0"/>
              <w:widowControl/>
              <w:numPr>
                <w:ilvl w:val="0"/>
                <w:numId w:val="0"/>
              </w:numPr>
              <w:suppressLineNumbers w:val="0"/>
              <w:ind w:leftChars="0"/>
              <w:jc w:val="center"/>
              <w:textAlignment w:val="top"/>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0"/>
                <w:sz w:val="21"/>
                <w:szCs w:val="21"/>
                <w:u w:val="none"/>
                <w:lang w:val="en-US" w:eastAsia="zh-CN" w:bidi="ar"/>
              </w:rPr>
              <w:t>学生、教师、家长、管理人员满意</w:t>
            </w:r>
          </w:p>
        </w:tc>
        <w:tc>
          <w:tcPr>
            <w:tcW w:w="74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203CAA54">
            <w:pPr>
              <w:widowControl/>
              <w:numPr>
                <w:ilvl w:val="0"/>
                <w:numId w:val="0"/>
              </w:numPr>
              <w:ind w:leftChars="0" w:firstLine="210" w:firstLineChars="100"/>
              <w:jc w:val="both"/>
              <w:textAlignment w:val="center"/>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10</w:t>
            </w:r>
          </w:p>
        </w:tc>
        <w:tc>
          <w:tcPr>
            <w:tcW w:w="338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2FD64E94">
            <w:pPr>
              <w:widowControl/>
              <w:numPr>
                <w:ilvl w:val="0"/>
                <w:numId w:val="0"/>
              </w:numPr>
              <w:ind w:leftChars="0"/>
              <w:jc w:val="left"/>
              <w:textAlignment w:val="center"/>
              <w:rPr>
                <w:rFonts w:hint="eastAsia" w:ascii="宋体" w:hAnsi="宋体" w:eastAsia="宋体" w:cs="宋体"/>
                <w:color w:val="000000"/>
                <w:kern w:val="0"/>
                <w:sz w:val="21"/>
                <w:szCs w:val="21"/>
                <w:lang w:val="en-US" w:eastAsia="zh-CN"/>
              </w:rPr>
            </w:pPr>
            <w:r>
              <w:rPr>
                <w:rFonts w:hint="eastAsia" w:ascii="宋体" w:hAnsi="宋体" w:eastAsia="宋体" w:cs="宋体"/>
                <w:color w:val="000000"/>
                <w:kern w:val="0"/>
                <w:sz w:val="21"/>
                <w:szCs w:val="21"/>
                <w:lang w:val="en-US" w:eastAsia="zh-CN"/>
              </w:rPr>
              <w:t>满意</w:t>
            </w:r>
          </w:p>
        </w:tc>
        <w:tc>
          <w:tcPr>
            <w:tcW w:w="71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5D87D2CA">
            <w:pPr>
              <w:widowControl/>
              <w:jc w:val="center"/>
              <w:textAlignment w:val="center"/>
              <w:rPr>
                <w:rFonts w:hint="default" w:ascii="宋体" w:hAnsi="宋体" w:eastAsia="宋体" w:cs="宋体"/>
                <w:color w:val="000000"/>
                <w:kern w:val="0"/>
                <w:sz w:val="21"/>
                <w:szCs w:val="21"/>
                <w:lang w:val="en-US" w:eastAsia="zh-CN"/>
              </w:rPr>
            </w:pPr>
            <w:r>
              <w:rPr>
                <w:rFonts w:hint="eastAsia" w:ascii="宋体" w:hAnsi="宋体" w:cs="宋体"/>
                <w:color w:val="000000"/>
                <w:kern w:val="0"/>
                <w:sz w:val="21"/>
                <w:szCs w:val="21"/>
                <w:lang w:val="en-US" w:eastAsia="zh-CN"/>
              </w:rPr>
              <w:t>8</w:t>
            </w:r>
          </w:p>
        </w:tc>
      </w:tr>
      <w:tr w14:paraId="1F475F95">
        <w:tblPrEx>
          <w:tblCellMar>
            <w:top w:w="0" w:type="dxa"/>
            <w:left w:w="0" w:type="dxa"/>
            <w:bottom w:w="0" w:type="dxa"/>
            <w:right w:w="0" w:type="dxa"/>
          </w:tblCellMar>
        </w:tblPrEx>
        <w:trPr>
          <w:trHeight w:val="408" w:hRule="atLeast"/>
        </w:trPr>
        <w:tc>
          <w:tcPr>
            <w:tcW w:w="127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3C87A680">
            <w:pPr>
              <w:ind w:firstLine="210" w:firstLineChars="100"/>
              <w:jc w:val="center"/>
              <w:rPr>
                <w:rFonts w:hint="eastAsia" w:ascii="宋体" w:hAnsi="宋体" w:eastAsia="宋体" w:cs="宋体"/>
                <w:color w:val="000000"/>
                <w:sz w:val="21"/>
                <w:szCs w:val="21"/>
              </w:rPr>
            </w:pPr>
            <w:r>
              <w:rPr>
                <w:rFonts w:hint="eastAsia" w:ascii="宋体" w:hAnsi="宋体" w:eastAsia="宋体" w:cs="宋体"/>
                <w:color w:val="000000"/>
                <w:sz w:val="21"/>
                <w:szCs w:val="21"/>
              </w:rPr>
              <w:t>合计</w:t>
            </w:r>
          </w:p>
        </w:tc>
        <w:tc>
          <w:tcPr>
            <w:tcW w:w="49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46109126">
            <w:pPr>
              <w:jc w:val="center"/>
              <w:rPr>
                <w:rFonts w:hint="eastAsia" w:ascii="宋体" w:hAnsi="宋体" w:eastAsia="宋体" w:cs="宋体"/>
                <w:sz w:val="21"/>
                <w:szCs w:val="21"/>
              </w:rPr>
            </w:pPr>
          </w:p>
        </w:tc>
        <w:tc>
          <w:tcPr>
            <w:tcW w:w="249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08A45787">
            <w:pPr>
              <w:widowControl/>
              <w:jc w:val="center"/>
              <w:textAlignment w:val="center"/>
              <w:rPr>
                <w:rFonts w:hint="eastAsia" w:ascii="宋体" w:hAnsi="宋体" w:eastAsia="宋体" w:cs="宋体"/>
                <w:color w:val="000000"/>
                <w:kern w:val="0"/>
                <w:sz w:val="21"/>
                <w:szCs w:val="21"/>
              </w:rPr>
            </w:pPr>
          </w:p>
        </w:tc>
        <w:tc>
          <w:tcPr>
            <w:tcW w:w="74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44896711">
            <w:pPr>
              <w:widowControl/>
              <w:jc w:val="center"/>
              <w:textAlignment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100</w:t>
            </w:r>
          </w:p>
        </w:tc>
        <w:tc>
          <w:tcPr>
            <w:tcW w:w="338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414840F8">
            <w:pPr>
              <w:widowControl/>
              <w:jc w:val="center"/>
              <w:textAlignment w:val="center"/>
              <w:rPr>
                <w:rFonts w:hint="eastAsia" w:ascii="宋体" w:hAnsi="宋体" w:eastAsia="宋体" w:cs="宋体"/>
                <w:color w:val="000000"/>
                <w:kern w:val="0"/>
                <w:sz w:val="21"/>
                <w:szCs w:val="21"/>
              </w:rPr>
            </w:pPr>
          </w:p>
        </w:tc>
        <w:tc>
          <w:tcPr>
            <w:tcW w:w="71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407F0F1A">
            <w:pPr>
              <w:widowControl/>
              <w:jc w:val="center"/>
              <w:textAlignment w:val="center"/>
              <w:rPr>
                <w:rFonts w:hint="default" w:ascii="宋体" w:hAnsi="宋体" w:eastAsia="宋体" w:cs="宋体"/>
                <w:color w:val="000000"/>
                <w:kern w:val="0"/>
                <w:sz w:val="21"/>
                <w:szCs w:val="21"/>
                <w:lang w:val="en-US" w:eastAsia="zh-CN"/>
              </w:rPr>
            </w:pPr>
            <w:r>
              <w:rPr>
                <w:rFonts w:hint="eastAsia" w:ascii="宋体" w:hAnsi="宋体" w:cs="宋体"/>
                <w:color w:val="000000"/>
                <w:kern w:val="0"/>
                <w:sz w:val="21"/>
                <w:szCs w:val="21"/>
                <w:lang w:val="en-US" w:eastAsia="zh-CN"/>
              </w:rPr>
              <w:t>98</w:t>
            </w:r>
          </w:p>
        </w:tc>
      </w:tr>
    </w:tbl>
    <w:p w14:paraId="182D1DD2">
      <w:pPr>
        <w:pStyle w:val="7"/>
        <w:spacing w:line="560" w:lineRule="exact"/>
        <w:ind w:left="420" w:leftChars="200" w:firstLine="301" w:firstLineChars="100"/>
        <w:outlineLvl w:val="0"/>
        <w:rPr>
          <w:rFonts w:hint="eastAsia" w:ascii="宋体" w:hAnsi="宋体" w:eastAsia="宋体" w:cs="宋体"/>
          <w:b/>
          <w:bCs/>
          <w:color w:val="000000"/>
          <w:sz w:val="30"/>
          <w:szCs w:val="30"/>
        </w:rPr>
      </w:pPr>
      <w:bookmarkStart w:id="79" w:name="_Toc2634_WPSOffice_Level1"/>
      <w:r>
        <w:rPr>
          <w:rFonts w:hint="eastAsia" w:ascii="宋体" w:hAnsi="宋体" w:eastAsia="宋体" w:cs="宋体"/>
          <w:b/>
          <w:bCs/>
          <w:color w:val="000000"/>
          <w:sz w:val="30"/>
          <w:szCs w:val="30"/>
        </w:rPr>
        <w:t>五、评价分析</w:t>
      </w:r>
      <w:bookmarkEnd w:id="79"/>
    </w:p>
    <w:p w14:paraId="65B75424">
      <w:pPr>
        <w:spacing w:line="560" w:lineRule="exact"/>
        <w:ind w:firstLine="600" w:firstLineChars="200"/>
        <w:outlineLvl w:val="1"/>
        <w:rPr>
          <w:rFonts w:hint="eastAsia" w:ascii="宋体" w:hAnsi="宋体" w:eastAsia="宋体" w:cs="宋体"/>
          <w:color w:val="000000"/>
          <w:sz w:val="30"/>
          <w:szCs w:val="30"/>
        </w:rPr>
      </w:pPr>
      <w:bookmarkStart w:id="80" w:name="_Toc18513_WPSOffice_Level2"/>
      <w:r>
        <w:rPr>
          <w:rFonts w:hint="eastAsia" w:ascii="宋体" w:hAnsi="宋体" w:eastAsia="宋体" w:cs="宋体"/>
          <w:color w:val="000000"/>
          <w:sz w:val="30"/>
          <w:szCs w:val="30"/>
        </w:rPr>
        <w:t>（一）主要扣分事项及原因分析</w:t>
      </w:r>
      <w:bookmarkEnd w:id="80"/>
    </w:p>
    <w:p w14:paraId="5BA3294D">
      <w:pPr>
        <w:keepNext w:val="0"/>
        <w:keepLines w:val="0"/>
        <w:widowControl/>
        <w:suppressLineNumbers w:val="0"/>
        <w:ind w:firstLine="900" w:firstLineChars="300"/>
        <w:jc w:val="left"/>
        <w:rPr>
          <w:rFonts w:hint="eastAsia" w:ascii="宋体" w:hAnsi="宋体" w:eastAsia="宋体" w:cs="宋体"/>
          <w:sz w:val="30"/>
          <w:szCs w:val="30"/>
        </w:rPr>
      </w:pPr>
      <w:r>
        <w:rPr>
          <w:rFonts w:hint="eastAsia" w:ascii="宋体" w:hAnsi="宋体" w:eastAsia="宋体" w:cs="宋体"/>
          <w:sz w:val="30"/>
          <w:szCs w:val="30"/>
        </w:rPr>
        <w:t xml:space="preserve"> </w:t>
      </w:r>
      <w:r>
        <w:rPr>
          <w:rFonts w:hint="eastAsia" w:ascii="宋体" w:hAnsi="宋体" w:eastAsia="宋体" w:cs="宋体"/>
          <w:color w:val="000000"/>
          <w:kern w:val="0"/>
          <w:sz w:val="30"/>
          <w:szCs w:val="30"/>
          <w:lang w:val="en-US" w:eastAsia="zh-CN" w:bidi="ar"/>
        </w:rPr>
        <w:t>1、我单位根据专项绩效评定指标对各项目量化评价，自评指标得分 98 分。 将项目支出后的实际状况与项目申报的绩效目标进行对 比分析。按项目实际支出和项目申报绩效目标进行对比分析自评得分 98 分，所有项目均与批复下达相符。扣分项为满意度，自觉不能达到100%所有满意，故扣二分。</w:t>
      </w:r>
    </w:p>
    <w:p w14:paraId="05416F66">
      <w:pPr>
        <w:pStyle w:val="7"/>
        <w:numPr>
          <w:ilvl w:val="0"/>
          <w:numId w:val="0"/>
        </w:numPr>
        <w:spacing w:line="560" w:lineRule="exact"/>
        <w:ind w:firstLine="1200" w:firstLineChars="400"/>
        <w:outlineLvl w:val="0"/>
        <w:rPr>
          <w:rFonts w:hint="eastAsia" w:ascii="宋体" w:hAnsi="宋体" w:eastAsia="宋体" w:cs="宋体"/>
          <w:sz w:val="30"/>
          <w:szCs w:val="30"/>
        </w:rPr>
      </w:pPr>
      <w:bookmarkStart w:id="81" w:name="_Toc11279_WPSOffice_Level1"/>
      <w:r>
        <w:rPr>
          <w:rFonts w:hint="eastAsia" w:cs="宋体"/>
          <w:color w:val="000000"/>
          <w:sz w:val="30"/>
          <w:szCs w:val="30"/>
          <w:lang w:eastAsia="zh-CN"/>
        </w:rPr>
        <w:t>六、意见</w:t>
      </w:r>
      <w:r>
        <w:rPr>
          <w:rFonts w:hint="eastAsia" w:ascii="宋体" w:hAnsi="宋体" w:eastAsia="宋体" w:cs="宋体"/>
          <w:color w:val="000000"/>
          <w:sz w:val="30"/>
          <w:szCs w:val="30"/>
        </w:rPr>
        <w:t>及建议</w:t>
      </w:r>
      <w:bookmarkEnd w:id="81"/>
    </w:p>
    <w:p w14:paraId="07F3086B">
      <w:pPr>
        <w:ind w:firstLine="600" w:firstLineChars="200"/>
        <w:rPr>
          <w:rFonts w:hint="eastAsia" w:ascii="宋体" w:hAnsi="宋体" w:eastAsia="宋体" w:cs="宋体"/>
          <w:sz w:val="30"/>
          <w:szCs w:val="30"/>
        </w:rPr>
      </w:pPr>
      <w:r>
        <w:rPr>
          <w:rFonts w:hint="eastAsia" w:ascii="宋体" w:hAnsi="宋体" w:eastAsia="宋体" w:cs="宋体"/>
          <w:sz w:val="30"/>
          <w:szCs w:val="30"/>
        </w:rPr>
        <w:t>我校在项目的申请、资金下达、项目实施等方面严格按照规定的程序，使该项目能够按时完成，但在今后的工作中还要再精益求精，狠抓细节管理，提高资金的使用效率，让</w:t>
      </w:r>
      <w:r>
        <w:rPr>
          <w:rFonts w:hint="eastAsia" w:ascii="宋体" w:hAnsi="宋体" w:eastAsia="宋体" w:cs="宋体"/>
          <w:sz w:val="30"/>
          <w:szCs w:val="30"/>
          <w:lang w:val="en-US" w:eastAsia="zh-CN"/>
        </w:rPr>
        <w:t>项目资金做到专款专用，</w:t>
      </w:r>
      <w:r>
        <w:rPr>
          <w:rFonts w:hint="eastAsia" w:ascii="宋体" w:hAnsi="宋体" w:eastAsia="宋体" w:cs="宋体"/>
          <w:sz w:val="30"/>
          <w:szCs w:val="30"/>
        </w:rPr>
        <w:t>更好的服务于教学，从而提升教学水平，使学生、家长、教职工以及社会对我校的教学工作更加满意。</w:t>
      </w:r>
    </w:p>
    <w:p w14:paraId="36FEABAE">
      <w:pPr>
        <w:pStyle w:val="2"/>
        <w:rPr>
          <w:rFonts w:hint="eastAsia" w:ascii="宋体" w:hAnsi="宋体" w:eastAsia="宋体" w:cs="宋体"/>
          <w:sz w:val="30"/>
          <w:szCs w:val="30"/>
        </w:rPr>
      </w:pPr>
    </w:p>
    <w:p w14:paraId="4ACCFA96">
      <w:pPr>
        <w:pStyle w:val="7"/>
        <w:spacing w:line="560" w:lineRule="exact"/>
        <w:ind w:left="420" w:leftChars="200" w:firstLine="4650" w:firstLineChars="1550"/>
        <w:outlineLvl w:val="0"/>
        <w:rPr>
          <w:rFonts w:hint="eastAsia" w:ascii="宋体" w:hAnsi="宋体" w:eastAsia="宋体" w:cs="宋体"/>
          <w:color w:val="000000"/>
          <w:sz w:val="30"/>
          <w:szCs w:val="30"/>
        </w:rPr>
      </w:pPr>
      <w:r>
        <w:rPr>
          <w:rFonts w:hint="eastAsia" w:cs="宋体"/>
          <w:color w:val="000000"/>
          <w:sz w:val="30"/>
          <w:szCs w:val="30"/>
          <w:lang w:val="en-US" w:eastAsia="zh-CN"/>
        </w:rPr>
        <w:t>20</w:t>
      </w:r>
      <w:r>
        <w:rPr>
          <w:rFonts w:hint="eastAsia" w:ascii="宋体" w:hAnsi="宋体" w:eastAsia="宋体" w:cs="宋体"/>
          <w:color w:val="000000"/>
          <w:sz w:val="30"/>
          <w:szCs w:val="30"/>
          <w:lang w:val="en-US" w:eastAsia="zh-CN"/>
        </w:rPr>
        <w:t>23</w:t>
      </w:r>
      <w:r>
        <w:rPr>
          <w:rFonts w:hint="eastAsia" w:ascii="宋体" w:hAnsi="宋体" w:eastAsia="宋体" w:cs="宋体"/>
          <w:color w:val="000000"/>
          <w:sz w:val="30"/>
          <w:szCs w:val="30"/>
        </w:rPr>
        <w:t>年</w:t>
      </w:r>
      <w:r>
        <w:rPr>
          <w:rFonts w:hint="eastAsia" w:ascii="宋体" w:hAnsi="宋体" w:eastAsia="宋体" w:cs="宋体"/>
          <w:color w:val="000000"/>
          <w:sz w:val="30"/>
          <w:szCs w:val="30"/>
          <w:lang w:val="en-US" w:eastAsia="zh-CN"/>
        </w:rPr>
        <w:t>3</w:t>
      </w:r>
      <w:r>
        <w:rPr>
          <w:rFonts w:hint="eastAsia" w:ascii="宋体" w:hAnsi="宋体" w:eastAsia="宋体" w:cs="宋体"/>
          <w:color w:val="000000"/>
          <w:sz w:val="30"/>
          <w:szCs w:val="30"/>
        </w:rPr>
        <w:t>月</w:t>
      </w:r>
      <w:r>
        <w:rPr>
          <w:rFonts w:hint="eastAsia" w:ascii="宋体" w:hAnsi="宋体" w:eastAsia="宋体" w:cs="宋体"/>
          <w:color w:val="000000"/>
          <w:sz w:val="30"/>
          <w:szCs w:val="30"/>
          <w:lang w:val="en-US" w:eastAsia="zh-CN"/>
        </w:rPr>
        <w:t>16</w:t>
      </w:r>
      <w:r>
        <w:rPr>
          <w:rFonts w:hint="eastAsia" w:ascii="宋体" w:hAnsi="宋体" w:eastAsia="宋体" w:cs="宋体"/>
          <w:color w:val="000000"/>
          <w:sz w:val="30"/>
          <w:szCs w:val="30"/>
        </w:rPr>
        <w:t>日</w:t>
      </w:r>
    </w:p>
    <w:p w14:paraId="5497D57E">
      <w:pPr>
        <w:rPr>
          <w:rFonts w:hint="eastAsia" w:ascii="宋体" w:hAnsi="宋体" w:eastAsia="宋体" w:cs="宋体"/>
          <w:sz w:val="30"/>
          <w:szCs w:val="30"/>
        </w:rPr>
      </w:pPr>
    </w:p>
    <w:sectPr>
      <w:footerReference r:id="rId3" w:type="default"/>
      <w:pgSz w:w="11906" w:h="16838"/>
      <w:pgMar w:top="1701" w:right="1474" w:bottom="1701" w:left="1587"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9CFA3E">
    <w:pPr>
      <w:pStyle w:val="4"/>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M6pebnPAAAABQEAAA8A&#10;AAAAAAAAAQAgAAAAIgAAAGRycy9kb3ducmV2LnhtbFBLAQIUABQAAAAIAIdO4kDhzD29rgEAAEsD&#10;AAAOAAAAAAAAAAEAIAAAAB4BAABkcnMvZTJvRG9jLnhtbFBLBQYAAAAABgAGAFkBAAA+BQAAAAA=&#10;">
          <v:path/>
          <v:fill on="f" focussize="0,0"/>
          <v:stroke on="f" joinstyle="miter"/>
          <v:imagedata o:title=""/>
          <o:lock v:ext="edit"/>
          <v:textbox inset="0mm,0mm,0mm,0mm" style="mso-fit-shape-to-text:t;">
            <w:txbxContent>
              <w:p w14:paraId="5580F984">
                <w:pPr>
                  <w:pStyle w:val="4"/>
                </w:pP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DQ4ZjJjMDVlZjk3MzZjZTliYjFiOGEyYzk2OWFhMzkifQ=="/>
  </w:docVars>
  <w:rsids>
    <w:rsidRoot w:val="07CC499B"/>
    <w:rsid w:val="00092B14"/>
    <w:rsid w:val="000D47D0"/>
    <w:rsid w:val="001373BE"/>
    <w:rsid w:val="001F3212"/>
    <w:rsid w:val="002707C6"/>
    <w:rsid w:val="00280F82"/>
    <w:rsid w:val="003170CE"/>
    <w:rsid w:val="003C4354"/>
    <w:rsid w:val="00645DBC"/>
    <w:rsid w:val="007812E3"/>
    <w:rsid w:val="00814E39"/>
    <w:rsid w:val="008C7CF4"/>
    <w:rsid w:val="00A02C66"/>
    <w:rsid w:val="00AB413B"/>
    <w:rsid w:val="00B60E03"/>
    <w:rsid w:val="00D25A69"/>
    <w:rsid w:val="00D25CC3"/>
    <w:rsid w:val="00D3165F"/>
    <w:rsid w:val="00D471F4"/>
    <w:rsid w:val="00D5394A"/>
    <w:rsid w:val="00DB6DF3"/>
    <w:rsid w:val="00E30CAE"/>
    <w:rsid w:val="00E310A2"/>
    <w:rsid w:val="00EF2BA5"/>
    <w:rsid w:val="00EF6DA3"/>
    <w:rsid w:val="00FA340E"/>
    <w:rsid w:val="01B67D1F"/>
    <w:rsid w:val="01CA2AF2"/>
    <w:rsid w:val="03274687"/>
    <w:rsid w:val="04064A0C"/>
    <w:rsid w:val="04321BCD"/>
    <w:rsid w:val="04FF4482"/>
    <w:rsid w:val="057A0A50"/>
    <w:rsid w:val="064C4C17"/>
    <w:rsid w:val="076C3175"/>
    <w:rsid w:val="07CC499B"/>
    <w:rsid w:val="0815567D"/>
    <w:rsid w:val="0909607F"/>
    <w:rsid w:val="09A64785"/>
    <w:rsid w:val="0A3B4E4B"/>
    <w:rsid w:val="0B601B06"/>
    <w:rsid w:val="0BEB58BF"/>
    <w:rsid w:val="0C15027B"/>
    <w:rsid w:val="0C3B2A49"/>
    <w:rsid w:val="0DAA4EE9"/>
    <w:rsid w:val="0E3117D9"/>
    <w:rsid w:val="102B0836"/>
    <w:rsid w:val="1064155D"/>
    <w:rsid w:val="109060D6"/>
    <w:rsid w:val="1156122B"/>
    <w:rsid w:val="11F11891"/>
    <w:rsid w:val="12C35BB4"/>
    <w:rsid w:val="140849FA"/>
    <w:rsid w:val="14583EA3"/>
    <w:rsid w:val="151D09B5"/>
    <w:rsid w:val="1689469A"/>
    <w:rsid w:val="16DB1E7D"/>
    <w:rsid w:val="1789337F"/>
    <w:rsid w:val="178C6C5A"/>
    <w:rsid w:val="17CD646A"/>
    <w:rsid w:val="184F3049"/>
    <w:rsid w:val="1B3F225B"/>
    <w:rsid w:val="1B4269FF"/>
    <w:rsid w:val="1D4B3C83"/>
    <w:rsid w:val="1DBD7AB3"/>
    <w:rsid w:val="1E0B387E"/>
    <w:rsid w:val="21460607"/>
    <w:rsid w:val="21FF1E9B"/>
    <w:rsid w:val="23C1122C"/>
    <w:rsid w:val="243D751D"/>
    <w:rsid w:val="24522B03"/>
    <w:rsid w:val="25ED2FD4"/>
    <w:rsid w:val="264A346A"/>
    <w:rsid w:val="26F14003"/>
    <w:rsid w:val="270A41B9"/>
    <w:rsid w:val="274B3C4E"/>
    <w:rsid w:val="285356FD"/>
    <w:rsid w:val="288E37E0"/>
    <w:rsid w:val="290243B4"/>
    <w:rsid w:val="2A5C748F"/>
    <w:rsid w:val="2B10000E"/>
    <w:rsid w:val="2B2D56DA"/>
    <w:rsid w:val="2D391E20"/>
    <w:rsid w:val="30785FD3"/>
    <w:rsid w:val="31702E0D"/>
    <w:rsid w:val="33C32B3C"/>
    <w:rsid w:val="34E52524"/>
    <w:rsid w:val="35CA4ECD"/>
    <w:rsid w:val="35CE5164"/>
    <w:rsid w:val="35F07825"/>
    <w:rsid w:val="360C2FBA"/>
    <w:rsid w:val="363913FE"/>
    <w:rsid w:val="36D6548C"/>
    <w:rsid w:val="376918C7"/>
    <w:rsid w:val="37832AC7"/>
    <w:rsid w:val="38195BED"/>
    <w:rsid w:val="39B23A02"/>
    <w:rsid w:val="3A4766ED"/>
    <w:rsid w:val="3A713A3B"/>
    <w:rsid w:val="3AAB2217"/>
    <w:rsid w:val="3CAE49E3"/>
    <w:rsid w:val="3DAE40CB"/>
    <w:rsid w:val="3E7103A9"/>
    <w:rsid w:val="3E7E746E"/>
    <w:rsid w:val="3EBE2184"/>
    <w:rsid w:val="3F5912F8"/>
    <w:rsid w:val="3F9B4FC0"/>
    <w:rsid w:val="41B74B09"/>
    <w:rsid w:val="43DC781A"/>
    <w:rsid w:val="441C7555"/>
    <w:rsid w:val="450A0AA4"/>
    <w:rsid w:val="45236574"/>
    <w:rsid w:val="46434BE2"/>
    <w:rsid w:val="46AA6AA7"/>
    <w:rsid w:val="478E0E32"/>
    <w:rsid w:val="47F461E2"/>
    <w:rsid w:val="48A2447B"/>
    <w:rsid w:val="49430BD9"/>
    <w:rsid w:val="494625CA"/>
    <w:rsid w:val="4BD23ED8"/>
    <w:rsid w:val="4C2846CD"/>
    <w:rsid w:val="4C7A4C55"/>
    <w:rsid w:val="4F6A54EE"/>
    <w:rsid w:val="4FDF6ED1"/>
    <w:rsid w:val="514C0EC5"/>
    <w:rsid w:val="51F50157"/>
    <w:rsid w:val="52866F20"/>
    <w:rsid w:val="52EE7A8B"/>
    <w:rsid w:val="535B290E"/>
    <w:rsid w:val="53F1208F"/>
    <w:rsid w:val="54DE5250"/>
    <w:rsid w:val="55495194"/>
    <w:rsid w:val="56115CEE"/>
    <w:rsid w:val="56D42516"/>
    <w:rsid w:val="56FE5044"/>
    <w:rsid w:val="57E03285"/>
    <w:rsid w:val="5AE71036"/>
    <w:rsid w:val="5B5F30DA"/>
    <w:rsid w:val="5BAF6F84"/>
    <w:rsid w:val="5BE03A0F"/>
    <w:rsid w:val="5D5C7CBD"/>
    <w:rsid w:val="5DF86B3F"/>
    <w:rsid w:val="5F1C1ADB"/>
    <w:rsid w:val="60134031"/>
    <w:rsid w:val="60C120AA"/>
    <w:rsid w:val="6304094B"/>
    <w:rsid w:val="64165E4C"/>
    <w:rsid w:val="6536013A"/>
    <w:rsid w:val="68DA698B"/>
    <w:rsid w:val="6A3E1F45"/>
    <w:rsid w:val="6CCC6D4C"/>
    <w:rsid w:val="6D5F4EC3"/>
    <w:rsid w:val="6E3F5A2C"/>
    <w:rsid w:val="7008088F"/>
    <w:rsid w:val="712634CC"/>
    <w:rsid w:val="71A3781D"/>
    <w:rsid w:val="724E698E"/>
    <w:rsid w:val="74370BCE"/>
    <w:rsid w:val="756501CF"/>
    <w:rsid w:val="778F438E"/>
    <w:rsid w:val="7A055146"/>
    <w:rsid w:val="7A757A3F"/>
    <w:rsid w:val="7C647BFE"/>
    <w:rsid w:val="7D9B64C3"/>
    <w:rsid w:val="7FA8571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w:basedOn w:val="1"/>
    <w:unhideWhenUsed/>
    <w:qFormat/>
    <w:uiPriority w:val="99"/>
  </w:style>
  <w:style w:type="paragraph" w:styleId="3">
    <w:name w:val="Body Text Indent"/>
    <w:basedOn w:val="1"/>
    <w:qFormat/>
    <w:uiPriority w:val="0"/>
    <w:pPr>
      <w:spacing w:line="600" w:lineRule="exact"/>
      <w:ind w:firstLine="560" w:firstLineChars="200"/>
      <w:textAlignment w:val="center"/>
    </w:pPr>
    <w:rPr>
      <w:rFonts w:ascii="宋体" w:hAnsi="宋体"/>
      <w:color w:val="FF0000"/>
      <w:sz w:val="28"/>
      <w:szCs w:val="28"/>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100" w:beforeAutospacing="1" w:after="100" w:afterAutospacing="1"/>
      <w:jc w:val="left"/>
    </w:pPr>
    <w:rPr>
      <w:kern w:val="0"/>
      <w:sz w:val="24"/>
    </w:rPr>
  </w:style>
  <w:style w:type="paragraph" w:styleId="7">
    <w:name w:val="Body Text First Indent 2"/>
    <w:basedOn w:val="3"/>
    <w:next w:val="1"/>
    <w:qFormat/>
    <w:uiPriority w:val="0"/>
    <w:pPr>
      <w:ind w:firstLine="420"/>
    </w:pPr>
  </w:style>
  <w:style w:type="character" w:styleId="10">
    <w:name w:val="Strong"/>
    <w:basedOn w:val="9"/>
    <w:qFormat/>
    <w:uiPriority w:val="0"/>
    <w:rPr>
      <w:b/>
    </w:rPr>
  </w:style>
  <w:style w:type="paragraph" w:customStyle="1" w:styleId="11">
    <w:name w:val="WPSOffice手动目录 1"/>
    <w:qFormat/>
    <w:uiPriority w:val="0"/>
    <w:rPr>
      <w:rFonts w:ascii="Times New Roman" w:hAnsi="Times New Roman" w:eastAsia="宋体" w:cs="Times New Roman"/>
      <w:lang w:val="en-US" w:eastAsia="zh-CN" w:bidi="ar-SA"/>
    </w:rPr>
  </w:style>
  <w:style w:type="paragraph" w:customStyle="1" w:styleId="12">
    <w:name w:val="WPSOffice手动目录 2"/>
    <w:qFormat/>
    <w:uiPriority w:val="0"/>
    <w:pPr>
      <w:ind w:left="200" w:leftChars="200"/>
    </w:pPr>
    <w:rPr>
      <w:rFonts w:ascii="Times New Roman" w:hAnsi="Times New Roman" w:eastAsia="宋体" w:cs="Times New Roman"/>
      <w:lang w:val="en-US" w:eastAsia="zh-CN" w:bidi="ar-SA"/>
    </w:rPr>
  </w:style>
  <w:style w:type="character" w:customStyle="1" w:styleId="13">
    <w:name w:val="页眉 Char"/>
    <w:basedOn w:val="9"/>
    <w:link w:val="5"/>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8</Pages>
  <Words>3339</Words>
  <Characters>3512</Characters>
  <Lines>9</Lines>
  <Paragraphs>2</Paragraphs>
  <TotalTime>8</TotalTime>
  <ScaleCrop>false</ScaleCrop>
  <LinksUpToDate>false</LinksUpToDate>
  <CharactersWithSpaces>3612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2021-07-20T09:00:00Z</dcterms:created>
  <dc:creator>user</dc:creator>
  <cp:lastModifiedBy>齐赞法</cp:lastModifiedBy>
  <cp:lastPrinted>2023-03-20T03:38:00Z</cp:lastPrinted>
  <dcterms:modified xsi:type="dcterms:W3CDTF">2026-05-20T07:42:54Z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5E3D0DD29BA247FB8DA960BF496271E0</vt:lpwstr>
  </property>
  <property fmtid="{D5CDD505-2E9C-101B-9397-08002B2CF9AE}" pid="4" name="KSOTemplateDocerSaveRecord">
    <vt:lpwstr>eyJoZGlkIjoiZTg1NGM5MzY4ZmUyZDFhOTM5ZDIwNDFhOWMxOGI2YmUiLCJ1c2VySWQiOiI2MjQzMDU2NzcifQ==</vt:lpwstr>
  </property>
</Properties>
</file>