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54AD6">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14:paraId="342394CF">
      <w:pPr>
        <w:spacing w:line="580" w:lineRule="exact"/>
        <w:ind w:firstLine="720" w:firstLineChars="199"/>
        <w:rPr>
          <w:rFonts w:ascii="仿宋_GB2312" w:hAnsi="仿宋_GB2312" w:eastAsia="仿宋_GB2312" w:cs="仿宋_GB2312"/>
          <w:b/>
          <w:bCs/>
          <w:spacing w:val="-20"/>
          <w:sz w:val="40"/>
          <w:szCs w:val="48"/>
        </w:rPr>
      </w:pPr>
    </w:p>
    <w:p w14:paraId="53128C7A">
      <w:pPr>
        <w:spacing w:line="580" w:lineRule="exact"/>
        <w:ind w:firstLine="799" w:firstLineChars="199"/>
        <w:jc w:val="center"/>
        <w:rPr>
          <w:rFonts w:hint="eastAsia" w:ascii="仿宋" w:hAnsi="仿宋" w:eastAsia="仿宋" w:cs="仿宋"/>
          <w:b/>
          <w:bCs/>
          <w:spacing w:val="-20"/>
          <w:sz w:val="44"/>
          <w:szCs w:val="44"/>
          <w:lang w:val="en-US" w:eastAsia="zh-CN"/>
        </w:rPr>
      </w:pPr>
      <w:r>
        <w:rPr>
          <w:rFonts w:hint="eastAsia" w:ascii="仿宋" w:hAnsi="仿宋" w:eastAsia="仿宋" w:cs="仿宋"/>
          <w:b/>
          <w:bCs/>
          <w:spacing w:val="-20"/>
          <w:sz w:val="44"/>
          <w:szCs w:val="44"/>
          <w:lang w:val="en-US" w:eastAsia="zh-CN"/>
        </w:rPr>
        <w:t>下达专项债券/隆尧县职业</w:t>
      </w:r>
    </w:p>
    <w:p w14:paraId="4AE84F1F">
      <w:pPr>
        <w:spacing w:line="580" w:lineRule="exact"/>
        <w:ind w:firstLine="799" w:firstLineChars="199"/>
        <w:jc w:val="center"/>
        <w:rPr>
          <w:rFonts w:hint="eastAsia" w:ascii="仿宋" w:hAnsi="仿宋" w:eastAsia="仿宋" w:cs="仿宋"/>
          <w:b/>
          <w:bCs/>
          <w:sz w:val="44"/>
          <w:szCs w:val="44"/>
        </w:rPr>
      </w:pPr>
      <w:r>
        <w:rPr>
          <w:rFonts w:hint="eastAsia" w:ascii="仿宋" w:hAnsi="仿宋" w:eastAsia="仿宋" w:cs="仿宋"/>
          <w:b/>
          <w:bCs/>
          <w:spacing w:val="-20"/>
          <w:sz w:val="44"/>
          <w:szCs w:val="44"/>
          <w:lang w:val="en-US" w:eastAsia="zh-CN"/>
        </w:rPr>
        <w:t>技术教育中心教科研研发中心</w:t>
      </w:r>
      <w:r>
        <w:rPr>
          <w:rFonts w:hint="eastAsia" w:ascii="仿宋" w:hAnsi="仿宋" w:eastAsia="仿宋" w:cs="仿宋"/>
          <w:b/>
          <w:bCs/>
          <w:sz w:val="44"/>
          <w:szCs w:val="44"/>
        </w:rPr>
        <w:t>项目</w:t>
      </w:r>
    </w:p>
    <w:p w14:paraId="47A2590C">
      <w:pPr>
        <w:spacing w:line="580" w:lineRule="exact"/>
        <w:ind w:firstLine="879" w:firstLineChars="199"/>
        <w:jc w:val="center"/>
        <w:rPr>
          <w:rFonts w:hint="eastAsia" w:ascii="仿宋" w:hAnsi="仿宋" w:eastAsia="仿宋" w:cs="仿宋"/>
          <w:b/>
          <w:bCs/>
          <w:sz w:val="44"/>
          <w:szCs w:val="44"/>
        </w:rPr>
      </w:pPr>
      <w:r>
        <w:rPr>
          <w:rFonts w:hint="eastAsia" w:ascii="仿宋" w:hAnsi="仿宋" w:eastAsia="仿宋" w:cs="仿宋"/>
          <w:b/>
          <w:bCs/>
          <w:sz w:val="44"/>
          <w:szCs w:val="44"/>
        </w:rPr>
        <w:t>重点自评绩效报告</w:t>
      </w:r>
    </w:p>
    <w:p w14:paraId="120C9B9A">
      <w:pPr>
        <w:rPr>
          <w:rFonts w:hint="eastAsia" w:ascii="仿宋" w:hAnsi="仿宋" w:eastAsia="仿宋" w:cs="仿宋"/>
          <w:sz w:val="44"/>
          <w:szCs w:val="44"/>
        </w:rPr>
      </w:pPr>
      <w:r>
        <w:rPr>
          <w:rFonts w:hint="eastAsia" w:ascii="仿宋" w:hAnsi="仿宋" w:eastAsia="仿宋" w:cs="仿宋"/>
          <w:sz w:val="44"/>
          <w:szCs w:val="44"/>
        </w:rPr>
        <w:t xml:space="preserve">                         </w:t>
      </w:r>
    </w:p>
    <w:p w14:paraId="3D1AA010">
      <w:pPr>
        <w:rPr>
          <w:rFonts w:hint="eastAsia" w:ascii="仿宋" w:hAnsi="仿宋" w:eastAsia="仿宋" w:cs="仿宋"/>
          <w:sz w:val="32"/>
          <w:szCs w:val="32"/>
        </w:rPr>
      </w:pPr>
    </w:p>
    <w:p w14:paraId="2BCFD7F6">
      <w:pPr>
        <w:rPr>
          <w:rFonts w:hint="eastAsia" w:ascii="仿宋" w:hAnsi="仿宋" w:eastAsia="仿宋" w:cs="仿宋"/>
          <w:sz w:val="32"/>
          <w:szCs w:val="32"/>
        </w:rPr>
      </w:pPr>
    </w:p>
    <w:p w14:paraId="6CC48485">
      <w:pPr>
        <w:pStyle w:val="7"/>
        <w:ind w:firstLine="560"/>
        <w:rPr>
          <w:rFonts w:hint="eastAsia" w:ascii="仿宋" w:hAnsi="仿宋" w:eastAsia="仿宋" w:cs="仿宋"/>
          <w:sz w:val="32"/>
          <w:szCs w:val="32"/>
        </w:rPr>
      </w:pPr>
    </w:p>
    <w:p w14:paraId="08275497">
      <w:pPr>
        <w:rPr>
          <w:rFonts w:hint="eastAsia" w:ascii="仿宋" w:hAnsi="仿宋" w:eastAsia="仿宋" w:cs="仿宋"/>
          <w:sz w:val="32"/>
          <w:szCs w:val="32"/>
        </w:rPr>
      </w:pPr>
    </w:p>
    <w:p w14:paraId="256DCE8E">
      <w:pPr>
        <w:pStyle w:val="7"/>
        <w:ind w:firstLine="560"/>
        <w:rPr>
          <w:rFonts w:hint="eastAsia" w:ascii="仿宋" w:hAnsi="仿宋" w:eastAsia="仿宋" w:cs="仿宋"/>
          <w:sz w:val="32"/>
          <w:szCs w:val="32"/>
        </w:rPr>
      </w:pPr>
    </w:p>
    <w:p w14:paraId="2C193B20">
      <w:pPr>
        <w:rPr>
          <w:rFonts w:hint="eastAsia" w:ascii="仿宋" w:hAnsi="仿宋" w:eastAsia="仿宋" w:cs="仿宋"/>
          <w:sz w:val="32"/>
          <w:szCs w:val="32"/>
        </w:rPr>
      </w:pPr>
    </w:p>
    <w:p w14:paraId="1DFCB3BE">
      <w:pPr>
        <w:pStyle w:val="7"/>
        <w:ind w:firstLine="560"/>
        <w:rPr>
          <w:rFonts w:hint="eastAsia" w:ascii="仿宋" w:hAnsi="仿宋" w:eastAsia="仿宋" w:cs="仿宋"/>
          <w:sz w:val="32"/>
          <w:szCs w:val="32"/>
        </w:rPr>
      </w:pPr>
    </w:p>
    <w:p w14:paraId="332A015E">
      <w:pPr>
        <w:spacing w:line="580" w:lineRule="exact"/>
        <w:jc w:val="both"/>
        <w:rPr>
          <w:rFonts w:hint="eastAsia" w:ascii="仿宋" w:hAnsi="仿宋" w:eastAsia="仿宋" w:cs="仿宋"/>
          <w:spacing w:val="-20"/>
          <w:sz w:val="32"/>
          <w:szCs w:val="32"/>
          <w:u w:val="single"/>
        </w:rPr>
      </w:pPr>
      <w:r>
        <w:rPr>
          <w:rFonts w:hint="eastAsia" w:ascii="仿宋" w:hAnsi="仿宋" w:eastAsia="仿宋" w:cs="仿宋"/>
          <w:spacing w:val="11"/>
          <w:sz w:val="32"/>
          <w:szCs w:val="32"/>
        </w:rPr>
        <w:t>项 目 名 称：</w:t>
      </w:r>
      <w:r>
        <w:rPr>
          <w:rFonts w:hint="eastAsia" w:ascii="仿宋" w:hAnsi="仿宋" w:eastAsia="仿宋" w:cs="仿宋"/>
          <w:b/>
          <w:bCs/>
          <w:spacing w:val="-20"/>
          <w:sz w:val="32"/>
          <w:szCs w:val="32"/>
          <w:lang w:val="en-US" w:eastAsia="zh-CN"/>
        </w:rPr>
        <w:t>隆尧县职业技术教育中心教科研研发中心</w:t>
      </w:r>
      <w:r>
        <w:rPr>
          <w:rFonts w:hint="eastAsia" w:ascii="仿宋" w:hAnsi="仿宋" w:eastAsia="仿宋" w:cs="仿宋"/>
          <w:b/>
          <w:bCs/>
          <w:sz w:val="32"/>
          <w:szCs w:val="32"/>
          <w:u w:val="single"/>
        </w:rPr>
        <w:t xml:space="preserve"> </w:t>
      </w:r>
    </w:p>
    <w:p w14:paraId="71CBC706">
      <w:pPr>
        <w:spacing w:line="760" w:lineRule="exact"/>
        <w:rPr>
          <w:rFonts w:hint="eastAsia" w:ascii="仿宋" w:hAnsi="仿宋" w:eastAsia="仿宋" w:cs="仿宋"/>
          <w:sz w:val="32"/>
          <w:szCs w:val="32"/>
          <w:u w:val="single"/>
          <w:lang w:val="en-US" w:eastAsia="zh-CN"/>
        </w:rPr>
      </w:pPr>
      <w:r>
        <w:rPr>
          <w:rFonts w:hint="eastAsia" w:ascii="仿宋" w:hAnsi="仿宋" w:eastAsia="仿宋" w:cs="仿宋"/>
          <w:sz w:val="32"/>
          <w:szCs w:val="32"/>
        </w:rPr>
        <w:t>项目实施单位：</w:t>
      </w:r>
      <w:r>
        <w:rPr>
          <w:rFonts w:hint="eastAsia" w:ascii="仿宋" w:hAnsi="仿宋" w:eastAsia="仿宋" w:cs="仿宋"/>
          <w:kern w:val="0"/>
          <w:sz w:val="32"/>
          <w:szCs w:val="32"/>
          <w:u w:val="single"/>
          <w:lang w:val="en-US" w:eastAsia="zh-CN"/>
        </w:rPr>
        <w:t>隆尧县职业技术教育中心</w:t>
      </w:r>
    </w:p>
    <w:p w14:paraId="5CF28CCA">
      <w:pPr>
        <w:spacing w:line="760" w:lineRule="exact"/>
        <w:rPr>
          <w:rFonts w:hint="eastAsia" w:ascii="仿宋" w:hAnsi="仿宋" w:eastAsia="仿宋" w:cs="仿宋"/>
          <w:sz w:val="32"/>
          <w:szCs w:val="32"/>
          <w:u w:val="single"/>
        </w:rPr>
      </w:pPr>
      <w:r>
        <w:rPr>
          <w:rFonts w:hint="eastAsia" w:ascii="仿宋" w:hAnsi="仿宋" w:eastAsia="仿宋" w:cs="仿宋"/>
          <w:spacing w:val="28"/>
          <w:sz w:val="32"/>
          <w:szCs w:val="32"/>
        </w:rPr>
        <w:t>项目总金额：</w:t>
      </w:r>
      <w:r>
        <w:rPr>
          <w:rFonts w:hint="eastAsia" w:ascii="仿宋" w:hAnsi="仿宋" w:eastAsia="仿宋" w:cs="仿宋"/>
          <w:kern w:val="0"/>
          <w:sz w:val="32"/>
          <w:szCs w:val="32"/>
          <w:u w:val="single"/>
          <w:lang w:val="en-US" w:eastAsia="zh-CN"/>
        </w:rPr>
        <w:t>1477.5724</w:t>
      </w:r>
      <w:r>
        <w:rPr>
          <w:rFonts w:hint="eastAsia" w:ascii="仿宋" w:hAnsi="仿宋" w:eastAsia="仿宋" w:cs="仿宋"/>
          <w:kern w:val="0"/>
          <w:sz w:val="32"/>
          <w:szCs w:val="32"/>
          <w:u w:val="single"/>
        </w:rPr>
        <w:t xml:space="preserve"> 万元</w:t>
      </w:r>
    </w:p>
    <w:p w14:paraId="7197384C">
      <w:pPr>
        <w:spacing w:line="760" w:lineRule="exact"/>
        <w:rPr>
          <w:rFonts w:hint="eastAsia" w:ascii="仿宋" w:hAnsi="仿宋" w:eastAsia="仿宋" w:cs="仿宋"/>
          <w:sz w:val="32"/>
          <w:szCs w:val="32"/>
          <w:u w:val="single"/>
        </w:rPr>
      </w:pPr>
      <w:r>
        <w:rPr>
          <w:rFonts w:hint="eastAsia" w:ascii="仿宋" w:hAnsi="仿宋" w:eastAsia="仿宋" w:cs="仿宋"/>
          <w:spacing w:val="11"/>
          <w:sz w:val="32"/>
          <w:szCs w:val="32"/>
        </w:rPr>
        <w:t>评 价 年 度：</w:t>
      </w:r>
      <w:r>
        <w:rPr>
          <w:rFonts w:hint="eastAsia" w:ascii="仿宋" w:hAnsi="仿宋" w:eastAsia="仿宋" w:cs="仿宋"/>
          <w:sz w:val="32"/>
          <w:szCs w:val="32"/>
          <w:u w:val="single"/>
        </w:rPr>
        <w:t>2022年度</w:t>
      </w:r>
    </w:p>
    <w:p w14:paraId="3AB0AFE7">
      <w:pPr>
        <w:spacing w:line="760" w:lineRule="exact"/>
        <w:rPr>
          <w:rFonts w:hint="eastAsia" w:ascii="仿宋" w:hAnsi="仿宋" w:eastAsia="仿宋" w:cs="仿宋"/>
          <w:sz w:val="32"/>
          <w:szCs w:val="32"/>
          <w:u w:val="single"/>
        </w:rPr>
      </w:pPr>
      <w:r>
        <w:rPr>
          <w:rFonts w:hint="eastAsia" w:ascii="仿宋" w:hAnsi="仿宋" w:eastAsia="仿宋" w:cs="仿宋"/>
          <w:spacing w:val="28"/>
          <w:sz w:val="32"/>
          <w:szCs w:val="32"/>
        </w:rPr>
        <w:t>评价组组长：</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李现国</w:t>
      </w:r>
    </w:p>
    <w:p w14:paraId="5EB079FE">
      <w:pPr>
        <w:spacing w:line="760" w:lineRule="exact"/>
        <w:rPr>
          <w:rFonts w:hint="eastAsia" w:ascii="仿宋" w:hAnsi="仿宋" w:eastAsia="仿宋" w:cs="仿宋"/>
          <w:sz w:val="32"/>
          <w:szCs w:val="32"/>
        </w:rPr>
      </w:pPr>
      <w:r>
        <w:rPr>
          <w:rFonts w:hint="eastAsia" w:ascii="仿宋" w:hAnsi="仿宋" w:eastAsia="仿宋" w:cs="仿宋"/>
          <w:spacing w:val="28"/>
          <w:sz w:val="32"/>
          <w:szCs w:val="32"/>
        </w:rPr>
        <w:t>评价组成员：</w:t>
      </w:r>
      <w:r>
        <w:rPr>
          <w:rFonts w:hint="eastAsia" w:ascii="仿宋" w:hAnsi="仿宋" w:eastAsia="仿宋" w:cs="仿宋"/>
          <w:sz w:val="32"/>
          <w:szCs w:val="32"/>
          <w:u w:val="single"/>
          <w:lang w:val="en-US" w:eastAsia="zh-CN"/>
        </w:rPr>
        <w:t>卫路周 田立方 韩丽梅 杨凌军 刘敬敏</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齐军毅</w:t>
      </w:r>
      <w:r>
        <w:rPr>
          <w:rFonts w:hint="eastAsia" w:ascii="仿宋" w:hAnsi="仿宋" w:eastAsia="仿宋" w:cs="仿宋"/>
          <w:sz w:val="32"/>
          <w:szCs w:val="32"/>
          <w:u w:val="single"/>
        </w:rPr>
        <w:t xml:space="preserve">                                          </w:t>
      </w:r>
    </w:p>
    <w:p w14:paraId="2655A7D0">
      <w:pPr>
        <w:spacing w:line="580" w:lineRule="exact"/>
        <w:ind w:firstLine="643" w:firstLineChars="200"/>
        <w:outlineLvl w:val="0"/>
        <w:rPr>
          <w:rFonts w:hint="eastAsia" w:ascii="仿宋" w:hAnsi="仿宋" w:eastAsia="仿宋" w:cs="仿宋"/>
          <w:b/>
          <w:bCs/>
          <w:sz w:val="32"/>
          <w:szCs w:val="32"/>
        </w:rPr>
      </w:pPr>
      <w:bookmarkStart w:id="0" w:name="_Toc6314"/>
      <w:bookmarkStart w:id="1" w:name="_Toc23411"/>
      <w:bookmarkStart w:id="2" w:name="_Toc30335"/>
      <w:bookmarkStart w:id="3" w:name="_Toc16913"/>
      <w:bookmarkStart w:id="4" w:name="_Toc2245"/>
      <w:bookmarkStart w:id="5" w:name="_Toc18334"/>
      <w:bookmarkStart w:id="6" w:name="_Toc13153"/>
      <w:bookmarkStart w:id="7" w:name="_Toc4013"/>
      <w:bookmarkStart w:id="8" w:name="_Toc11301"/>
      <w:bookmarkStart w:id="9" w:name="_Toc9525"/>
    </w:p>
    <w:p w14:paraId="184E2C76">
      <w:pPr>
        <w:spacing w:line="580" w:lineRule="exact"/>
        <w:ind w:firstLine="643" w:firstLineChars="200"/>
        <w:outlineLvl w:val="0"/>
        <w:rPr>
          <w:rFonts w:hint="eastAsia" w:ascii="仿宋" w:hAnsi="仿宋" w:eastAsia="仿宋" w:cs="仿宋"/>
          <w:b/>
          <w:bCs/>
          <w:sz w:val="32"/>
          <w:szCs w:val="32"/>
        </w:rPr>
      </w:pPr>
    </w:p>
    <w:p w14:paraId="778E35A7">
      <w:pPr>
        <w:spacing w:line="58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rPr>
        <w:t>一、项目概况</w:t>
      </w:r>
      <w:bookmarkEnd w:id="0"/>
      <w:bookmarkEnd w:id="1"/>
      <w:bookmarkEnd w:id="2"/>
      <w:bookmarkEnd w:id="3"/>
      <w:bookmarkEnd w:id="4"/>
      <w:bookmarkEnd w:id="5"/>
      <w:bookmarkEnd w:id="6"/>
      <w:bookmarkEnd w:id="7"/>
      <w:bookmarkEnd w:id="8"/>
      <w:bookmarkEnd w:id="9"/>
    </w:p>
    <w:p w14:paraId="6A071C0F">
      <w:pPr>
        <w:spacing w:line="580" w:lineRule="exact"/>
        <w:ind w:firstLine="640" w:firstLineChars="200"/>
        <w:outlineLvl w:val="1"/>
        <w:rPr>
          <w:rFonts w:hint="eastAsia" w:ascii="仿宋" w:hAnsi="仿宋" w:eastAsia="仿宋" w:cs="仿宋"/>
          <w:sz w:val="32"/>
          <w:szCs w:val="32"/>
        </w:rPr>
      </w:pPr>
      <w:bookmarkStart w:id="10" w:name="_Toc19370"/>
      <w:bookmarkStart w:id="11" w:name="_Toc22285"/>
      <w:bookmarkStart w:id="12" w:name="_Toc23957"/>
      <w:bookmarkStart w:id="13" w:name="_Toc15831"/>
      <w:bookmarkStart w:id="14" w:name="_Toc19963"/>
      <w:bookmarkStart w:id="15" w:name="_Toc24784"/>
      <w:bookmarkStart w:id="16" w:name="_Toc30895"/>
      <w:bookmarkStart w:id="17" w:name="_Toc22453"/>
      <w:bookmarkStart w:id="18" w:name="_Toc937"/>
      <w:bookmarkStart w:id="19" w:name="_Toc32742"/>
      <w:r>
        <w:rPr>
          <w:rFonts w:hint="eastAsia" w:ascii="仿宋" w:hAnsi="仿宋" w:eastAsia="仿宋" w:cs="仿宋"/>
          <w:sz w:val="32"/>
          <w:szCs w:val="32"/>
        </w:rPr>
        <w:t>（一）项目单位基本情况</w:t>
      </w:r>
      <w:bookmarkEnd w:id="10"/>
      <w:bookmarkEnd w:id="11"/>
      <w:bookmarkEnd w:id="12"/>
      <w:bookmarkEnd w:id="13"/>
      <w:bookmarkEnd w:id="14"/>
      <w:bookmarkEnd w:id="15"/>
      <w:bookmarkEnd w:id="16"/>
      <w:bookmarkEnd w:id="17"/>
      <w:bookmarkEnd w:id="18"/>
      <w:bookmarkEnd w:id="19"/>
    </w:p>
    <w:p w14:paraId="00FD752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lang w:val="en-US" w:eastAsia="zh-CN"/>
        </w:rPr>
      </w:pPr>
      <w:bookmarkStart w:id="20" w:name="_Toc29308"/>
      <w:bookmarkStart w:id="21" w:name="_Toc15167"/>
      <w:bookmarkStart w:id="22" w:name="_Toc8843"/>
      <w:r>
        <w:rPr>
          <w:rFonts w:hint="eastAsia" w:ascii="仿宋" w:hAnsi="仿宋" w:eastAsia="仿宋" w:cs="仿宋"/>
          <w:sz w:val="32"/>
          <w:szCs w:val="32"/>
        </w:rPr>
        <w:t>隆尧县职业技术教育中心</w:t>
      </w:r>
      <w:r>
        <w:rPr>
          <w:rFonts w:hint="eastAsia" w:ascii="仿宋" w:hAnsi="仿宋" w:eastAsia="仿宋" w:cs="仿宋"/>
          <w:snapToGrid w:val="0"/>
          <w:sz w:val="32"/>
          <w:szCs w:val="32"/>
        </w:rPr>
        <w:t>位于隆尧县城康庄路593号，</w:t>
      </w:r>
      <w:r>
        <w:rPr>
          <w:rFonts w:hint="eastAsia" w:ascii="仿宋" w:hAnsi="仿宋" w:eastAsia="仿宋" w:cs="仿宋"/>
          <w:sz w:val="32"/>
          <w:szCs w:val="32"/>
        </w:rPr>
        <w:t>始建于1983年，</w:t>
      </w:r>
      <w:r>
        <w:rPr>
          <w:rFonts w:hint="eastAsia" w:ascii="仿宋" w:hAnsi="仿宋" w:eastAsia="仿宋" w:cs="仿宋"/>
          <w:snapToGrid w:val="0"/>
          <w:sz w:val="32"/>
          <w:szCs w:val="32"/>
        </w:rPr>
        <w:t>学校</w:t>
      </w:r>
      <w:r>
        <w:rPr>
          <w:rFonts w:hint="eastAsia" w:ascii="仿宋" w:hAnsi="仿宋" w:eastAsia="仿宋" w:cs="仿宋"/>
          <w:sz w:val="32"/>
          <w:szCs w:val="32"/>
        </w:rPr>
        <w:t>占地面积</w:t>
      </w:r>
      <w:r>
        <w:rPr>
          <w:rFonts w:hint="eastAsia" w:ascii="仿宋" w:hAnsi="仿宋" w:eastAsia="仿宋" w:cs="仿宋"/>
          <w:sz w:val="32"/>
          <w:szCs w:val="32"/>
          <w:lang w:val="en-US" w:eastAsia="zh-CN"/>
        </w:rPr>
        <w:t>8.3万平方米</w:t>
      </w:r>
      <w:r>
        <w:rPr>
          <w:rFonts w:hint="eastAsia" w:ascii="仿宋" w:hAnsi="仿宋" w:eastAsia="仿宋" w:cs="仿宋"/>
          <w:sz w:val="32"/>
          <w:szCs w:val="32"/>
        </w:rPr>
        <w:t>，建筑面积</w:t>
      </w:r>
      <w:r>
        <w:rPr>
          <w:rFonts w:hint="eastAsia" w:ascii="仿宋" w:hAnsi="仿宋" w:eastAsia="仿宋" w:cs="仿宋"/>
          <w:sz w:val="32"/>
          <w:szCs w:val="32"/>
          <w:lang w:val="en-US" w:eastAsia="zh-CN"/>
        </w:rPr>
        <w:t>6.08</w:t>
      </w:r>
      <w:r>
        <w:rPr>
          <w:rFonts w:hint="eastAsia" w:ascii="仿宋" w:hAnsi="仿宋" w:eastAsia="仿宋" w:cs="仿宋"/>
          <w:sz w:val="32"/>
          <w:szCs w:val="32"/>
        </w:rPr>
        <w:t>万平方米</w:t>
      </w:r>
      <w:r>
        <w:rPr>
          <w:rFonts w:hint="eastAsia" w:ascii="仿宋" w:hAnsi="仿宋" w:eastAsia="仿宋" w:cs="仿宋"/>
          <w:color w:val="000000"/>
          <w:sz w:val="32"/>
          <w:szCs w:val="32"/>
        </w:rPr>
        <w:t>。</w:t>
      </w:r>
      <w:r>
        <w:rPr>
          <w:rFonts w:hint="eastAsia" w:ascii="仿宋" w:hAnsi="仿宋" w:eastAsia="仿宋" w:cs="仿宋"/>
          <w:sz w:val="32"/>
          <w:szCs w:val="32"/>
        </w:rPr>
        <w:t>是一所容技能培训、职业中专、职业高中于一身，集教学、科研、科技推广为一体的多功能综合性国家级公办重点中等职业学校。</w:t>
      </w:r>
    </w:p>
    <w:p w14:paraId="3F1983EF">
      <w:pPr>
        <w:spacing w:line="580" w:lineRule="exact"/>
        <w:ind w:firstLine="640" w:firstLineChars="200"/>
        <w:outlineLvl w:val="1"/>
        <w:rPr>
          <w:rFonts w:hint="eastAsia" w:ascii="仿宋" w:hAnsi="仿宋" w:eastAsia="仿宋" w:cs="仿宋"/>
          <w:sz w:val="32"/>
          <w:szCs w:val="32"/>
        </w:rPr>
      </w:pPr>
      <w:r>
        <w:rPr>
          <w:rFonts w:hint="eastAsia" w:ascii="仿宋" w:hAnsi="仿宋" w:eastAsia="仿宋" w:cs="仿宋"/>
          <w:sz w:val="32"/>
          <w:szCs w:val="32"/>
        </w:rPr>
        <w:t>（二）项目基本情况</w:t>
      </w:r>
      <w:bookmarkEnd w:id="20"/>
      <w:bookmarkEnd w:id="21"/>
      <w:bookmarkEnd w:id="22"/>
    </w:p>
    <w:p w14:paraId="26F855CC">
      <w:pPr>
        <w:ind w:firstLine="960" w:firstLineChars="300"/>
        <w:rPr>
          <w:rFonts w:hint="eastAsia" w:ascii="仿宋" w:hAnsi="仿宋" w:eastAsia="仿宋" w:cs="仿宋"/>
          <w:sz w:val="32"/>
          <w:szCs w:val="32"/>
          <w:lang w:eastAsia="zh-CN"/>
        </w:rPr>
      </w:pPr>
      <w:bookmarkStart w:id="23" w:name="_Toc26594"/>
      <w:bookmarkStart w:id="24" w:name="_Toc32656"/>
      <w:bookmarkStart w:id="25" w:name="_Toc24191"/>
      <w:bookmarkStart w:id="26" w:name="_Toc27552"/>
      <w:r>
        <w:rPr>
          <w:rFonts w:hint="eastAsia" w:ascii="仿宋" w:hAnsi="仿宋" w:eastAsia="仿宋" w:cs="仿宋"/>
          <w:sz w:val="32"/>
          <w:szCs w:val="32"/>
        </w:rPr>
        <w:t>为了推进职业教育的创新发展，进一步提升职教中心教学、教研、实训水平，提高办学质量，更好服务县域经济，拟在学校内建“隆尧县职业技术教育中心教科研</w:t>
      </w:r>
      <w:r>
        <w:rPr>
          <w:rFonts w:hint="eastAsia" w:ascii="仿宋" w:hAnsi="仿宋" w:eastAsia="仿宋" w:cs="仿宋"/>
          <w:sz w:val="32"/>
          <w:szCs w:val="32"/>
          <w:lang w:eastAsia="zh-CN"/>
        </w:rPr>
        <w:t>研发中心</w:t>
      </w:r>
      <w:r>
        <w:rPr>
          <w:rFonts w:hint="eastAsia" w:ascii="仿宋" w:hAnsi="仿宋" w:eastAsia="仿宋" w:cs="仿宋"/>
          <w:sz w:val="32"/>
          <w:szCs w:val="32"/>
        </w:rPr>
        <w:t>”项目。该项目</w:t>
      </w:r>
      <w:r>
        <w:rPr>
          <w:rFonts w:hint="eastAsia" w:ascii="仿宋" w:hAnsi="仿宋" w:eastAsia="仿宋" w:cs="仿宋"/>
          <w:b w:val="0"/>
          <w:bCs w:val="0"/>
          <w:i w:val="0"/>
          <w:caps w:val="0"/>
          <w:spacing w:val="0"/>
          <w:w w:val="100"/>
          <w:sz w:val="32"/>
          <w:szCs w:val="32"/>
        </w:rPr>
        <w:t>南北长60米，东西长27米，宽11米，呈L型，占地面积860平方米，总建筑面积4</w:t>
      </w:r>
      <w:r>
        <w:rPr>
          <w:rFonts w:hint="eastAsia" w:ascii="仿宋" w:hAnsi="仿宋" w:eastAsia="仿宋" w:cs="仿宋"/>
          <w:b w:val="0"/>
          <w:bCs w:val="0"/>
          <w:i w:val="0"/>
          <w:caps w:val="0"/>
          <w:spacing w:val="0"/>
          <w:w w:val="100"/>
          <w:sz w:val="32"/>
          <w:szCs w:val="32"/>
          <w:lang w:val="en-US" w:eastAsia="zh-CN"/>
        </w:rPr>
        <w:t>295.3</w:t>
      </w:r>
      <w:r>
        <w:rPr>
          <w:rFonts w:hint="eastAsia" w:ascii="仿宋" w:hAnsi="仿宋" w:eastAsia="仿宋" w:cs="仿宋"/>
          <w:b w:val="0"/>
          <w:bCs w:val="0"/>
          <w:i w:val="0"/>
          <w:caps w:val="0"/>
          <w:spacing w:val="0"/>
          <w:w w:val="100"/>
          <w:sz w:val="32"/>
          <w:szCs w:val="32"/>
        </w:rPr>
        <w:t>平方米，设计为五层框架结构。</w:t>
      </w:r>
      <w:r>
        <w:rPr>
          <w:rFonts w:hint="eastAsia" w:ascii="仿宋" w:hAnsi="仿宋" w:eastAsia="仿宋" w:cs="仿宋"/>
          <w:sz w:val="32"/>
          <w:szCs w:val="32"/>
        </w:rPr>
        <w:t>主要包括教室、办公室、电子电器应用与维修专业实训室等。电子电器应用与维修专业实训室设备配置主要包括标准PLC与电梯控制、家电维修实训、制冷与空调电气实训、传感器与检测技术、单片机器人等。</w:t>
      </w:r>
    </w:p>
    <w:p w14:paraId="53CA28AD">
      <w:pPr>
        <w:ind w:left="-359" w:leftChars="-171" w:right="-693" w:rightChars="-330"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bookmarkEnd w:id="23"/>
    <w:bookmarkEnd w:id="24"/>
    <w:bookmarkEnd w:id="25"/>
    <w:bookmarkEnd w:id="26"/>
    <w:p w14:paraId="08C23B24">
      <w:pPr>
        <w:spacing w:line="580" w:lineRule="exact"/>
        <w:ind w:firstLine="643" w:firstLineChars="200"/>
        <w:outlineLvl w:val="0"/>
        <w:rPr>
          <w:rFonts w:hint="eastAsia" w:ascii="仿宋" w:hAnsi="仿宋" w:eastAsia="仿宋" w:cs="仿宋"/>
          <w:b/>
          <w:bCs/>
          <w:sz w:val="32"/>
          <w:szCs w:val="32"/>
        </w:rPr>
      </w:pPr>
      <w:bookmarkStart w:id="27" w:name="_Toc7839"/>
      <w:bookmarkStart w:id="28" w:name="_Toc6781"/>
      <w:bookmarkStart w:id="29" w:name="_Toc12860"/>
      <w:bookmarkStart w:id="30" w:name="_Toc4859"/>
      <w:bookmarkStart w:id="31" w:name="_Toc18992"/>
      <w:bookmarkStart w:id="32" w:name="_Toc28908"/>
      <w:bookmarkStart w:id="33" w:name="_Toc26109"/>
      <w:bookmarkStart w:id="34" w:name="_Toc14644"/>
      <w:bookmarkStart w:id="35" w:name="_Toc17782"/>
      <w:bookmarkStart w:id="36" w:name="_Toc2988"/>
      <w:r>
        <w:rPr>
          <w:rFonts w:hint="eastAsia" w:ascii="仿宋" w:hAnsi="仿宋" w:eastAsia="仿宋" w:cs="仿宋"/>
          <w:b/>
          <w:bCs/>
          <w:sz w:val="32"/>
          <w:szCs w:val="32"/>
        </w:rPr>
        <w:t>二、项目实施情况</w:t>
      </w:r>
      <w:bookmarkEnd w:id="27"/>
      <w:bookmarkEnd w:id="28"/>
      <w:bookmarkEnd w:id="29"/>
      <w:bookmarkEnd w:id="30"/>
      <w:bookmarkEnd w:id="31"/>
      <w:bookmarkEnd w:id="32"/>
      <w:bookmarkEnd w:id="33"/>
      <w:bookmarkEnd w:id="34"/>
      <w:bookmarkEnd w:id="35"/>
      <w:bookmarkEnd w:id="36"/>
    </w:p>
    <w:p w14:paraId="2866CC6A">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隆尧县职业技术教育中心教科研研发中心项目于</w:t>
      </w:r>
      <w:r>
        <w:rPr>
          <w:rFonts w:hint="eastAsia" w:ascii="仿宋" w:hAnsi="仿宋" w:eastAsia="仿宋" w:cs="仿宋"/>
          <w:color w:val="231F20"/>
          <w:kern w:val="0"/>
          <w:sz w:val="32"/>
          <w:szCs w:val="32"/>
          <w:lang w:val="en-US" w:eastAsia="zh-CN" w:bidi="ar"/>
        </w:rPr>
        <w:t>2021年10月25日取得 《隆尧县行政审批局关于隆尧县职业技术教育中心教科研研发中心可行性研究报告（代项目建议书）的批复》（隆批投资[2021]299号）。该项目2022年初预算安排专项债券资金</w:t>
      </w:r>
      <w:r>
        <w:rPr>
          <w:rFonts w:hint="eastAsia" w:ascii="仿宋" w:hAnsi="仿宋" w:eastAsia="仿宋" w:cs="仿宋"/>
          <w:sz w:val="32"/>
          <w:szCs w:val="32"/>
          <w:lang w:eastAsia="zh-CN"/>
        </w:rPr>
        <w:t>1477.5724万元。</w:t>
      </w:r>
      <w:r>
        <w:rPr>
          <w:rFonts w:hint="eastAsia" w:ascii="仿宋" w:hAnsi="仿宋" w:eastAsia="仿宋" w:cs="仿宋"/>
          <w:sz w:val="32"/>
          <w:szCs w:val="32"/>
          <w:lang w:val="en-US" w:eastAsia="zh-CN"/>
        </w:rPr>
        <w:t>项目完工后，</w:t>
      </w:r>
      <w:r>
        <w:rPr>
          <w:rFonts w:hint="eastAsia" w:ascii="仿宋" w:hAnsi="仿宋" w:eastAsia="仿宋" w:cs="仿宋"/>
          <w:sz w:val="32"/>
          <w:szCs w:val="32"/>
        </w:rPr>
        <w:t>由单位申请经财政局行政事业股审核后由隆尧县教育支付中心复核后进行拨付。</w:t>
      </w:r>
    </w:p>
    <w:p w14:paraId="4EBA7EB6">
      <w:pPr>
        <w:ind w:firstLine="960" w:firstLineChars="300"/>
        <w:rPr>
          <w:rFonts w:hint="eastAsia" w:ascii="仿宋" w:hAnsi="仿宋" w:eastAsia="仿宋" w:cs="仿宋"/>
          <w:sz w:val="32"/>
          <w:szCs w:val="32"/>
        </w:rPr>
      </w:pPr>
      <w:r>
        <w:rPr>
          <w:rFonts w:hint="eastAsia" w:ascii="仿宋" w:hAnsi="仿宋" w:eastAsia="仿宋" w:cs="仿宋"/>
          <w:sz w:val="32"/>
          <w:szCs w:val="32"/>
          <w:lang w:val="en-US" w:eastAsia="zh-CN"/>
        </w:rPr>
        <w:t>隆尧县职业技术教育中心教科研研发中心项目资金</w:t>
      </w:r>
      <w:r>
        <w:rPr>
          <w:rFonts w:hint="eastAsia" w:ascii="仿宋" w:hAnsi="仿宋" w:eastAsia="仿宋" w:cs="仿宋"/>
          <w:sz w:val="32"/>
          <w:szCs w:val="32"/>
        </w:rPr>
        <w:t>的使用严格按照相关规定专款专用，依报帐程序执行。财务管理：经费开支有经手人、证明人及有关领导审批签字。无大额现金支付工程款，白条入账现象，资金管理规范，无违反基建财务会计制度《现金管理暂行条例</w:t>
      </w:r>
      <w:bookmarkStart w:id="80" w:name="_GoBack"/>
      <w:bookmarkEnd w:id="80"/>
      <w:r>
        <w:rPr>
          <w:rFonts w:hint="eastAsia" w:ascii="仿宋" w:hAnsi="仿宋" w:eastAsia="仿宋" w:cs="仿宋"/>
          <w:sz w:val="32"/>
          <w:szCs w:val="32"/>
        </w:rPr>
        <w:t>》现象，无挤占、截留、挪用专项资金现象。</w:t>
      </w:r>
    </w:p>
    <w:p w14:paraId="7C04012C">
      <w:pPr>
        <w:spacing w:line="580" w:lineRule="exact"/>
        <w:ind w:firstLine="640" w:firstLineChars="200"/>
        <w:rPr>
          <w:rFonts w:hint="eastAsia" w:ascii="仿宋" w:hAnsi="仿宋" w:eastAsia="仿宋" w:cs="仿宋"/>
          <w:sz w:val="32"/>
          <w:szCs w:val="32"/>
        </w:rPr>
      </w:pPr>
    </w:p>
    <w:p w14:paraId="3804BA03">
      <w:pPr>
        <w:spacing w:line="580" w:lineRule="exact"/>
        <w:ind w:firstLine="643" w:firstLineChars="200"/>
        <w:outlineLvl w:val="0"/>
        <w:rPr>
          <w:rFonts w:hint="eastAsia" w:ascii="仿宋" w:hAnsi="仿宋" w:eastAsia="仿宋" w:cs="仿宋"/>
          <w:b/>
          <w:bCs/>
          <w:sz w:val="32"/>
          <w:szCs w:val="32"/>
        </w:rPr>
      </w:pPr>
      <w:bookmarkStart w:id="37" w:name="_Toc29800"/>
      <w:bookmarkStart w:id="38" w:name="_Toc12150"/>
      <w:bookmarkStart w:id="39" w:name="_Toc20904"/>
      <w:bookmarkStart w:id="40" w:name="_Toc26855"/>
      <w:bookmarkStart w:id="41" w:name="_Toc18915"/>
      <w:bookmarkStart w:id="42" w:name="_Toc5317"/>
      <w:bookmarkStart w:id="43" w:name="_Toc6451"/>
      <w:bookmarkStart w:id="44" w:name="_Toc5215"/>
      <w:bookmarkStart w:id="45" w:name="_Toc10651"/>
      <w:bookmarkStart w:id="46" w:name="_Toc21501"/>
      <w:r>
        <w:rPr>
          <w:rFonts w:hint="eastAsia" w:ascii="仿宋" w:hAnsi="仿宋" w:eastAsia="仿宋" w:cs="仿宋"/>
          <w:b/>
          <w:bCs/>
          <w:sz w:val="32"/>
          <w:szCs w:val="32"/>
        </w:rPr>
        <w:t>三、绩效评价工作情况</w:t>
      </w:r>
      <w:bookmarkEnd w:id="37"/>
      <w:bookmarkEnd w:id="38"/>
      <w:bookmarkEnd w:id="39"/>
      <w:bookmarkEnd w:id="40"/>
      <w:bookmarkEnd w:id="41"/>
      <w:bookmarkEnd w:id="42"/>
      <w:bookmarkEnd w:id="43"/>
      <w:bookmarkEnd w:id="44"/>
      <w:bookmarkEnd w:id="45"/>
      <w:bookmarkEnd w:id="46"/>
    </w:p>
    <w:p w14:paraId="312635CB">
      <w:pPr>
        <w:keepNext w:val="0"/>
        <w:keepLines w:val="0"/>
        <w:widowControl/>
        <w:suppressLineNumbers w:val="0"/>
        <w:jc w:val="left"/>
        <w:rPr>
          <w:rFonts w:hint="eastAsia" w:ascii="仿宋" w:hAnsi="仿宋" w:eastAsia="仿宋" w:cs="仿宋"/>
          <w:sz w:val="32"/>
          <w:szCs w:val="32"/>
          <w:lang w:val="en-US"/>
        </w:rPr>
      </w:pPr>
      <w:bookmarkStart w:id="47" w:name="_Toc25600"/>
      <w:bookmarkStart w:id="48" w:name="_Toc8077"/>
      <w:bookmarkStart w:id="49" w:name="_Toc15730"/>
      <w:bookmarkStart w:id="50" w:name="_Toc22771"/>
      <w:bookmarkStart w:id="51" w:name="_Toc5105"/>
      <w:bookmarkStart w:id="52" w:name="_Toc7570"/>
      <w:bookmarkStart w:id="53" w:name="_Toc4056"/>
      <w:bookmarkStart w:id="54" w:name="_Toc14742"/>
      <w:bookmarkStart w:id="55" w:name="_Toc17355"/>
      <w:bookmarkStart w:id="56" w:name="_Toc23608"/>
      <w:r>
        <w:rPr>
          <w:rFonts w:hint="eastAsia" w:ascii="仿宋" w:hAnsi="仿宋" w:eastAsia="仿宋" w:cs="仿宋"/>
          <w:sz w:val="32"/>
          <w:szCs w:val="32"/>
        </w:rPr>
        <w:t>（一）总目标：</w:t>
      </w:r>
      <w:r>
        <w:rPr>
          <w:rFonts w:hint="eastAsia" w:ascii="仿宋" w:hAnsi="仿宋" w:eastAsia="仿宋" w:cs="仿宋"/>
          <w:color w:val="231F20"/>
          <w:kern w:val="0"/>
          <w:sz w:val="32"/>
          <w:szCs w:val="32"/>
          <w:lang w:val="en-US" w:eastAsia="zh-CN" w:bidi="ar"/>
        </w:rPr>
        <w:t>该项目以职业教育为抓手，深度结合理论与实践的创新 人才培养。重点研究产教融合模式下的学科与教学课程建设， 促进未来技术发展、产业变革与教育深度融合，为创新型产 业人才培养体系的建设提供支持，并面向不同培养对象和阶 段的教学课程资源支持多种人才培养模式。</w:t>
      </w:r>
    </w:p>
    <w:p w14:paraId="48C1F9AB">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sz w:val="32"/>
          <w:szCs w:val="32"/>
        </w:rPr>
        <w:t>（二）年度目标：</w:t>
      </w:r>
      <w:r>
        <w:rPr>
          <w:rFonts w:hint="eastAsia" w:ascii="仿宋" w:hAnsi="仿宋" w:eastAsia="仿宋" w:cs="仿宋"/>
          <w:sz w:val="32"/>
          <w:szCs w:val="32"/>
          <w:lang w:eastAsia="zh-CN"/>
        </w:rPr>
        <w:t>隆尧县职业技术教育中心教科研研发项目</w:t>
      </w:r>
      <w:r>
        <w:rPr>
          <w:rFonts w:hint="eastAsia" w:ascii="仿宋" w:hAnsi="仿宋" w:eastAsia="仿宋" w:cs="仿宋"/>
          <w:sz w:val="32"/>
          <w:szCs w:val="32"/>
        </w:rPr>
        <w:t>截止202</w:t>
      </w:r>
      <w:r>
        <w:rPr>
          <w:rFonts w:hint="eastAsia" w:ascii="仿宋" w:hAnsi="仿宋" w:eastAsia="仿宋" w:cs="仿宋"/>
          <w:sz w:val="32"/>
          <w:szCs w:val="32"/>
          <w:lang w:val="en-US" w:eastAsia="zh-CN"/>
        </w:rPr>
        <w:t>2</w:t>
      </w:r>
      <w:r>
        <w:rPr>
          <w:rFonts w:hint="eastAsia" w:ascii="仿宋" w:hAnsi="仿宋" w:eastAsia="仿宋" w:cs="仿宋"/>
          <w:sz w:val="32"/>
          <w:szCs w:val="32"/>
        </w:rPr>
        <w:t>年年底已完成</w:t>
      </w:r>
      <w:r>
        <w:rPr>
          <w:rFonts w:hint="eastAsia" w:ascii="仿宋" w:hAnsi="仿宋" w:eastAsia="仿宋" w:cs="仿宋"/>
          <w:sz w:val="32"/>
          <w:szCs w:val="32"/>
          <w:lang w:val="en-US" w:eastAsia="zh-CN"/>
        </w:rPr>
        <w:t>支付工程款</w:t>
      </w:r>
      <w:r>
        <w:rPr>
          <w:rFonts w:hint="eastAsia" w:ascii="仿宋" w:hAnsi="仿宋" w:eastAsia="仿宋" w:cs="仿宋"/>
          <w:sz w:val="32"/>
          <w:szCs w:val="32"/>
          <w:lang w:eastAsia="zh-CN"/>
        </w:rPr>
        <w:t>1477.5724万元</w:t>
      </w:r>
      <w:r>
        <w:rPr>
          <w:rFonts w:hint="eastAsia" w:ascii="仿宋" w:hAnsi="仿宋" w:eastAsia="仿宋" w:cs="仿宋"/>
          <w:sz w:val="32"/>
          <w:szCs w:val="32"/>
          <w:lang w:val="en-US" w:eastAsia="zh-CN"/>
        </w:rPr>
        <w:t>。该项目分工程和设备购置两部分，项目的实施</w:t>
      </w:r>
      <w:r>
        <w:rPr>
          <w:rFonts w:hint="eastAsia" w:ascii="仿宋" w:hAnsi="仿宋" w:eastAsia="仿宋" w:cs="仿宋"/>
          <w:color w:val="231F20"/>
          <w:kern w:val="0"/>
          <w:sz w:val="32"/>
          <w:szCs w:val="32"/>
          <w:lang w:val="en-US" w:eastAsia="zh-CN" w:bidi="ar"/>
        </w:rPr>
        <w:t>提高了学生就业能力，加快 区域和行业高技能紧缺人才培养，全面提升教学质量和综合办学水平，从而实现可持续发展</w:t>
      </w:r>
    </w:p>
    <w:p w14:paraId="3404DB05">
      <w:pPr>
        <w:widowControl/>
        <w:rPr>
          <w:rFonts w:hint="eastAsia" w:ascii="仿宋" w:hAnsi="仿宋" w:eastAsia="仿宋" w:cs="仿宋"/>
          <w:kern w:val="0"/>
          <w:sz w:val="32"/>
          <w:szCs w:val="32"/>
        </w:rPr>
      </w:pPr>
      <w:r>
        <w:rPr>
          <w:rFonts w:hint="eastAsia" w:ascii="仿宋" w:hAnsi="仿宋" w:eastAsia="仿宋" w:cs="仿宋"/>
          <w:sz w:val="32"/>
          <w:szCs w:val="32"/>
        </w:rPr>
        <w:t>（三）</w:t>
      </w:r>
      <w:r>
        <w:rPr>
          <w:rFonts w:hint="eastAsia" w:ascii="仿宋" w:hAnsi="仿宋" w:eastAsia="仿宋" w:cs="仿宋"/>
          <w:kern w:val="0"/>
          <w:sz w:val="32"/>
          <w:szCs w:val="32"/>
        </w:rPr>
        <w:t>绩效指标设定情况：</w:t>
      </w:r>
    </w:p>
    <w:p w14:paraId="75AC2F15">
      <w:pPr>
        <w:ind w:firstLine="645"/>
        <w:rPr>
          <w:rFonts w:hint="eastAsia" w:ascii="仿宋" w:hAnsi="仿宋" w:eastAsia="仿宋" w:cs="仿宋"/>
          <w:sz w:val="32"/>
          <w:szCs w:val="32"/>
        </w:rPr>
      </w:pPr>
      <w:r>
        <w:rPr>
          <w:rFonts w:hint="eastAsia" w:ascii="仿宋" w:hAnsi="仿宋" w:eastAsia="仿宋" w:cs="仿宋"/>
          <w:sz w:val="32"/>
          <w:szCs w:val="32"/>
        </w:rPr>
        <w:t>1、产出指标完成情况分析。</w:t>
      </w:r>
    </w:p>
    <w:p w14:paraId="770AA431">
      <w:pPr>
        <w:ind w:firstLine="645"/>
        <w:rPr>
          <w:rFonts w:hint="eastAsia" w:ascii="仿宋" w:hAnsi="仿宋" w:eastAsia="仿宋" w:cs="仿宋"/>
          <w:sz w:val="32"/>
          <w:szCs w:val="32"/>
          <w:lang w:val="en-US" w:eastAsia="zh-CN"/>
        </w:rPr>
      </w:pPr>
      <w:r>
        <w:rPr>
          <w:rFonts w:hint="eastAsia" w:ascii="仿宋" w:hAnsi="仿宋" w:eastAsia="仿宋" w:cs="仿宋"/>
          <w:sz w:val="32"/>
          <w:szCs w:val="32"/>
        </w:rPr>
        <w:t>（1）数量指标：</w:t>
      </w:r>
      <w:r>
        <w:rPr>
          <w:rFonts w:hint="eastAsia" w:ascii="仿宋" w:hAnsi="仿宋" w:eastAsia="仿宋" w:cs="仿宋"/>
          <w:sz w:val="32"/>
          <w:szCs w:val="32"/>
          <w:lang w:val="en-US" w:eastAsia="zh-CN"/>
        </w:rPr>
        <w:t>隆尧县职业技术教育中心教科研研发中心楼一栋，建筑面积4295.3平米。专用设备购置一套。</w:t>
      </w:r>
    </w:p>
    <w:p w14:paraId="38453D70">
      <w:pPr>
        <w:ind w:firstLine="645"/>
        <w:rPr>
          <w:rFonts w:hint="eastAsia" w:ascii="仿宋" w:hAnsi="仿宋" w:eastAsia="仿宋" w:cs="仿宋"/>
          <w:sz w:val="32"/>
          <w:szCs w:val="32"/>
        </w:rPr>
      </w:pPr>
      <w:r>
        <w:rPr>
          <w:rFonts w:hint="eastAsia" w:ascii="仿宋" w:hAnsi="仿宋" w:eastAsia="仿宋" w:cs="仿宋"/>
          <w:sz w:val="32"/>
          <w:szCs w:val="32"/>
        </w:rPr>
        <w:t>（2）质量指标：</w:t>
      </w:r>
      <w:r>
        <w:rPr>
          <w:rFonts w:hint="eastAsia" w:ascii="仿宋" w:hAnsi="仿宋" w:eastAsia="仿宋" w:cs="仿宋"/>
          <w:sz w:val="32"/>
          <w:szCs w:val="32"/>
          <w:lang w:val="en-US" w:eastAsia="zh-CN"/>
        </w:rPr>
        <w:t>建筑，购置均符合</w:t>
      </w:r>
      <w:r>
        <w:rPr>
          <w:rFonts w:hint="eastAsia" w:ascii="仿宋" w:hAnsi="仿宋" w:eastAsia="仿宋" w:cs="仿宋"/>
          <w:sz w:val="32"/>
          <w:szCs w:val="32"/>
        </w:rPr>
        <w:t>采购质量标准均符合国家相关规定和合同约定。</w:t>
      </w:r>
    </w:p>
    <w:p w14:paraId="2B9C0B55">
      <w:pPr>
        <w:ind w:firstLine="645"/>
        <w:rPr>
          <w:rFonts w:hint="eastAsia" w:ascii="仿宋" w:hAnsi="仿宋" w:eastAsia="仿宋" w:cs="仿宋"/>
          <w:sz w:val="32"/>
          <w:szCs w:val="32"/>
        </w:rPr>
      </w:pPr>
      <w:r>
        <w:rPr>
          <w:rFonts w:hint="eastAsia" w:ascii="仿宋" w:hAnsi="仿宋" w:eastAsia="仿宋" w:cs="仿宋"/>
          <w:sz w:val="32"/>
          <w:szCs w:val="32"/>
        </w:rPr>
        <w:t>（3）时效指标：</w:t>
      </w:r>
      <w:r>
        <w:rPr>
          <w:rFonts w:hint="eastAsia" w:ascii="仿宋" w:hAnsi="仿宋" w:eastAsia="仿宋" w:cs="仿宋"/>
          <w:sz w:val="32"/>
          <w:szCs w:val="32"/>
          <w:lang w:eastAsia="zh-CN"/>
        </w:rPr>
        <w:t>建筑、</w:t>
      </w:r>
      <w:r>
        <w:rPr>
          <w:rFonts w:hint="eastAsia" w:ascii="仿宋" w:hAnsi="仿宋" w:eastAsia="仿宋" w:cs="仿宋"/>
          <w:sz w:val="32"/>
          <w:szCs w:val="32"/>
          <w:lang w:val="en-US" w:eastAsia="zh-CN"/>
        </w:rPr>
        <w:t>购置</w:t>
      </w:r>
      <w:r>
        <w:rPr>
          <w:rFonts w:hint="eastAsia" w:ascii="仿宋" w:hAnsi="仿宋" w:eastAsia="仿宋" w:cs="仿宋"/>
          <w:sz w:val="32"/>
          <w:szCs w:val="32"/>
        </w:rPr>
        <w:t>均按双方合同约定按时完工、交货并验收。</w:t>
      </w:r>
    </w:p>
    <w:p w14:paraId="73C28E65">
      <w:pPr>
        <w:ind w:firstLine="640" w:firstLineChars="200"/>
        <w:rPr>
          <w:rFonts w:hint="eastAsia" w:ascii="仿宋" w:hAnsi="仿宋" w:eastAsia="仿宋" w:cs="仿宋"/>
          <w:kern w:val="0"/>
          <w:sz w:val="32"/>
          <w:szCs w:val="32"/>
          <w:lang w:val="en-US" w:eastAsia="zh-CN"/>
        </w:rPr>
      </w:pPr>
      <w:r>
        <w:rPr>
          <w:rFonts w:hint="eastAsia" w:ascii="仿宋" w:hAnsi="仿宋" w:eastAsia="仿宋" w:cs="仿宋"/>
          <w:sz w:val="32"/>
          <w:szCs w:val="32"/>
        </w:rPr>
        <w:t>（4）成本指标：</w:t>
      </w:r>
      <w:r>
        <w:rPr>
          <w:rFonts w:hint="eastAsia" w:ascii="仿宋" w:hAnsi="仿宋" w:eastAsia="仿宋" w:cs="仿宋"/>
          <w:sz w:val="32"/>
          <w:szCs w:val="32"/>
          <w:lang w:val="en-US" w:eastAsia="zh-CN"/>
        </w:rPr>
        <w:t>共计</w:t>
      </w:r>
      <w:r>
        <w:rPr>
          <w:rFonts w:hint="eastAsia" w:ascii="仿宋" w:hAnsi="仿宋" w:eastAsia="仿宋" w:cs="仿宋"/>
          <w:sz w:val="32"/>
          <w:szCs w:val="32"/>
          <w:lang w:eastAsia="zh-CN"/>
        </w:rPr>
        <w:t>1477.5724万元</w:t>
      </w:r>
    </w:p>
    <w:p w14:paraId="169E6798">
      <w:pPr>
        <w:ind w:firstLine="645"/>
        <w:rPr>
          <w:rFonts w:hint="eastAsia" w:ascii="仿宋" w:hAnsi="仿宋" w:eastAsia="仿宋" w:cs="仿宋"/>
          <w:sz w:val="32"/>
          <w:szCs w:val="32"/>
        </w:rPr>
      </w:pPr>
      <w:r>
        <w:rPr>
          <w:rFonts w:hint="eastAsia" w:ascii="仿宋" w:hAnsi="仿宋" w:eastAsia="仿宋" w:cs="仿宋"/>
          <w:sz w:val="32"/>
          <w:szCs w:val="32"/>
        </w:rPr>
        <w:t>2、效益指标完成情况分析。</w:t>
      </w:r>
    </w:p>
    <w:p w14:paraId="13F92236">
      <w:pPr>
        <w:ind w:firstLine="645"/>
        <w:rPr>
          <w:rFonts w:hint="eastAsia" w:ascii="仿宋" w:hAnsi="仿宋" w:eastAsia="仿宋" w:cs="仿宋"/>
          <w:sz w:val="32"/>
          <w:szCs w:val="32"/>
          <w:lang w:val="en-US" w:eastAsia="zh-CN"/>
        </w:rPr>
      </w:pPr>
      <w:r>
        <w:rPr>
          <w:rFonts w:hint="eastAsia" w:ascii="仿宋" w:hAnsi="仿宋" w:eastAsia="仿宋" w:cs="仿宋"/>
          <w:sz w:val="32"/>
          <w:szCs w:val="32"/>
        </w:rPr>
        <w:t>（1）经济效益：</w:t>
      </w:r>
      <w:r>
        <w:rPr>
          <w:rFonts w:hint="eastAsia" w:ascii="仿宋" w:hAnsi="仿宋" w:eastAsia="仿宋" w:cs="仿宋"/>
          <w:sz w:val="32"/>
          <w:szCs w:val="32"/>
          <w:lang w:val="en-US" w:eastAsia="zh-CN"/>
        </w:rPr>
        <w:t>隆尧县职业技术教育中心教科研研发项目促进了经济发展提升了办学条件</w:t>
      </w:r>
    </w:p>
    <w:p w14:paraId="06E76659">
      <w:pPr>
        <w:ind w:firstLine="645"/>
        <w:rPr>
          <w:rFonts w:hint="eastAsia" w:ascii="仿宋" w:hAnsi="仿宋" w:eastAsia="仿宋" w:cs="仿宋"/>
          <w:sz w:val="32"/>
          <w:szCs w:val="32"/>
          <w:lang w:val="en-US" w:eastAsia="zh-CN"/>
        </w:rPr>
      </w:pPr>
      <w:r>
        <w:rPr>
          <w:rFonts w:hint="eastAsia" w:ascii="仿宋" w:hAnsi="仿宋" w:eastAsia="仿宋" w:cs="仿宋"/>
          <w:sz w:val="32"/>
          <w:szCs w:val="32"/>
        </w:rPr>
        <w:t>（2）社会效益：有效改善了办学条件，促进了教学和学校整体工作稳步发展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为学校师生提供了更好的服务。</w:t>
      </w:r>
    </w:p>
    <w:p w14:paraId="06635C9B">
      <w:pPr>
        <w:ind w:firstLine="645"/>
        <w:rPr>
          <w:rFonts w:hint="eastAsia" w:ascii="仿宋" w:hAnsi="仿宋" w:eastAsia="仿宋" w:cs="仿宋"/>
          <w:sz w:val="32"/>
          <w:szCs w:val="32"/>
          <w:lang w:val="en-US" w:eastAsia="zh-CN"/>
        </w:rPr>
      </w:pPr>
      <w:r>
        <w:rPr>
          <w:rFonts w:hint="eastAsia" w:ascii="仿宋" w:hAnsi="仿宋" w:eastAsia="仿宋" w:cs="仿宋"/>
          <w:sz w:val="32"/>
          <w:szCs w:val="32"/>
        </w:rPr>
        <w:t>（3）生态效益：</w:t>
      </w:r>
      <w:r>
        <w:rPr>
          <w:rFonts w:hint="eastAsia" w:ascii="仿宋" w:hAnsi="仿宋" w:eastAsia="仿宋" w:cs="仿宋"/>
          <w:sz w:val="32"/>
          <w:szCs w:val="32"/>
          <w:lang w:val="en-US" w:eastAsia="zh-CN"/>
        </w:rPr>
        <w:t>改善了学校校园环境，提升了教学质量。</w:t>
      </w:r>
    </w:p>
    <w:p w14:paraId="1B164B18">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sz w:val="32"/>
          <w:szCs w:val="32"/>
        </w:rPr>
        <w:t>（4）可持续影响：</w:t>
      </w:r>
      <w:r>
        <w:rPr>
          <w:rFonts w:hint="eastAsia" w:ascii="仿宋" w:hAnsi="仿宋" w:eastAsia="仿宋" w:cs="仿宋"/>
          <w:color w:val="231F20"/>
          <w:kern w:val="0"/>
          <w:sz w:val="32"/>
          <w:szCs w:val="32"/>
          <w:lang w:val="en-US" w:eastAsia="zh-CN" w:bidi="ar"/>
        </w:rPr>
        <w:t>全面提升教学质量和综合 办学水平，从而实现可持续发展。</w:t>
      </w:r>
    </w:p>
    <w:p w14:paraId="0E8030E9">
      <w:pPr>
        <w:ind w:firstLine="645"/>
        <w:rPr>
          <w:rFonts w:hint="eastAsia" w:ascii="仿宋" w:hAnsi="仿宋" w:eastAsia="仿宋" w:cs="仿宋"/>
          <w:sz w:val="32"/>
          <w:szCs w:val="32"/>
        </w:rPr>
      </w:pPr>
      <w:r>
        <w:rPr>
          <w:rFonts w:hint="eastAsia" w:ascii="仿宋" w:hAnsi="仿宋" w:eastAsia="仿宋" w:cs="仿宋"/>
          <w:sz w:val="32"/>
          <w:szCs w:val="32"/>
        </w:rPr>
        <w:t>3、满意度指标完成情况分析：</w:t>
      </w:r>
      <w:r>
        <w:rPr>
          <w:rFonts w:hint="eastAsia" w:ascii="仿宋" w:hAnsi="仿宋" w:eastAsia="仿宋" w:cs="仿宋"/>
          <w:sz w:val="32"/>
          <w:szCs w:val="32"/>
          <w:lang w:val="en-US" w:eastAsia="zh-CN"/>
        </w:rPr>
        <w:t>教科研研发中心符合</w:t>
      </w:r>
      <w:r>
        <w:rPr>
          <w:rFonts w:hint="eastAsia" w:ascii="仿宋" w:hAnsi="仿宋" w:eastAsia="仿宋" w:cs="仿宋"/>
          <w:sz w:val="32"/>
          <w:szCs w:val="32"/>
        </w:rPr>
        <w:t>合双方合同约定和国家有关政策，经学校验收并投入使用后深受全体师生的一致好评。</w:t>
      </w:r>
    </w:p>
    <w:p w14:paraId="5785FFE5">
      <w:pPr>
        <w:spacing w:line="580" w:lineRule="exact"/>
        <w:ind w:firstLine="640" w:firstLineChars="200"/>
        <w:outlineLvl w:val="1"/>
        <w:rPr>
          <w:rFonts w:hint="eastAsia" w:ascii="仿宋_GB2312" w:hAnsi="仿宋_GB2312" w:eastAsia="仿宋_GB2312" w:cs="仿宋_GB2312"/>
          <w:sz w:val="32"/>
          <w:szCs w:val="40"/>
        </w:rPr>
      </w:pPr>
      <w:bookmarkStart w:id="57" w:name="_Toc24302"/>
      <w:bookmarkStart w:id="58" w:name="_Toc26780"/>
      <w:bookmarkStart w:id="59" w:name="_Toc9401"/>
      <w:bookmarkStart w:id="60" w:name="_Toc12940"/>
      <w:bookmarkStart w:id="61" w:name="_Toc22038"/>
      <w:bookmarkStart w:id="62" w:name="_Toc11243"/>
      <w:bookmarkStart w:id="63" w:name="_Toc6747"/>
      <w:bookmarkStart w:id="64" w:name="_Toc7393"/>
      <w:bookmarkStart w:id="65" w:name="_Toc1868"/>
      <w:bookmarkStart w:id="66" w:name="_Toc13179"/>
      <w:r>
        <w:rPr>
          <w:rFonts w:hint="eastAsia" w:ascii="仿宋_GB2312" w:hAnsi="仿宋_GB2312" w:eastAsia="仿宋_GB2312" w:cs="仿宋_GB2312"/>
          <w:sz w:val="32"/>
          <w:szCs w:val="40"/>
        </w:rPr>
        <w:t>（四）评价的主要方法及等级设定</w:t>
      </w:r>
      <w:bookmarkEnd w:id="57"/>
      <w:bookmarkEnd w:id="58"/>
      <w:bookmarkEnd w:id="59"/>
      <w:bookmarkEnd w:id="60"/>
      <w:bookmarkEnd w:id="61"/>
      <w:bookmarkEnd w:id="62"/>
      <w:bookmarkEnd w:id="63"/>
      <w:bookmarkEnd w:id="64"/>
      <w:bookmarkEnd w:id="65"/>
      <w:bookmarkEnd w:id="66"/>
    </w:p>
    <w:p w14:paraId="23D6CE4B">
      <w:pPr>
        <w:spacing w:line="580" w:lineRule="exact"/>
        <w:ind w:firstLine="640" w:firstLineChars="200"/>
        <w:rPr>
          <w:rFonts w:ascii="仿宋_GB2312" w:hAnsi="仿宋_GB2312" w:eastAsia="仿宋_GB2312" w:cs="仿宋_GB2312"/>
          <w:kern w:val="0"/>
          <w:sz w:val="32"/>
          <w:szCs w:val="32"/>
          <w:shd w:val="clear" w:color="auto" w:fill="FFFFFF"/>
        </w:rPr>
      </w:pPr>
      <w:r>
        <w:rPr>
          <w:rStyle w:val="10"/>
          <w:rFonts w:hint="eastAsia" w:ascii="仿宋_GB2312" w:hAnsi="宋体" w:eastAsia="仿宋_GB2312" w:cs="仿宋_GB2312"/>
          <w:b w:val="0"/>
          <w:bCs/>
          <w:sz w:val="32"/>
          <w:szCs w:val="32"/>
        </w:rPr>
        <w:t>根据相关</w:t>
      </w:r>
      <w:r>
        <w:rPr>
          <w:rFonts w:hint="eastAsia" w:ascii="仿宋_GB2312" w:hAnsi="仿宋_GB2312" w:eastAsia="仿宋_GB2312" w:cs="仿宋_GB2312"/>
          <w:sz w:val="32"/>
          <w:szCs w:val="32"/>
          <w:shd w:val="clear" w:color="auto" w:fill="FFFFFF"/>
        </w:rPr>
        <w:t>要求，评价工作将</w:t>
      </w:r>
      <w:r>
        <w:rPr>
          <w:rFonts w:hint="eastAsia" w:ascii="仿宋_GB2312" w:hAnsi="宋体" w:eastAsia="仿宋_GB2312" w:cs="仿宋_GB2312"/>
          <w:kern w:val="0"/>
          <w:sz w:val="32"/>
          <w:szCs w:val="32"/>
        </w:rPr>
        <w:t>网络评价与现场评价相结合；数字资料与纸质资料评价相结合；会计资料评价与工程技术资料评价相结合</w:t>
      </w:r>
      <w:r>
        <w:rPr>
          <w:rFonts w:hint="eastAsia" w:ascii="仿宋_GB2312" w:hAnsi="仿宋_GB2312" w:eastAsia="仿宋_GB2312" w:cs="仿宋_GB2312"/>
          <w:kern w:val="0"/>
          <w:sz w:val="32"/>
          <w:szCs w:val="32"/>
          <w:shd w:val="clear" w:color="auto" w:fill="FFFFFF"/>
        </w:rPr>
        <w:t>。</w:t>
      </w:r>
    </w:p>
    <w:p w14:paraId="16DC9159">
      <w:pPr>
        <w:tabs>
          <w:tab w:val="left" w:pos="420"/>
        </w:tabs>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1.在听取隆尧县</w:t>
      </w:r>
      <w:r>
        <w:rPr>
          <w:rFonts w:hint="eastAsia" w:ascii="仿宋_GB2312" w:eastAsia="仿宋_GB2312"/>
          <w:sz w:val="32"/>
          <w:szCs w:val="32"/>
          <w:lang w:eastAsia="zh-CN"/>
        </w:rPr>
        <w:t>教科研研发中心</w:t>
      </w:r>
      <w:r>
        <w:rPr>
          <w:rFonts w:hint="eastAsia" w:ascii="仿宋_GB2312" w:eastAsia="仿宋_GB2312"/>
          <w:sz w:val="32"/>
          <w:szCs w:val="32"/>
        </w:rPr>
        <w:t>项目</w:t>
      </w:r>
      <w:r>
        <w:rPr>
          <w:rFonts w:hint="eastAsia" w:ascii="仿宋_GB2312" w:eastAsia="仿宋_GB2312"/>
          <w:sz w:val="32"/>
          <w:szCs w:val="32"/>
          <w:lang w:eastAsia="zh-CN"/>
        </w:rPr>
        <w:t>负责人对</w:t>
      </w:r>
      <w:r>
        <w:rPr>
          <w:rFonts w:hint="eastAsia" w:ascii="仿宋_GB2312" w:eastAsia="仿宋_GB2312"/>
          <w:sz w:val="32"/>
          <w:szCs w:val="32"/>
        </w:rPr>
        <w:t>实施情况汇报的基础上，核实相关资料的真实性、合法性、合理性，对项目资料中反映的或分析中发现的问题进行重点核查。</w:t>
      </w:r>
    </w:p>
    <w:p w14:paraId="0C740BE4">
      <w:pPr>
        <w:tabs>
          <w:tab w:val="left" w:pos="420"/>
        </w:tabs>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2.实地检查的形式：采取座谈、现场核实、走访、调查问卷、查阅资料等方式。</w:t>
      </w:r>
    </w:p>
    <w:p w14:paraId="75879D81">
      <w:pPr>
        <w:pStyle w:val="7"/>
        <w:ind w:firstLine="640"/>
        <w:rPr>
          <w:rFonts w:ascii="仿宋_GB2312" w:hAnsi="Calibri" w:eastAsia="仿宋_GB2312"/>
          <w:color w:val="auto"/>
          <w:sz w:val="32"/>
          <w:szCs w:val="32"/>
        </w:rPr>
      </w:pPr>
      <w:r>
        <w:rPr>
          <w:rFonts w:hint="eastAsia" w:ascii="仿宋_GB2312" w:hAnsi="Calibri" w:eastAsia="仿宋_GB2312"/>
          <w:color w:val="auto"/>
          <w:sz w:val="32"/>
          <w:szCs w:val="32"/>
        </w:rPr>
        <w:t>3.综合评价。评价组在全面分析整理被评价项目的相关数据资料的基础上，总结评价情况，对照评价指标和标准，进行综合评议与打分，得出评价结论，撰写评价报告。</w:t>
      </w:r>
    </w:p>
    <w:p w14:paraId="70ADBE39">
      <w:pPr>
        <w:spacing w:line="480" w:lineRule="exact"/>
        <w:ind w:firstLine="640" w:firstLineChars="200"/>
      </w:pPr>
      <w:r>
        <w:rPr>
          <w:rFonts w:hint="eastAsia" w:ascii="仿宋_GB2312" w:eastAsia="仿宋_GB2312"/>
          <w:sz w:val="32"/>
          <w:szCs w:val="32"/>
        </w:rPr>
        <w:t>4.评价等级设置为：优秀95分以上（含95分）、良好80分-94分（含80分）、合格60分-79分（含60分）、不合格（60分以下）四个等级。</w:t>
      </w:r>
    </w:p>
    <w:p w14:paraId="17C572A7">
      <w:pPr>
        <w:pStyle w:val="7"/>
        <w:ind w:firstLine="640"/>
        <w:rPr>
          <w:rFonts w:hint="eastAsia" w:ascii="仿宋" w:hAnsi="仿宋" w:eastAsia="仿宋" w:cs="仿宋"/>
          <w:sz w:val="32"/>
          <w:szCs w:val="32"/>
        </w:rPr>
      </w:pPr>
      <w:r>
        <w:rPr>
          <w:rFonts w:hint="eastAsia" w:ascii="仿宋_GB2312" w:hAnsi="Calibri" w:eastAsia="仿宋_GB2312"/>
          <w:color w:val="auto"/>
          <w:sz w:val="32"/>
          <w:szCs w:val="32"/>
        </w:rPr>
        <w:t>《隆尧</w:t>
      </w:r>
      <w:r>
        <w:rPr>
          <w:rFonts w:hint="eastAsia" w:ascii="仿宋_GB2312" w:hAnsi="Calibri" w:eastAsia="仿宋_GB2312"/>
          <w:color w:val="auto"/>
          <w:sz w:val="32"/>
          <w:szCs w:val="32"/>
          <w:lang w:eastAsia="zh-CN"/>
        </w:rPr>
        <w:t>县职业技术教育中心教科研研发项目</w:t>
      </w:r>
      <w:r>
        <w:rPr>
          <w:rFonts w:hint="eastAsia" w:ascii="仿宋_GB2312" w:hAnsi="Calibri" w:eastAsia="仿宋_GB2312"/>
          <w:color w:val="auto"/>
          <w:sz w:val="32"/>
          <w:szCs w:val="32"/>
        </w:rPr>
        <w:t>项目》绩效自评为</w:t>
      </w:r>
      <w:r>
        <w:rPr>
          <w:rFonts w:hint="eastAsia" w:ascii="仿宋_GB2312" w:hAnsi="Calibri" w:eastAsia="仿宋_GB2312"/>
          <w:color w:val="auto"/>
          <w:sz w:val="32"/>
          <w:szCs w:val="32"/>
          <w:lang w:val="en-US" w:eastAsia="zh-CN"/>
        </w:rPr>
        <w:t>100</w:t>
      </w:r>
      <w:r>
        <w:rPr>
          <w:rFonts w:hint="eastAsia" w:ascii="仿宋_GB2312" w:hAnsi="Calibri" w:eastAsia="仿宋_GB2312"/>
          <w:color w:val="auto"/>
          <w:sz w:val="32"/>
          <w:szCs w:val="32"/>
        </w:rPr>
        <w:t>分，自评结果为优。</w:t>
      </w:r>
    </w:p>
    <w:bookmarkEnd w:id="47"/>
    <w:bookmarkEnd w:id="48"/>
    <w:bookmarkEnd w:id="49"/>
    <w:bookmarkEnd w:id="50"/>
    <w:bookmarkEnd w:id="51"/>
    <w:bookmarkEnd w:id="52"/>
    <w:bookmarkEnd w:id="53"/>
    <w:bookmarkEnd w:id="54"/>
    <w:bookmarkEnd w:id="55"/>
    <w:bookmarkEnd w:id="56"/>
    <w:p w14:paraId="7AAA78A0">
      <w:pPr>
        <w:spacing w:line="580" w:lineRule="exact"/>
        <w:ind w:firstLine="643" w:firstLineChars="200"/>
        <w:outlineLvl w:val="0"/>
        <w:rPr>
          <w:rFonts w:hint="eastAsia" w:ascii="仿宋" w:hAnsi="仿宋" w:eastAsia="仿宋" w:cs="仿宋"/>
          <w:sz w:val="32"/>
          <w:szCs w:val="32"/>
        </w:rPr>
      </w:pPr>
      <w:bookmarkStart w:id="67" w:name="_Toc22222"/>
      <w:bookmarkStart w:id="68" w:name="_Toc17025"/>
      <w:bookmarkStart w:id="69" w:name="_Toc10113"/>
      <w:bookmarkStart w:id="70" w:name="_Toc21014"/>
      <w:bookmarkStart w:id="71" w:name="_Toc6105"/>
      <w:bookmarkStart w:id="72" w:name="_Toc18842"/>
      <w:bookmarkStart w:id="73" w:name="_Toc20748"/>
      <w:bookmarkStart w:id="74" w:name="_Toc30508"/>
      <w:bookmarkStart w:id="75" w:name="_Toc5623"/>
      <w:bookmarkStart w:id="76" w:name="_Toc28621"/>
      <w:r>
        <w:rPr>
          <w:rFonts w:hint="eastAsia" w:ascii="仿宋" w:hAnsi="仿宋" w:eastAsia="仿宋" w:cs="仿宋"/>
          <w:b/>
          <w:bCs/>
          <w:sz w:val="32"/>
          <w:szCs w:val="32"/>
        </w:rPr>
        <w:t>四、绩效评价指标体系及得分情况</w:t>
      </w:r>
      <w:bookmarkEnd w:id="67"/>
      <w:bookmarkEnd w:id="68"/>
      <w:bookmarkEnd w:id="69"/>
      <w:bookmarkEnd w:id="70"/>
      <w:bookmarkEnd w:id="71"/>
      <w:bookmarkEnd w:id="72"/>
      <w:bookmarkEnd w:id="73"/>
      <w:bookmarkEnd w:id="74"/>
      <w:bookmarkEnd w:id="75"/>
      <w:bookmarkEnd w:id="76"/>
    </w:p>
    <w:p w14:paraId="3F212F9D">
      <w:pPr>
        <w:ind w:firstLine="2377" w:firstLineChars="740"/>
        <w:jc w:val="both"/>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lang w:val="en-US" w:eastAsia="zh-CN"/>
        </w:rPr>
        <w:t>智慧校园</w:t>
      </w:r>
      <w:r>
        <w:rPr>
          <w:rFonts w:hint="eastAsia" w:ascii="仿宋" w:hAnsi="仿宋" w:eastAsia="仿宋" w:cs="仿宋"/>
          <w:b/>
          <w:color w:val="000000"/>
          <w:kern w:val="0"/>
          <w:sz w:val="32"/>
          <w:szCs w:val="32"/>
        </w:rPr>
        <w:t>项目重点绩效评价指标表</w:t>
      </w:r>
    </w:p>
    <w:p w14:paraId="46ABBAEC">
      <w:pPr>
        <w:pStyle w:val="2"/>
        <w:rPr>
          <w:rFonts w:hint="eastAsia" w:ascii="仿宋" w:hAnsi="仿宋" w:eastAsia="仿宋" w:cs="仿宋"/>
          <w:b/>
          <w:color w:val="000000"/>
          <w:kern w:val="0"/>
          <w:sz w:val="32"/>
          <w:szCs w:val="32"/>
        </w:rPr>
      </w:pPr>
    </w:p>
    <w:p w14:paraId="3757520A">
      <w:pPr>
        <w:pStyle w:val="2"/>
        <w:rPr>
          <w:rFonts w:hint="eastAsia" w:ascii="仿宋" w:hAnsi="仿宋" w:eastAsia="仿宋" w:cs="仿宋"/>
          <w:b/>
          <w:color w:val="000000"/>
          <w:kern w:val="0"/>
          <w:sz w:val="32"/>
          <w:szCs w:val="32"/>
        </w:rPr>
      </w:pPr>
    </w:p>
    <w:tbl>
      <w:tblPr>
        <w:tblStyle w:val="8"/>
        <w:tblW w:w="9098" w:type="dxa"/>
        <w:tblInd w:w="-130" w:type="dxa"/>
        <w:tblLayout w:type="fixed"/>
        <w:tblCellMar>
          <w:top w:w="0" w:type="dxa"/>
          <w:left w:w="0" w:type="dxa"/>
          <w:bottom w:w="0" w:type="dxa"/>
          <w:right w:w="0" w:type="dxa"/>
        </w:tblCellMar>
      </w:tblPr>
      <w:tblGrid>
        <w:gridCol w:w="1276"/>
        <w:gridCol w:w="547"/>
        <w:gridCol w:w="2442"/>
        <w:gridCol w:w="740"/>
        <w:gridCol w:w="3382"/>
        <w:gridCol w:w="711"/>
      </w:tblGrid>
      <w:tr w14:paraId="4A7BE55B">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48C7658E">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 xml:space="preserve">一级指标  </w:t>
            </w: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C1F999">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二级指标</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906A7A">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 xml:space="preserve"> 三级指标</w:t>
            </w:r>
          </w:p>
        </w:tc>
        <w:tc>
          <w:tcPr>
            <w:tcW w:w="740"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02B1F886">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分值</w:t>
            </w:r>
          </w:p>
        </w:tc>
        <w:tc>
          <w:tcPr>
            <w:tcW w:w="338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1B4C6F6">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5E1A1B">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得分</w:t>
            </w:r>
          </w:p>
        </w:tc>
      </w:tr>
      <w:tr w14:paraId="3C183CF1">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FDC931">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名称</w:t>
            </w: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210C78">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名称</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4B618F">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名称</w:t>
            </w:r>
          </w:p>
        </w:tc>
        <w:tc>
          <w:tcPr>
            <w:tcW w:w="740"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5D304C0D">
            <w:pPr>
              <w:jc w:val="center"/>
              <w:rPr>
                <w:rFonts w:hint="eastAsia" w:ascii="仿宋" w:hAnsi="仿宋" w:eastAsia="仿宋" w:cs="仿宋"/>
                <w:b/>
                <w:color w:val="000000"/>
                <w:sz w:val="24"/>
                <w:szCs w:val="24"/>
              </w:rPr>
            </w:pPr>
          </w:p>
        </w:tc>
        <w:tc>
          <w:tcPr>
            <w:tcW w:w="338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3738F83">
            <w:pPr>
              <w:jc w:val="center"/>
              <w:rPr>
                <w:rFonts w:hint="eastAsia" w:ascii="仿宋" w:hAnsi="仿宋" w:eastAsia="仿宋" w:cs="仿宋"/>
                <w:b/>
                <w:color w:val="000000"/>
                <w:sz w:val="24"/>
                <w:szCs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4156F6E">
            <w:pPr>
              <w:jc w:val="center"/>
              <w:rPr>
                <w:rFonts w:hint="eastAsia" w:ascii="仿宋" w:hAnsi="仿宋" w:eastAsia="仿宋" w:cs="仿宋"/>
                <w:b/>
                <w:color w:val="000000"/>
                <w:sz w:val="24"/>
                <w:szCs w:val="24"/>
              </w:rPr>
            </w:pPr>
          </w:p>
        </w:tc>
      </w:tr>
      <w:tr w14:paraId="0C56FF65">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B45DD54">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“工作活动”设置（*分）</w:t>
            </w:r>
          </w:p>
        </w:tc>
        <w:tc>
          <w:tcPr>
            <w:tcW w:w="54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8FD3E95">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项目立项情况</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78247E">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是否符合政府经济和社会总体发展规划</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534E0E">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ADBDE63">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有政府相关政策、规划、任务等文件得</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9631E1">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r>
      <w:tr w14:paraId="23D8F540">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E0DBA7">
            <w:pPr>
              <w:jc w:val="center"/>
              <w:rPr>
                <w:rFonts w:hint="eastAsia" w:ascii="仿宋" w:hAnsi="仿宋" w:eastAsia="仿宋" w:cs="仿宋"/>
                <w:color w:val="000000"/>
                <w:sz w:val="24"/>
                <w:szCs w:val="24"/>
              </w:rPr>
            </w:pPr>
          </w:p>
        </w:tc>
        <w:tc>
          <w:tcPr>
            <w:tcW w:w="547"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A2017D3">
            <w:pPr>
              <w:jc w:val="center"/>
              <w:rPr>
                <w:rFonts w:hint="eastAsia" w:ascii="仿宋" w:hAnsi="仿宋" w:eastAsia="仿宋" w:cs="仿宋"/>
                <w:color w:val="000000"/>
                <w:sz w:val="24"/>
                <w:szCs w:val="24"/>
              </w:rPr>
            </w:pP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4C17091">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项目活动与职责相关性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37D38D">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4D3CED7">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工作活动与部门职责、工作规划和重点工作相关，工作活动项下确定的预算项目合理，与工作活动密切相关，工作活动和项目预算安排合理，得</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1C5CDA">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r>
      <w:tr w14:paraId="46E4C847">
        <w:tblPrEx>
          <w:tblCellMar>
            <w:top w:w="0" w:type="dxa"/>
            <w:left w:w="0" w:type="dxa"/>
            <w:bottom w:w="0" w:type="dxa"/>
            <w:right w:w="0" w:type="dxa"/>
          </w:tblCellMar>
        </w:tblPrEx>
        <w:trPr>
          <w:trHeight w:val="56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CA94C5">
            <w:pPr>
              <w:jc w:val="center"/>
              <w:rPr>
                <w:rFonts w:hint="eastAsia" w:ascii="仿宋" w:hAnsi="仿宋" w:eastAsia="仿宋" w:cs="仿宋"/>
                <w:color w:val="000000"/>
                <w:sz w:val="24"/>
                <w:szCs w:val="24"/>
              </w:rPr>
            </w:pPr>
          </w:p>
        </w:tc>
        <w:tc>
          <w:tcPr>
            <w:tcW w:w="54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6B1235">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绩效自评情况</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8A9E88">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项目设立绩效目标合理性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3992B3E">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A0E5D8">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①是否将项目绩效目标细化分解为具体的绩效指标；</w:t>
            </w:r>
          </w:p>
          <w:p w14:paraId="1B5B3388">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②是否通过清晰、可衡量的指标值予以体现；</w:t>
            </w:r>
          </w:p>
          <w:p w14:paraId="1BB298C0">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③是否与项目年度任务数或计划数相对应；</w:t>
            </w:r>
          </w:p>
          <w:p w14:paraId="78CCE49C">
            <w:pPr>
              <w:widowControl/>
              <w:jc w:val="left"/>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④是否与预算确定的项目投资额或资金量相匹配。</w:t>
            </w:r>
          </w:p>
          <w:p w14:paraId="60E14793">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缺少一项扣</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307BFBF">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14:paraId="4F3B6AAC">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79E476">
            <w:pPr>
              <w:jc w:val="center"/>
              <w:rPr>
                <w:rFonts w:hint="eastAsia" w:ascii="仿宋" w:hAnsi="仿宋" w:eastAsia="仿宋" w:cs="仿宋"/>
                <w:color w:val="000000"/>
                <w:sz w:val="24"/>
                <w:szCs w:val="24"/>
              </w:rPr>
            </w:pPr>
          </w:p>
        </w:tc>
        <w:tc>
          <w:tcPr>
            <w:tcW w:w="547"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EF4F65">
            <w:pPr>
              <w:jc w:val="center"/>
              <w:rPr>
                <w:rFonts w:hint="eastAsia" w:ascii="仿宋" w:hAnsi="仿宋" w:eastAsia="仿宋" w:cs="仿宋"/>
                <w:color w:val="000000"/>
                <w:sz w:val="24"/>
                <w:szCs w:val="24"/>
              </w:rPr>
            </w:pP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B7FF7A">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自评报告情况</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0E62C73">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B13462">
            <w:pPr>
              <w:widowControl/>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是否有绩效评价报告，报告是否依据充分、内容真实完整；数据准确、分析透彻。每存在一项问题扣</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66A345">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14:paraId="449BA469">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7D8458B">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“工作活动”管理（*分）</w:t>
            </w:r>
          </w:p>
        </w:tc>
        <w:tc>
          <w:tcPr>
            <w:tcW w:w="54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9A555F0">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资金管理</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5D2B16B">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预算调整率</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FE91B83">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4A64BD8">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预算调整率=（预算调整数/预算数）×100%。预算调整率每大于1%扣</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089738">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14:paraId="41BAFD84">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5BFB2A13">
            <w:pPr>
              <w:jc w:val="center"/>
              <w:rPr>
                <w:rFonts w:hint="eastAsia" w:ascii="仿宋" w:hAnsi="仿宋" w:eastAsia="仿宋" w:cs="仿宋"/>
                <w:color w:val="000000"/>
                <w:sz w:val="24"/>
                <w:szCs w:val="24"/>
              </w:rPr>
            </w:pPr>
          </w:p>
        </w:tc>
        <w:tc>
          <w:tcPr>
            <w:tcW w:w="54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A2DB06">
            <w:pPr>
              <w:jc w:val="center"/>
              <w:rPr>
                <w:rFonts w:hint="eastAsia" w:ascii="仿宋" w:hAnsi="仿宋" w:eastAsia="仿宋" w:cs="仿宋"/>
                <w:color w:val="000000"/>
                <w:sz w:val="24"/>
                <w:szCs w:val="24"/>
              </w:rPr>
            </w:pPr>
          </w:p>
        </w:tc>
        <w:tc>
          <w:tcPr>
            <w:tcW w:w="2442"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5404A44F">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资金使用合规性</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EE0CF6">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382"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0B6C38E1">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项目资金使用是否符合国家财经法规及相关的财务管理制度规定，资金支出程序是否规范,报账手续是否齐全。每存在一项不合规问题扣</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132A63B">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14:paraId="363063D5">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41D10842">
            <w:pPr>
              <w:jc w:val="center"/>
              <w:rPr>
                <w:rFonts w:hint="eastAsia" w:ascii="仿宋" w:hAnsi="仿宋" w:eastAsia="仿宋" w:cs="仿宋"/>
                <w:color w:val="000000"/>
                <w:sz w:val="24"/>
                <w:szCs w:val="24"/>
              </w:rPr>
            </w:pPr>
          </w:p>
        </w:tc>
        <w:tc>
          <w:tcPr>
            <w:tcW w:w="547"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5C4585">
            <w:pPr>
              <w:jc w:val="center"/>
              <w:rPr>
                <w:rFonts w:hint="eastAsia" w:ascii="仿宋" w:hAnsi="仿宋" w:eastAsia="仿宋" w:cs="仿宋"/>
                <w:color w:val="000000"/>
                <w:sz w:val="24"/>
                <w:szCs w:val="24"/>
              </w:rPr>
            </w:pP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30E84C">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会计核算规范性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7DE280">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F41616">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会计核算是否符合《会计法》、《政府会计制度》、《会计基础工作规范》等法律法规和相关制度规定。每存在一项不合规问题扣</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1DDBFC">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14:paraId="08451610">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443D999C">
            <w:pPr>
              <w:jc w:val="center"/>
              <w:rPr>
                <w:rFonts w:hint="eastAsia" w:ascii="仿宋" w:hAnsi="仿宋" w:eastAsia="仿宋" w:cs="仿宋"/>
                <w:color w:val="000000"/>
                <w:sz w:val="24"/>
                <w:szCs w:val="24"/>
              </w:rPr>
            </w:pPr>
          </w:p>
        </w:tc>
        <w:tc>
          <w:tcPr>
            <w:tcW w:w="547"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04C88F">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项目管理</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31B8F32">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项目责任机制是否健全</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A048B5">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FF29FF">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是否建立责任机制，项目管理和责任落实到有关人。每存在一项问题扣</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BF8C5D">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14:paraId="72BB9CA9">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C16A5BE">
            <w:pPr>
              <w:jc w:val="center"/>
              <w:rPr>
                <w:rFonts w:hint="eastAsia" w:ascii="仿宋" w:hAnsi="仿宋" w:eastAsia="仿宋" w:cs="仿宋"/>
                <w:color w:val="000000"/>
                <w:sz w:val="24"/>
                <w:szCs w:val="24"/>
              </w:rPr>
            </w:pPr>
          </w:p>
        </w:tc>
        <w:tc>
          <w:tcPr>
            <w:tcW w:w="547"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F6D6DC">
            <w:pPr>
              <w:jc w:val="center"/>
              <w:rPr>
                <w:rFonts w:hint="eastAsia" w:ascii="仿宋" w:hAnsi="仿宋" w:eastAsia="仿宋" w:cs="仿宋"/>
                <w:color w:val="000000"/>
                <w:sz w:val="24"/>
                <w:szCs w:val="24"/>
              </w:rPr>
            </w:pP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D1F21C4">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管理制度健全性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B613BDB">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B0F40D4">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制定管理制度和措施（包括财务制度）是否明确、清晰、具有可操作性，能否保障工作活动顺利实施。每缺少一项制度扣</w:t>
            </w:r>
            <w:r>
              <w:rPr>
                <w:rFonts w:hint="eastAsia" w:ascii="仿宋" w:hAnsi="仿宋" w:eastAsia="仿宋" w:cs="仿宋"/>
                <w:color w:val="000000"/>
                <w:kern w:val="0"/>
                <w:sz w:val="24"/>
                <w:szCs w:val="24"/>
                <w:lang w:val="en-US" w:eastAsia="zh-CN"/>
              </w:rPr>
              <w:t>1</w:t>
            </w:r>
            <w:r>
              <w:rPr>
                <w:rFonts w:hint="eastAsia" w:ascii="仿宋" w:hAnsi="仿宋" w:eastAsia="仿宋" w:cs="仿宋"/>
                <w:color w:val="000000"/>
                <w:kern w:val="0"/>
                <w:sz w:val="24"/>
                <w:szCs w:val="24"/>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AB68A9E">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14:paraId="2FAE1781">
        <w:tblPrEx>
          <w:tblCellMar>
            <w:top w:w="0" w:type="dxa"/>
            <w:left w:w="0" w:type="dxa"/>
            <w:bottom w:w="0" w:type="dxa"/>
            <w:right w:w="0" w:type="dxa"/>
          </w:tblCellMar>
        </w:tblPrEx>
        <w:trPr>
          <w:trHeight w:val="157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1CF8B0F6">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“工作活动”产出（*分）</w:t>
            </w: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56A288">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数量指标</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5F572253">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3D883B56">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2EE1FC4B">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总建筑面积</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4035D0">
            <w:pPr>
              <w:widowControl/>
              <w:numPr>
                <w:ilvl w:val="0"/>
                <w:numId w:val="0"/>
              </w:numPr>
              <w:ind w:left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69F8C5">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4295.3平方米</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4201684">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r>
      <w:tr w14:paraId="025C0746">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0217DDCE">
            <w:pPr>
              <w:jc w:val="center"/>
              <w:rPr>
                <w:rFonts w:hint="eastAsia" w:ascii="仿宋" w:hAnsi="仿宋" w:eastAsia="仿宋" w:cs="仿宋"/>
                <w:color w:val="000000"/>
                <w:sz w:val="24"/>
                <w:szCs w:val="24"/>
              </w:rPr>
            </w:pP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0BE17E6">
            <w:pPr>
              <w:widowControl/>
              <w:jc w:val="center"/>
              <w:textAlignment w:val="center"/>
              <w:rPr>
                <w:rFonts w:hint="eastAsia" w:ascii="仿宋" w:hAnsi="仿宋" w:eastAsia="仿宋" w:cs="仿宋"/>
                <w:color w:val="000000"/>
                <w:kern w:val="0"/>
                <w:sz w:val="24"/>
                <w:szCs w:val="24"/>
              </w:rPr>
            </w:pP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533702D2">
            <w:pPr>
              <w:keepNext w:val="0"/>
              <w:keepLines w:val="0"/>
              <w:widowControl/>
              <w:numPr>
                <w:ilvl w:val="0"/>
                <w:numId w:val="0"/>
              </w:numPr>
              <w:suppressLineNumbers w:val="0"/>
              <w:tabs>
                <w:tab w:val="left" w:pos="692"/>
              </w:tabs>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4762CE4A">
            <w:pPr>
              <w:keepNext w:val="0"/>
              <w:keepLines w:val="0"/>
              <w:widowControl/>
              <w:numPr>
                <w:ilvl w:val="0"/>
                <w:numId w:val="0"/>
              </w:numPr>
              <w:suppressLineNumbers w:val="0"/>
              <w:tabs>
                <w:tab w:val="left" w:pos="692"/>
              </w:tabs>
              <w:ind w:left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专用设备购置</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ACE79C">
            <w:pPr>
              <w:widowControl/>
              <w:numPr>
                <w:ilvl w:val="0"/>
                <w:numId w:val="0"/>
              </w:numPr>
              <w:ind w:left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89236B">
            <w:pPr>
              <w:widowControl/>
              <w:numPr>
                <w:ilvl w:val="0"/>
                <w:numId w:val="0"/>
              </w:numPr>
              <w:ind w:left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1套</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5D3414">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r>
      <w:tr w14:paraId="0905CE8D">
        <w:tblPrEx>
          <w:tblCellMar>
            <w:top w:w="0" w:type="dxa"/>
            <w:left w:w="0" w:type="dxa"/>
            <w:bottom w:w="0" w:type="dxa"/>
            <w:right w:w="0" w:type="dxa"/>
          </w:tblCellMar>
        </w:tblPrEx>
        <w:trPr>
          <w:trHeight w:val="3104"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099A3885">
            <w:pPr>
              <w:jc w:val="center"/>
              <w:rPr>
                <w:rFonts w:hint="eastAsia" w:ascii="仿宋" w:hAnsi="仿宋" w:eastAsia="仿宋" w:cs="仿宋"/>
                <w:color w:val="000000"/>
                <w:sz w:val="24"/>
                <w:szCs w:val="24"/>
              </w:rPr>
            </w:pP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38693A">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质量指标</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27E92AD0">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108F43E8">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04C760B8">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1AB68135">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0"/>
                <w:sz w:val="24"/>
                <w:szCs w:val="24"/>
                <w:u w:val="none"/>
                <w:lang w:val="en-US" w:eastAsia="zh-CN" w:bidi="ar"/>
              </w:rPr>
            </w:pPr>
          </w:p>
          <w:p w14:paraId="2AD30DE9">
            <w:pPr>
              <w:keepNext w:val="0"/>
              <w:keepLines w:val="0"/>
              <w:widowControl/>
              <w:numPr>
                <w:ilvl w:val="0"/>
                <w:numId w:val="0"/>
              </w:numPr>
              <w:suppressLineNumbers w:val="0"/>
              <w:ind w:leftChars="0"/>
              <w:jc w:val="center"/>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购入工程及购置产品合格率</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04520F3">
            <w:pPr>
              <w:widowControl/>
              <w:numPr>
                <w:ilvl w:val="0"/>
                <w:numId w:val="0"/>
              </w:numPr>
              <w:ind w:left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38FF871">
            <w:pPr>
              <w:widowControl/>
              <w:numPr>
                <w:ilvl w:val="0"/>
                <w:numId w:val="1"/>
              </w:numPr>
              <w:ind w:left="425" w:leftChars="0" w:hanging="425" w:firstLine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合国家标准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091E69">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14:paraId="0314541F">
        <w:tblPrEx>
          <w:tblCellMar>
            <w:top w:w="0" w:type="dxa"/>
            <w:left w:w="0" w:type="dxa"/>
            <w:bottom w:w="0" w:type="dxa"/>
            <w:right w:w="0" w:type="dxa"/>
          </w:tblCellMar>
        </w:tblPrEx>
        <w:trPr>
          <w:trHeight w:val="916"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FC277D5">
            <w:pPr>
              <w:jc w:val="center"/>
              <w:rPr>
                <w:rFonts w:hint="eastAsia" w:ascii="仿宋" w:hAnsi="仿宋" w:eastAsia="仿宋" w:cs="仿宋"/>
                <w:color w:val="000000"/>
                <w:sz w:val="24"/>
                <w:szCs w:val="24"/>
              </w:rPr>
            </w:pP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5BF7A3F">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时效指标</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4FA88C6C">
            <w:pPr>
              <w:keepNext w:val="0"/>
              <w:keepLines w:val="0"/>
              <w:widowControl/>
              <w:numPr>
                <w:ilvl w:val="0"/>
                <w:numId w:val="0"/>
              </w:numPr>
              <w:suppressLineNumbers w:val="0"/>
              <w:ind w:leftChars="0"/>
              <w:jc w:val="left"/>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2022年1月--2022年12月底</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233467">
            <w:pPr>
              <w:widowControl/>
              <w:numPr>
                <w:ilvl w:val="0"/>
                <w:numId w:val="0"/>
              </w:numPr>
              <w:ind w:left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5209780">
            <w:pPr>
              <w:widowControl/>
              <w:numPr>
                <w:ilvl w:val="0"/>
                <w:numId w:val="0"/>
              </w:numPr>
              <w:ind w:leftChars="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按时完成</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B01D1CD">
            <w:pPr>
              <w:widowControl/>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r w14:paraId="57B01605">
        <w:tblPrEx>
          <w:tblCellMar>
            <w:top w:w="0" w:type="dxa"/>
            <w:left w:w="0" w:type="dxa"/>
            <w:bottom w:w="0" w:type="dxa"/>
            <w:right w:w="0" w:type="dxa"/>
          </w:tblCellMar>
        </w:tblPrEx>
        <w:trPr>
          <w:trHeight w:val="1442"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6E65215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“工作活动”效果（</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分）</w:t>
            </w:r>
          </w:p>
        </w:tc>
        <w:tc>
          <w:tcPr>
            <w:tcW w:w="547"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2B4BE87C">
            <w:pPr>
              <w:jc w:val="center"/>
              <w:rPr>
                <w:rFonts w:hint="eastAsia" w:ascii="仿宋" w:hAnsi="仿宋" w:eastAsia="仿宋" w:cs="仿宋"/>
                <w:sz w:val="24"/>
                <w:szCs w:val="24"/>
              </w:rPr>
            </w:pPr>
            <w:r>
              <w:rPr>
                <w:rFonts w:hint="eastAsia" w:ascii="仿宋" w:hAnsi="仿宋" w:eastAsia="仿宋" w:cs="仿宋"/>
                <w:sz w:val="24"/>
                <w:szCs w:val="24"/>
              </w:rPr>
              <w:t>满意度</w:t>
            </w: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0082B826">
            <w:pPr>
              <w:keepNext w:val="0"/>
              <w:keepLines w:val="0"/>
              <w:widowControl/>
              <w:numPr>
                <w:ilvl w:val="0"/>
                <w:numId w:val="0"/>
              </w:numPr>
              <w:suppressLineNumbers w:val="0"/>
              <w:ind w:leftChars="0"/>
              <w:jc w:val="left"/>
              <w:textAlignment w:val="top"/>
              <w:rPr>
                <w:rFonts w:hint="eastAsia" w:ascii="仿宋" w:hAnsi="仿宋" w:eastAsia="仿宋" w:cs="仿宋"/>
                <w:i w:val="0"/>
                <w:iCs w:val="0"/>
                <w:color w:val="000000"/>
                <w:kern w:val="0"/>
                <w:sz w:val="24"/>
                <w:szCs w:val="24"/>
                <w:u w:val="none"/>
                <w:lang w:val="en-US" w:eastAsia="zh-CN" w:bidi="ar"/>
              </w:rPr>
            </w:pPr>
          </w:p>
          <w:p w14:paraId="420FAC3A">
            <w:pPr>
              <w:keepNext w:val="0"/>
              <w:keepLines w:val="0"/>
              <w:widowControl/>
              <w:numPr>
                <w:ilvl w:val="0"/>
                <w:numId w:val="0"/>
              </w:numPr>
              <w:suppressLineNumbers w:val="0"/>
              <w:ind w:leftChars="0"/>
              <w:jc w:val="left"/>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学生、教师、家长、管理人员满意</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635479">
            <w:pPr>
              <w:widowControl/>
              <w:numPr>
                <w:ilvl w:val="0"/>
                <w:numId w:val="0"/>
              </w:numPr>
              <w:ind w:leftChars="0"/>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A78656">
            <w:pPr>
              <w:widowControl/>
              <w:numPr>
                <w:ilvl w:val="0"/>
                <w:numId w:val="0"/>
              </w:numPr>
              <w:ind w:leftChars="0"/>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满意</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557B55A">
            <w:pPr>
              <w:widowControl/>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w:t>
            </w:r>
          </w:p>
        </w:tc>
      </w:tr>
      <w:tr w14:paraId="085F948F">
        <w:tblPrEx>
          <w:tblCellMar>
            <w:top w:w="0" w:type="dxa"/>
            <w:left w:w="0" w:type="dxa"/>
            <w:bottom w:w="0" w:type="dxa"/>
            <w:right w:w="0" w:type="dxa"/>
          </w:tblCellMar>
        </w:tblPrEx>
        <w:trPr>
          <w:trHeight w:val="642"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EFEE65B">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合计</w:t>
            </w:r>
          </w:p>
        </w:tc>
        <w:tc>
          <w:tcPr>
            <w:tcW w:w="54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3EBF196">
            <w:pPr>
              <w:jc w:val="center"/>
              <w:rPr>
                <w:rFonts w:hint="eastAsia" w:ascii="仿宋" w:hAnsi="仿宋" w:eastAsia="仿宋" w:cs="仿宋"/>
                <w:sz w:val="24"/>
                <w:szCs w:val="24"/>
              </w:rPr>
            </w:pPr>
          </w:p>
        </w:tc>
        <w:tc>
          <w:tcPr>
            <w:tcW w:w="244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479F6D">
            <w:pPr>
              <w:widowControl/>
              <w:jc w:val="center"/>
              <w:textAlignment w:val="center"/>
              <w:rPr>
                <w:rFonts w:hint="eastAsia" w:ascii="仿宋" w:hAnsi="仿宋" w:eastAsia="仿宋" w:cs="仿宋"/>
                <w:color w:val="000000"/>
                <w:kern w:val="0"/>
                <w:sz w:val="24"/>
                <w:szCs w:val="24"/>
              </w:rPr>
            </w:pP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181611D">
            <w:pPr>
              <w:widowControl/>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4415C7">
            <w:pPr>
              <w:widowControl/>
              <w:jc w:val="left"/>
              <w:textAlignment w:val="center"/>
              <w:rPr>
                <w:rFonts w:hint="eastAsia" w:ascii="仿宋" w:hAnsi="仿宋" w:eastAsia="仿宋" w:cs="仿宋"/>
                <w:color w:val="000000"/>
                <w:kern w:val="0"/>
                <w:sz w:val="24"/>
                <w:szCs w:val="24"/>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08B2563">
            <w:pPr>
              <w:widowControl/>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100</w:t>
            </w:r>
          </w:p>
        </w:tc>
      </w:tr>
    </w:tbl>
    <w:p w14:paraId="3633CB9B">
      <w:pPr>
        <w:pStyle w:val="7"/>
        <w:spacing w:line="560" w:lineRule="exact"/>
        <w:ind w:left="420" w:leftChars="200" w:firstLine="320" w:firstLineChars="100"/>
        <w:outlineLvl w:val="0"/>
        <w:rPr>
          <w:rFonts w:hint="eastAsia" w:ascii="仿宋" w:hAnsi="仿宋" w:eastAsia="仿宋" w:cs="仿宋"/>
          <w:color w:val="000000"/>
          <w:sz w:val="32"/>
          <w:szCs w:val="32"/>
        </w:rPr>
      </w:pPr>
      <w:bookmarkStart w:id="77" w:name="_Toc2634_WPSOffice_Level1"/>
    </w:p>
    <w:p w14:paraId="049F011A">
      <w:pPr>
        <w:pStyle w:val="7"/>
        <w:spacing w:line="560" w:lineRule="exact"/>
        <w:ind w:left="420" w:leftChars="200" w:firstLine="320" w:firstLineChars="100"/>
        <w:outlineLvl w:val="0"/>
        <w:rPr>
          <w:rFonts w:hint="eastAsia" w:ascii="仿宋" w:hAnsi="仿宋" w:eastAsia="仿宋" w:cs="仿宋"/>
          <w:color w:val="000000"/>
          <w:sz w:val="32"/>
          <w:szCs w:val="32"/>
        </w:rPr>
      </w:pPr>
      <w:r>
        <w:rPr>
          <w:rFonts w:hint="eastAsia" w:ascii="仿宋" w:hAnsi="仿宋" w:eastAsia="仿宋" w:cs="仿宋"/>
          <w:color w:val="000000"/>
          <w:sz w:val="32"/>
          <w:szCs w:val="32"/>
        </w:rPr>
        <w:t>五、评价分析</w:t>
      </w:r>
      <w:bookmarkEnd w:id="77"/>
    </w:p>
    <w:p w14:paraId="1577E805">
      <w:pPr>
        <w:spacing w:line="560" w:lineRule="exact"/>
        <w:ind w:firstLine="640" w:firstLineChars="200"/>
        <w:outlineLvl w:val="1"/>
        <w:rPr>
          <w:rFonts w:hint="eastAsia" w:ascii="仿宋" w:hAnsi="仿宋" w:eastAsia="仿宋" w:cs="仿宋"/>
          <w:color w:val="000000"/>
          <w:sz w:val="32"/>
          <w:szCs w:val="32"/>
        </w:rPr>
      </w:pPr>
      <w:bookmarkStart w:id="78" w:name="_Toc18513_WPSOffice_Level2"/>
      <w:r>
        <w:rPr>
          <w:rFonts w:hint="eastAsia" w:ascii="仿宋" w:hAnsi="仿宋" w:eastAsia="仿宋" w:cs="仿宋"/>
          <w:color w:val="000000"/>
          <w:sz w:val="32"/>
          <w:szCs w:val="32"/>
        </w:rPr>
        <w:t>（一）主要扣分事项及原因分析</w:t>
      </w:r>
      <w:bookmarkEnd w:id="78"/>
    </w:p>
    <w:p w14:paraId="4C39938B">
      <w:pPr>
        <w:keepNext w:val="0"/>
        <w:keepLines w:val="0"/>
        <w:widowControl/>
        <w:suppressLineNumbers w:val="0"/>
        <w:ind w:firstLine="960" w:firstLineChars="300"/>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color w:val="000000"/>
          <w:kern w:val="0"/>
          <w:sz w:val="32"/>
          <w:szCs w:val="32"/>
          <w:lang w:val="en-US" w:eastAsia="zh-CN" w:bidi="ar"/>
        </w:rPr>
        <w:t>1、我单位根据专项绩效评定指标对各项目量化评价，自评指标得分 100 分。 将项目支出后的实际状况与项目申报的绩效目标进行对比分析。按项目实际支出和项目申报绩效目标进行对比分析自评得分100分，所有项目均与批复下达相符。</w:t>
      </w:r>
    </w:p>
    <w:p w14:paraId="5D68DF79">
      <w:pPr>
        <w:pStyle w:val="7"/>
        <w:numPr>
          <w:ilvl w:val="0"/>
          <w:numId w:val="0"/>
        </w:numPr>
        <w:spacing w:line="560" w:lineRule="exact"/>
        <w:ind w:leftChars="300"/>
        <w:outlineLvl w:val="0"/>
        <w:rPr>
          <w:rFonts w:hint="eastAsia" w:ascii="仿宋" w:hAnsi="仿宋" w:eastAsia="仿宋" w:cs="仿宋"/>
          <w:sz w:val="32"/>
          <w:szCs w:val="32"/>
        </w:rPr>
      </w:pPr>
      <w:bookmarkStart w:id="79" w:name="_Toc11279_WPSOffice_Level1"/>
      <w:r>
        <w:rPr>
          <w:rFonts w:hint="eastAsia" w:ascii="仿宋" w:hAnsi="仿宋" w:eastAsia="仿宋" w:cs="仿宋"/>
          <w:color w:val="000000"/>
          <w:sz w:val="32"/>
          <w:szCs w:val="32"/>
          <w:lang w:eastAsia="zh-CN"/>
        </w:rPr>
        <w:t>六、</w:t>
      </w:r>
      <w:r>
        <w:rPr>
          <w:rFonts w:hint="eastAsia" w:ascii="仿宋" w:hAnsi="仿宋" w:eastAsia="仿宋" w:cs="仿宋"/>
          <w:color w:val="000000"/>
          <w:sz w:val="32"/>
          <w:szCs w:val="32"/>
        </w:rPr>
        <w:t>意见及建议</w:t>
      </w:r>
      <w:bookmarkEnd w:id="79"/>
    </w:p>
    <w:p w14:paraId="5994AF0B">
      <w:pPr>
        <w:ind w:firstLine="640" w:firstLineChars="200"/>
        <w:rPr>
          <w:rFonts w:hint="eastAsia" w:ascii="仿宋" w:hAnsi="仿宋" w:eastAsia="仿宋" w:cs="仿宋"/>
          <w:sz w:val="32"/>
          <w:szCs w:val="32"/>
        </w:rPr>
      </w:pPr>
      <w:r>
        <w:rPr>
          <w:rFonts w:hint="eastAsia" w:ascii="仿宋" w:hAnsi="仿宋" w:eastAsia="仿宋" w:cs="仿宋"/>
          <w:sz w:val="32"/>
          <w:szCs w:val="32"/>
        </w:rPr>
        <w:t>我校在项目的申请、资金下达、项目实施等方面严格按照规定的程序，使该项目能够按时完成，但在今后的工作中还要再精益求精，狠抓细节管理，提高资金的使用效率，让</w:t>
      </w:r>
      <w:r>
        <w:rPr>
          <w:rFonts w:hint="eastAsia" w:ascii="仿宋" w:hAnsi="仿宋" w:eastAsia="仿宋" w:cs="仿宋"/>
          <w:sz w:val="32"/>
          <w:szCs w:val="32"/>
          <w:lang w:val="en-US" w:eastAsia="zh-CN"/>
        </w:rPr>
        <w:t>项目资金做到专款专用，</w:t>
      </w:r>
      <w:r>
        <w:rPr>
          <w:rFonts w:hint="eastAsia" w:ascii="仿宋" w:hAnsi="仿宋" w:eastAsia="仿宋" w:cs="仿宋"/>
          <w:sz w:val="32"/>
          <w:szCs w:val="32"/>
        </w:rPr>
        <w:t>更好的服务于教学，从而提升教学水平，使学生、家长、教职工以及社会对我校的教学工作更加满意。</w:t>
      </w:r>
    </w:p>
    <w:p w14:paraId="75891019">
      <w:pPr>
        <w:numPr>
          <w:ilvl w:val="0"/>
          <w:numId w:val="0"/>
        </w:numPr>
        <w:rPr>
          <w:rFonts w:hint="eastAsia" w:ascii="仿宋" w:hAnsi="仿宋" w:eastAsia="仿宋" w:cs="仿宋"/>
          <w:sz w:val="32"/>
          <w:szCs w:val="32"/>
        </w:rPr>
      </w:pPr>
    </w:p>
    <w:p w14:paraId="7A95C392">
      <w:pPr>
        <w:pStyle w:val="7"/>
        <w:spacing w:line="560" w:lineRule="exact"/>
        <w:ind w:left="420" w:leftChars="200" w:firstLine="4960" w:firstLineChars="1550"/>
        <w:outlineLvl w:val="0"/>
        <w:rPr>
          <w:rFonts w:hint="eastAsia" w:ascii="仿宋" w:hAnsi="仿宋" w:eastAsia="仿宋" w:cs="仿宋"/>
          <w:color w:val="000000"/>
          <w:sz w:val="32"/>
          <w:szCs w:val="32"/>
        </w:rPr>
      </w:pPr>
    </w:p>
    <w:p w14:paraId="10DBBF50">
      <w:pPr>
        <w:pStyle w:val="7"/>
        <w:spacing w:line="560" w:lineRule="exact"/>
        <w:ind w:left="420" w:leftChars="200" w:firstLine="4960" w:firstLineChars="1550"/>
        <w:outlineLvl w:val="0"/>
        <w:rPr>
          <w:rFonts w:hint="eastAsia" w:ascii="仿宋" w:hAnsi="仿宋" w:eastAsia="仿宋" w:cs="仿宋"/>
          <w:color w:val="000000"/>
          <w:sz w:val="32"/>
          <w:szCs w:val="32"/>
        </w:rPr>
      </w:pPr>
    </w:p>
    <w:p w14:paraId="259B0B5E">
      <w:pPr>
        <w:pStyle w:val="7"/>
        <w:spacing w:line="560" w:lineRule="exact"/>
        <w:ind w:left="420" w:leftChars="200" w:firstLine="4960" w:firstLineChars="1550"/>
        <w:outlineLvl w:val="0"/>
        <w:rPr>
          <w:rFonts w:hint="eastAsia" w:ascii="仿宋" w:hAnsi="仿宋" w:eastAsia="仿宋" w:cs="仿宋"/>
          <w:color w:val="000000"/>
          <w:sz w:val="32"/>
          <w:szCs w:val="32"/>
        </w:rPr>
      </w:pPr>
    </w:p>
    <w:p w14:paraId="4C96F23B">
      <w:pPr>
        <w:pStyle w:val="7"/>
        <w:spacing w:line="560" w:lineRule="exact"/>
        <w:ind w:left="420" w:leftChars="200" w:firstLine="4960" w:firstLineChars="1550"/>
        <w:outlineLvl w:val="0"/>
        <w:rPr>
          <w:rFonts w:hint="eastAsia" w:ascii="仿宋" w:hAnsi="仿宋" w:eastAsia="仿宋" w:cs="仿宋"/>
          <w:color w:val="000000"/>
          <w:sz w:val="32"/>
          <w:szCs w:val="32"/>
        </w:rPr>
      </w:pPr>
    </w:p>
    <w:p w14:paraId="6CD3E3E7">
      <w:pPr>
        <w:pStyle w:val="7"/>
        <w:spacing w:line="560" w:lineRule="exact"/>
        <w:ind w:left="420" w:leftChars="200" w:firstLine="4960" w:firstLineChars="1550"/>
        <w:outlineLvl w:val="0"/>
        <w:rPr>
          <w:rFonts w:hint="eastAsia" w:ascii="仿宋" w:hAnsi="仿宋" w:eastAsia="仿宋" w:cs="仿宋"/>
          <w:color w:val="000000"/>
          <w:sz w:val="32"/>
          <w:szCs w:val="32"/>
        </w:rPr>
      </w:pPr>
    </w:p>
    <w:p w14:paraId="0E8055F1">
      <w:pPr>
        <w:pStyle w:val="7"/>
        <w:spacing w:line="560" w:lineRule="exact"/>
        <w:ind w:left="420" w:leftChars="200" w:firstLine="4960" w:firstLineChars="1550"/>
        <w:outlineLvl w:val="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2023</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16</w:t>
      </w:r>
      <w:r>
        <w:rPr>
          <w:rFonts w:hint="eastAsia" w:ascii="仿宋" w:hAnsi="仿宋" w:eastAsia="仿宋" w:cs="仿宋"/>
          <w:color w:val="000000"/>
          <w:sz w:val="32"/>
          <w:szCs w:val="32"/>
        </w:rPr>
        <w:t>日</w:t>
      </w:r>
    </w:p>
    <w:p w14:paraId="6CEDA222">
      <w:pPr>
        <w:rPr>
          <w:rFonts w:hint="eastAsia" w:ascii="仿宋" w:hAnsi="仿宋" w:eastAsia="仿宋" w:cs="仿宋"/>
          <w:sz w:val="32"/>
          <w:szCs w:val="32"/>
        </w:rPr>
      </w:pPr>
    </w:p>
    <w:sectPr>
      <w:footerReference r:id="rId3" w:type="default"/>
      <w:pgSz w:w="11906" w:h="16838"/>
      <w:pgMar w:top="1587" w:right="1474" w:bottom="1587"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7CE30">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14:paraId="0EC7AB62">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74D7B"/>
    <w:multiLevelType w:val="singleLevel"/>
    <w:tmpl w:val="62674D7B"/>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Q4ZjJjMDVlZjk3MzZjZTliYjFiOGEyYzk2OWFhMzkifQ=="/>
  </w:docVars>
  <w:rsids>
    <w:rsidRoot w:val="07CC499B"/>
    <w:rsid w:val="00092B14"/>
    <w:rsid w:val="000D47D0"/>
    <w:rsid w:val="001373BE"/>
    <w:rsid w:val="001F3212"/>
    <w:rsid w:val="002707C6"/>
    <w:rsid w:val="00280F82"/>
    <w:rsid w:val="003170CE"/>
    <w:rsid w:val="003C4354"/>
    <w:rsid w:val="00645DBC"/>
    <w:rsid w:val="007812E3"/>
    <w:rsid w:val="00814E39"/>
    <w:rsid w:val="008C7CF4"/>
    <w:rsid w:val="00A02C66"/>
    <w:rsid w:val="00AB413B"/>
    <w:rsid w:val="00B60E03"/>
    <w:rsid w:val="00D25A69"/>
    <w:rsid w:val="00D25CC3"/>
    <w:rsid w:val="00D3165F"/>
    <w:rsid w:val="00D471F4"/>
    <w:rsid w:val="00D5394A"/>
    <w:rsid w:val="00DB6DF3"/>
    <w:rsid w:val="00E30CAE"/>
    <w:rsid w:val="00E310A2"/>
    <w:rsid w:val="00EF2BA5"/>
    <w:rsid w:val="00EF6DA3"/>
    <w:rsid w:val="00FA340E"/>
    <w:rsid w:val="01B67D1F"/>
    <w:rsid w:val="01CA2AF2"/>
    <w:rsid w:val="03274687"/>
    <w:rsid w:val="04064A0C"/>
    <w:rsid w:val="04321BCD"/>
    <w:rsid w:val="04FF4482"/>
    <w:rsid w:val="057A0A50"/>
    <w:rsid w:val="064C4C17"/>
    <w:rsid w:val="076C3175"/>
    <w:rsid w:val="07CC499B"/>
    <w:rsid w:val="0815567D"/>
    <w:rsid w:val="08A010CD"/>
    <w:rsid w:val="0909607F"/>
    <w:rsid w:val="09A64785"/>
    <w:rsid w:val="0A3B4E4B"/>
    <w:rsid w:val="0B601B06"/>
    <w:rsid w:val="0BEB58BF"/>
    <w:rsid w:val="0C15027B"/>
    <w:rsid w:val="0C17196D"/>
    <w:rsid w:val="0C3B2A49"/>
    <w:rsid w:val="0DAA4EE9"/>
    <w:rsid w:val="0E3117D9"/>
    <w:rsid w:val="102B0836"/>
    <w:rsid w:val="1064155D"/>
    <w:rsid w:val="1156122B"/>
    <w:rsid w:val="11F11891"/>
    <w:rsid w:val="12C35BB4"/>
    <w:rsid w:val="140849FA"/>
    <w:rsid w:val="14583EA3"/>
    <w:rsid w:val="151D09B5"/>
    <w:rsid w:val="1689469A"/>
    <w:rsid w:val="16DB1E7D"/>
    <w:rsid w:val="1789337F"/>
    <w:rsid w:val="178C6C5A"/>
    <w:rsid w:val="17CD646A"/>
    <w:rsid w:val="184F3049"/>
    <w:rsid w:val="1B3F225B"/>
    <w:rsid w:val="1B4269FF"/>
    <w:rsid w:val="1D4B3C83"/>
    <w:rsid w:val="1DBD7AB3"/>
    <w:rsid w:val="1E0B387E"/>
    <w:rsid w:val="21460607"/>
    <w:rsid w:val="21FF1E9B"/>
    <w:rsid w:val="23C1122C"/>
    <w:rsid w:val="243D751D"/>
    <w:rsid w:val="24522B03"/>
    <w:rsid w:val="25ED2FD4"/>
    <w:rsid w:val="264A346A"/>
    <w:rsid w:val="270A41B9"/>
    <w:rsid w:val="274B3C4E"/>
    <w:rsid w:val="285356FD"/>
    <w:rsid w:val="288E37E0"/>
    <w:rsid w:val="289F0DF1"/>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045CF6"/>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21658CF"/>
    <w:rsid w:val="6304094B"/>
    <w:rsid w:val="63231790"/>
    <w:rsid w:val="64165E4C"/>
    <w:rsid w:val="6536013A"/>
    <w:rsid w:val="68DA698B"/>
    <w:rsid w:val="6A3E1F45"/>
    <w:rsid w:val="6CCC6D4C"/>
    <w:rsid w:val="6D5F4EC3"/>
    <w:rsid w:val="6E3F5A2C"/>
    <w:rsid w:val="7008088F"/>
    <w:rsid w:val="712634CC"/>
    <w:rsid w:val="71A3781D"/>
    <w:rsid w:val="724E698E"/>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Body Text First Indent 2"/>
    <w:basedOn w:val="3"/>
    <w:next w:val="1"/>
    <w:qFormat/>
    <w:uiPriority w:val="0"/>
    <w:pPr>
      <w:ind w:firstLine="420"/>
    </w:pPr>
  </w:style>
  <w:style w:type="character" w:styleId="10">
    <w:name w:val="Strong"/>
    <w:basedOn w:val="9"/>
    <w:qFormat/>
    <w:uiPriority w:val="0"/>
    <w:rPr>
      <w:b/>
    </w:rPr>
  </w:style>
  <w:style w:type="paragraph" w:customStyle="1" w:styleId="11">
    <w:name w:val="WPSOffice手动目录 1"/>
    <w:qFormat/>
    <w:uiPriority w:val="0"/>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3">
    <w:name w:val="页眉 Char"/>
    <w:basedOn w:val="9"/>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2864</Words>
  <Characters>3002</Characters>
  <Lines>9</Lines>
  <Paragraphs>2</Paragraphs>
  <TotalTime>8</TotalTime>
  <ScaleCrop>false</ScaleCrop>
  <LinksUpToDate>false</LinksUpToDate>
  <CharactersWithSpaces>3099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齐赞法</cp:lastModifiedBy>
  <cp:lastPrinted>2023-03-20T06:50:00Z</cp:lastPrinted>
  <dcterms:modified xsi:type="dcterms:W3CDTF">2026-05-14T08:09:19Z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5E3D0DD29BA247FB8DA960BF496271E0</vt:lpwstr>
  </property>
  <property fmtid="{D5CDD505-2E9C-101B-9397-08002B2CF9AE}" pid="4" name="KSOTemplateDocerSaveRecord">
    <vt:lpwstr>eyJoZGlkIjoiZTg1NGM5MzY4ZmUyZDFhOTM5ZDIwNDFhOWMxOGI2YmUiLCJ1c2VySWQiOiI2MjQzMDU2NzcifQ==</vt:lpwstr>
  </property>
</Properties>
</file>