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2C2C81">
      <w:pPr>
        <w:spacing w:line="580" w:lineRule="exact"/>
        <w:rPr>
          <w:rFonts w:ascii="仿宋_GB2312" w:hAnsi="仿宋_GB2312" w:eastAsia="仿宋_GB2312" w:cs="仿宋_GB2312"/>
          <w:color w:val="000000"/>
          <w:sz w:val="24"/>
        </w:rPr>
      </w:pPr>
      <w:bookmarkStart w:id="100" w:name="_GoBack"/>
      <w:bookmarkEnd w:id="100"/>
      <w:r>
        <w:rPr>
          <w:rFonts w:hint="eastAsia" w:ascii="仿宋_GB2312" w:hAnsi="仿宋_GB2312" w:eastAsia="仿宋_GB2312" w:cs="仿宋_GB2312"/>
          <w:color w:val="000000"/>
          <w:sz w:val="24"/>
        </w:rPr>
        <w:t>附件5：</w:t>
      </w:r>
    </w:p>
    <w:p w14:paraId="552A0369">
      <w:pPr>
        <w:spacing w:line="580" w:lineRule="exact"/>
        <w:ind w:firstLine="720" w:firstLineChars="199"/>
        <w:rPr>
          <w:rFonts w:ascii="仿宋_GB2312" w:hAnsi="仿宋_GB2312" w:eastAsia="仿宋_GB2312" w:cs="仿宋_GB2312"/>
          <w:b/>
          <w:bCs/>
          <w:spacing w:val="-20"/>
          <w:sz w:val="40"/>
          <w:szCs w:val="48"/>
        </w:rPr>
      </w:pPr>
    </w:p>
    <w:p w14:paraId="785E5A82">
      <w:pPr>
        <w:spacing w:line="580" w:lineRule="exact"/>
        <w:ind w:firstLine="720" w:firstLineChars="199"/>
        <w:jc w:val="center"/>
        <w:rPr>
          <w:rFonts w:ascii="仿宋_GB2312" w:hAnsi="仿宋_GB2312" w:eastAsia="仿宋_GB2312" w:cs="仿宋_GB2312"/>
          <w:b/>
          <w:bCs/>
          <w:spacing w:val="-20"/>
          <w:sz w:val="40"/>
          <w:szCs w:val="48"/>
        </w:rPr>
      </w:pPr>
      <w:r>
        <w:rPr>
          <w:rFonts w:hint="eastAsia" w:ascii="仿宋_GB2312" w:hAnsi="仿宋_GB2312" w:eastAsia="仿宋_GB2312" w:cs="仿宋_GB2312"/>
          <w:b/>
          <w:bCs/>
          <w:spacing w:val="-20"/>
          <w:sz w:val="40"/>
          <w:szCs w:val="48"/>
        </w:rPr>
        <w:t>隆尧县教育局</w:t>
      </w:r>
    </w:p>
    <w:p w14:paraId="5E9EBBEE">
      <w:pPr>
        <w:spacing w:line="580" w:lineRule="exact"/>
        <w:ind w:firstLine="799" w:firstLineChars="199"/>
        <w:rPr>
          <w:rFonts w:ascii="仿宋_GB2312" w:hAnsi="仿宋_GB2312" w:eastAsia="仿宋_GB2312" w:cs="仿宋_GB2312"/>
          <w:b/>
          <w:bCs/>
          <w:sz w:val="40"/>
          <w:szCs w:val="48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8"/>
        </w:rPr>
        <w:t>智慧校园小学（大规模）项目重点自评绩效</w:t>
      </w:r>
    </w:p>
    <w:p w14:paraId="6D07072E">
      <w:pPr>
        <w:spacing w:line="580" w:lineRule="exact"/>
        <w:ind w:firstLine="4016" w:firstLineChars="1000"/>
        <w:rPr>
          <w:rFonts w:ascii="仿宋_GB2312" w:hAnsi="仿宋_GB2312" w:eastAsia="仿宋_GB2312" w:cs="仿宋_GB2312"/>
          <w:b/>
          <w:bCs/>
          <w:sz w:val="40"/>
          <w:szCs w:val="48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8"/>
        </w:rPr>
        <w:t>报告</w:t>
      </w:r>
    </w:p>
    <w:p w14:paraId="67AA18FA">
      <w:pPr>
        <w:rPr>
          <w:rFonts w:ascii="仿宋_GB2312" w:hAnsi="仿宋_GB2312" w:eastAsia="仿宋_GB2312" w:cs="仿宋_GB2312"/>
        </w:rPr>
      </w:pPr>
    </w:p>
    <w:p w14:paraId="3F7471DE">
      <w:pPr>
        <w:rPr>
          <w:rFonts w:ascii="仿宋_GB2312" w:hAnsi="仿宋_GB2312" w:eastAsia="仿宋_GB2312" w:cs="仿宋_GB2312"/>
        </w:rPr>
      </w:pPr>
    </w:p>
    <w:p w14:paraId="7FDFC71A">
      <w:pPr>
        <w:rPr>
          <w:rFonts w:ascii="仿宋_GB2312" w:hAnsi="仿宋_GB2312" w:eastAsia="仿宋_GB2312" w:cs="仿宋_GB2312"/>
        </w:rPr>
      </w:pPr>
    </w:p>
    <w:p w14:paraId="0CBED542">
      <w:pPr>
        <w:rPr>
          <w:rFonts w:ascii="仿宋_GB2312" w:hAnsi="仿宋_GB2312" w:eastAsia="仿宋_GB2312" w:cs="仿宋_GB2312"/>
        </w:rPr>
      </w:pPr>
    </w:p>
    <w:p w14:paraId="0AF0EDB7">
      <w:pPr>
        <w:rPr>
          <w:rFonts w:ascii="仿宋_GB2312" w:hAnsi="仿宋_GB2312" w:eastAsia="仿宋_GB2312" w:cs="仿宋_GB2312"/>
        </w:rPr>
      </w:pPr>
    </w:p>
    <w:p w14:paraId="46EFDBAC">
      <w:pPr>
        <w:rPr>
          <w:rFonts w:ascii="仿宋_GB2312" w:hAnsi="仿宋_GB2312" w:eastAsia="仿宋_GB2312" w:cs="仿宋_GB2312"/>
        </w:rPr>
      </w:pPr>
    </w:p>
    <w:p w14:paraId="6F036D3E">
      <w:pPr>
        <w:rPr>
          <w:rFonts w:ascii="仿宋_GB2312" w:hAnsi="仿宋_GB2312" w:eastAsia="仿宋_GB2312" w:cs="仿宋_GB2312"/>
        </w:rPr>
      </w:pPr>
    </w:p>
    <w:p w14:paraId="0FA8EBA9">
      <w:pPr>
        <w:rPr>
          <w:rFonts w:ascii="仿宋_GB2312" w:hAnsi="仿宋_GB2312" w:eastAsia="仿宋_GB2312" w:cs="仿宋_GB2312"/>
        </w:rPr>
      </w:pPr>
    </w:p>
    <w:p w14:paraId="30FCF343">
      <w:pPr>
        <w:pStyle w:val="2"/>
        <w:ind w:firstLine="560"/>
      </w:pPr>
    </w:p>
    <w:p w14:paraId="1692E7DC"/>
    <w:p w14:paraId="0E9D4BEC">
      <w:pPr>
        <w:pStyle w:val="2"/>
        <w:ind w:firstLine="560"/>
      </w:pPr>
    </w:p>
    <w:p w14:paraId="22D9B64F"/>
    <w:p w14:paraId="66CA2022">
      <w:pPr>
        <w:pStyle w:val="2"/>
        <w:ind w:firstLine="560"/>
      </w:pPr>
    </w:p>
    <w:p w14:paraId="2FB24272">
      <w:pPr>
        <w:spacing w:line="760" w:lineRule="exact"/>
        <w:rPr>
          <w:rFonts w:ascii="仿宋_GB2312" w:hAnsi="仿宋_GB2312" w:eastAsia="仿宋_GB2312" w:cs="仿宋_GB2312"/>
          <w:spacing w:val="-20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pacing w:val="11"/>
          <w:sz w:val="28"/>
          <w:szCs w:val="28"/>
        </w:rPr>
        <w:t>项 目 名 称：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u w:val="single"/>
        </w:rPr>
        <w:t>隆尧县智慧校园小学（大规模）</w:t>
      </w:r>
    </w:p>
    <w:p w14:paraId="5791C2C8">
      <w:pPr>
        <w:spacing w:line="760" w:lineRule="exact"/>
        <w:rPr>
          <w:rFonts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项目实施单位：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>隆尧县教育局</w:t>
      </w:r>
    </w:p>
    <w:p w14:paraId="2CB0D717">
      <w:pPr>
        <w:spacing w:line="760" w:lineRule="exact"/>
        <w:rPr>
          <w:rFonts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pacing w:val="28"/>
          <w:sz w:val="28"/>
          <w:szCs w:val="28"/>
        </w:rPr>
        <w:t>项目总金额：</w:t>
      </w:r>
      <w:r>
        <w:rPr>
          <w:rFonts w:hint="eastAsia" w:ascii="仿宋_GB2312" w:hAnsi="仿宋_GB2312" w:eastAsia="仿宋_GB2312" w:cs="仿宋_GB2312"/>
          <w:spacing w:val="28"/>
          <w:sz w:val="28"/>
          <w:szCs w:val="28"/>
          <w:u w:val="single"/>
        </w:rPr>
        <w:t>554.9675万元</w:t>
      </w:r>
    </w:p>
    <w:p w14:paraId="6C9EF38B">
      <w:pPr>
        <w:spacing w:line="760" w:lineRule="exact"/>
        <w:rPr>
          <w:rFonts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pacing w:val="11"/>
          <w:sz w:val="28"/>
          <w:szCs w:val="28"/>
        </w:rPr>
        <w:t>评 价 年 度：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2022年度</w:t>
      </w:r>
    </w:p>
    <w:p w14:paraId="5C96B439">
      <w:pPr>
        <w:spacing w:line="760" w:lineRule="exact"/>
        <w:rPr>
          <w:rFonts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pacing w:val="28"/>
          <w:sz w:val="28"/>
          <w:szCs w:val="28"/>
        </w:rPr>
        <w:t>评价组组长：刘国清</w:t>
      </w:r>
    </w:p>
    <w:p w14:paraId="623A171E">
      <w:pPr>
        <w:spacing w:line="580" w:lineRule="exact"/>
        <w:outlineLvl w:val="0"/>
        <w:rPr>
          <w:rFonts w:ascii="仿宋_GB2312" w:hAnsi="仿宋_GB2312" w:eastAsia="仿宋_GB2312" w:cs="仿宋_GB2312"/>
          <w:spacing w:val="28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28"/>
          <w:sz w:val="28"/>
          <w:szCs w:val="28"/>
        </w:rPr>
        <w:t>评价组成员：</w:t>
      </w:r>
      <w:bookmarkStart w:id="0" w:name="_Toc16913"/>
      <w:bookmarkStart w:id="1" w:name="_Toc23411"/>
      <w:bookmarkStart w:id="2" w:name="_Toc9525"/>
      <w:bookmarkStart w:id="3" w:name="_Toc30335"/>
      <w:bookmarkStart w:id="4" w:name="_Toc18334"/>
      <w:bookmarkStart w:id="5" w:name="_Toc4013"/>
      <w:bookmarkStart w:id="6" w:name="_Toc13153"/>
      <w:bookmarkStart w:id="7" w:name="_Toc6314"/>
      <w:bookmarkStart w:id="8" w:name="_Toc11301"/>
      <w:bookmarkStart w:id="9" w:name="_Toc2245"/>
      <w:r>
        <w:rPr>
          <w:rFonts w:hint="eastAsia" w:ascii="仿宋_GB2312" w:hAnsi="仿宋_GB2312" w:eastAsia="仿宋_GB2312" w:cs="仿宋_GB2312"/>
          <w:spacing w:val="28"/>
          <w:sz w:val="28"/>
          <w:szCs w:val="28"/>
        </w:rPr>
        <w:t>刘立华 刘军峰 许耘峰</w:t>
      </w:r>
    </w:p>
    <w:p w14:paraId="08BB8C1A">
      <w:pPr>
        <w:pStyle w:val="2"/>
        <w:ind w:firstLine="560"/>
      </w:pPr>
    </w:p>
    <w:p w14:paraId="79F0DFEC"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一、项目概况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3CA8C59"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bookmarkStart w:id="10" w:name="_Toc19370"/>
      <w:bookmarkStart w:id="11" w:name="_Toc24784"/>
      <w:bookmarkStart w:id="12" w:name="_Toc22285"/>
      <w:bookmarkStart w:id="13" w:name="_Toc22453"/>
      <w:bookmarkStart w:id="14" w:name="_Toc30895"/>
      <w:bookmarkStart w:id="15" w:name="_Toc23957"/>
      <w:bookmarkStart w:id="16" w:name="_Toc19963"/>
      <w:bookmarkStart w:id="17" w:name="_Toc32742"/>
      <w:bookmarkStart w:id="18" w:name="_Toc15831"/>
      <w:bookmarkStart w:id="19" w:name="_Toc937"/>
      <w:r>
        <w:rPr>
          <w:rFonts w:hint="eastAsia" w:ascii="仿宋_GB2312" w:hAnsi="仿宋_GB2312" w:eastAsia="仿宋_GB2312" w:cs="仿宋_GB2312"/>
          <w:sz w:val="32"/>
          <w:szCs w:val="40"/>
        </w:rPr>
        <w:t>（一）项目单位基本情况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6B6CEAB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bookmarkStart w:id="20" w:name="_Toc15167"/>
      <w:bookmarkStart w:id="21" w:name="_Toc8843"/>
      <w:bookmarkStart w:id="22" w:name="_Toc29308"/>
      <w:r>
        <w:rPr>
          <w:rFonts w:hint="eastAsia" w:ascii="仿宋_GB2312" w:hAnsi="仿宋_GB2312" w:eastAsia="仿宋_GB2312" w:cs="仿宋_GB2312"/>
          <w:sz w:val="32"/>
          <w:szCs w:val="40"/>
        </w:rPr>
        <w:t>单位名称：</w:t>
      </w:r>
      <w:r>
        <w:rPr>
          <w:rFonts w:hint="eastAsia" w:ascii="仿宋_GB2312" w:hAnsi="仿宋_GB2312" w:eastAsia="仿宋_GB2312" w:cs="仿宋_GB2312"/>
          <w:sz w:val="32"/>
          <w:szCs w:val="32"/>
        </w:rPr>
        <w:t>隆尧县教育局</w:t>
      </w:r>
    </w:p>
    <w:p w14:paraId="3F1E0CC3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地    址：现位于隆尧县义丰街与丰中路交汇处附近东</w:t>
      </w:r>
    </w:p>
    <w:p w14:paraId="5D295986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性    质：行政单位</w:t>
      </w:r>
    </w:p>
    <w:p w14:paraId="52D75D0B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承担的业务：</w:t>
      </w:r>
      <w:r>
        <w:rPr>
          <w:rFonts w:ascii="仿宋_GB2312" w:hAnsi="仿宋_GB2312" w:eastAsia="仿宋_GB2312" w:cs="仿宋_GB2312"/>
          <w:sz w:val="32"/>
          <w:szCs w:val="40"/>
        </w:rPr>
        <w:t>隆尧县教育局的主要职责是</w:t>
      </w:r>
    </w:p>
    <w:p w14:paraId="382FF364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1.负责教育系统党的政治建设、思想建设、组织建设、作风建设、纪律建设和制度建设。</w:t>
      </w:r>
    </w:p>
    <w:p w14:paraId="185A0DAF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2.承担所属学校基层党组织和党员队伍建设工作。</w:t>
      </w:r>
    </w:p>
    <w:p w14:paraId="1425B35F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3.指导全县各级各类学习意识形态和党的宣传教育工作，指导和督促党的统一战线方针政策在各级各类学校的贯彻落实。</w:t>
      </w:r>
    </w:p>
    <w:p w14:paraId="608C2414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4.按照干部管理权限，负责县教育局所属单位领导班子建设、干部队伍建设、干部选任和日常教育管理工作。</w:t>
      </w:r>
    </w:p>
    <w:p w14:paraId="4EAEC582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5.负责全县教师工作。贯彻落实各级各类教师资格标准，负责中小学幼儿园和中等职业学校教师资格认定实施工作，组织实施各级各类教师资格证制度。负责全县教师教育工作，负责教学成果奖评审奖励工作。会同有关部门组织实施教育系统职称评聘、表彰奖励等工作。</w:t>
      </w:r>
    </w:p>
    <w:p w14:paraId="665B41C4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6.统筹管理教育系统人次工作。</w:t>
      </w:r>
    </w:p>
    <w:p w14:paraId="2FB15EA0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7.参与拟订中专院校毕业生就业政策，指导职业院校开展学生就业创业工作。</w:t>
      </w:r>
    </w:p>
    <w:p w14:paraId="23569860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8.负责本系统教育经费的统筹管理和内部审计，参与拟订教育经费筹措、教育拨款、教育基建投资等政策，负责统计全县教育经费投入情况。</w:t>
      </w:r>
    </w:p>
    <w:p w14:paraId="1124032E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9.拟订全县教育改革与发展的政策和规划并组织实施。</w:t>
      </w:r>
    </w:p>
    <w:p w14:paraId="735479BA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10.负责全县各级各类教育的统筹规划和协调管理，会同有关部门组织实施各级各类学校的设置标准，负责教育基本信息的统计、分析和发布。</w:t>
      </w:r>
    </w:p>
    <w:p w14:paraId="11A72A8B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11.规划、组织并指导全县教育、教学科学研究工作。指导教育信息化工作。</w:t>
      </w:r>
    </w:p>
    <w:p w14:paraId="7CD70145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12. 负责基础教育管理工作。负责义务教育的协调指导推进义务教育均衡发展和促进教育公平。指呈普通高中教育、幼儿教育、特殊教育。研究制定基础教育教学政策，推进素质教育。</w:t>
      </w:r>
    </w:p>
    <w:p w14:paraId="2EBFDB99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13.负责各级各类学校学生和教师的思想政治工作，指导全县学校思想政治工作队伍建设，指导中小学德育课程教育教学。</w:t>
      </w:r>
    </w:p>
    <w:p w14:paraId="59441365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14.指导各级各类学校的德育、体育、卫生、艺术、劳动、国防教育和心理健康教育工作。</w:t>
      </w:r>
    </w:p>
    <w:p w14:paraId="74ADE9A7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15.会同有关部门指导职业教育的发展与改革，拟订中等职业教育教学指导政策和教学评估标准，负责中等职业教育的地方教材建设和职业指导工作。负责成人教育和社区教育的指导工作。</w:t>
      </w:r>
    </w:p>
    <w:p w14:paraId="488D8964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16.指导各级各类学校抓好家校共建工作。</w:t>
      </w:r>
    </w:p>
    <w:p w14:paraId="486AAF9C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17.负责民办教育的统筹规划、综合协调和指导管理完善政策措施，规范办学秩序，促进民办教育事业健康发展。</w:t>
      </w:r>
    </w:p>
    <w:p w14:paraId="0BFCF228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18.统筹指导少数民族教育工作，协调对少数民族和少数民族学校的教育援助</w:t>
      </w:r>
    </w:p>
    <w:p w14:paraId="5A632742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19.负责全县老年教育工作。</w:t>
      </w:r>
    </w:p>
    <w:p w14:paraId="659D05C8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20.负责中高等学历教育招生考试。</w:t>
      </w:r>
    </w:p>
    <w:p w14:paraId="5AAE900E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21.负责教育系统安全稳定和校园及周边综合治理工作。</w:t>
      </w:r>
    </w:p>
    <w:p w14:paraId="0969F004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22.负责全县教育督导工作，组织实施对乡镇政府履行教育职责评价，组织开展全县各级各类教育的督导评估、检查验收、质量监测等工作，承担县人民政府教育督导委员会交办的其他事项。</w:t>
      </w:r>
    </w:p>
    <w:p w14:paraId="1D7E2E33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23.负责全县语言文字工作，组织协调并监督检查汉语文字规范及标准的实施，推广和普及普通话。</w:t>
      </w:r>
    </w:p>
    <w:p w14:paraId="0BEDE8BC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24.承办县委、县政府交办的其它事项。</w:t>
      </w:r>
    </w:p>
    <w:p w14:paraId="3886A2AD"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（二）项目基本情况</w:t>
      </w:r>
      <w:bookmarkEnd w:id="20"/>
      <w:bookmarkEnd w:id="21"/>
      <w:bookmarkEnd w:id="22"/>
    </w:p>
    <w:p w14:paraId="4378D7FE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bookmarkStart w:id="23" w:name="_Toc26594"/>
      <w:bookmarkStart w:id="24" w:name="_Toc27552"/>
      <w:bookmarkStart w:id="25" w:name="_Toc24191"/>
      <w:bookmarkStart w:id="26" w:name="_Toc32656"/>
      <w:r>
        <w:rPr>
          <w:rFonts w:hint="eastAsia" w:ascii="仿宋_GB2312" w:hAnsi="仿宋_GB2312" w:eastAsia="仿宋_GB2312" w:cs="仿宋_GB2312"/>
          <w:sz w:val="32"/>
          <w:szCs w:val="32"/>
        </w:rPr>
        <w:t>项目资金数：2022年度隆尧县智慧校园小学（大规模），县级配套资金预算安排554.9675万元。</w:t>
      </w:r>
    </w:p>
    <w:p w14:paraId="5DADC9AD">
      <w:pPr>
        <w:shd w:val="clear" w:color="auto" w:fill="FFFCFC"/>
        <w:spacing w:line="600" w:lineRule="exact"/>
        <w:ind w:firstLine="640"/>
        <w:rPr>
          <w:rFonts w:ascii="仿宋_GB2312" w:hAnsi="仿宋" w:eastAsia="仿宋_GB2312" w:cs="宋体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项目数量：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实施范围为</w:t>
      </w:r>
      <w:r>
        <w:rPr>
          <w:rFonts w:hint="eastAsia" w:ascii="仿宋_GB2312" w:hAnsi="仿宋" w:eastAsia="仿宋_GB2312" w:cs="宋体"/>
          <w:color w:val="000000"/>
          <w:sz w:val="32"/>
          <w:szCs w:val="32"/>
        </w:rPr>
        <w:t>全县公办小学52所，2022年29806名学生。</w:t>
      </w:r>
    </w:p>
    <w:p w14:paraId="3BD1F915">
      <w:pPr>
        <w:shd w:val="clear" w:color="auto" w:fill="FFFCFC"/>
        <w:spacing w:line="60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工程量与支付资金情况：项目实施周期为2022年度，县级预算安排资金支付554.9675万元。</w:t>
      </w:r>
    </w:p>
    <w:bookmarkEnd w:id="23"/>
    <w:bookmarkEnd w:id="24"/>
    <w:bookmarkEnd w:id="25"/>
    <w:bookmarkEnd w:id="26"/>
    <w:p w14:paraId="415CFD8A"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bookmarkStart w:id="27" w:name="_Toc14644"/>
      <w:bookmarkStart w:id="28" w:name="_Toc2988"/>
      <w:bookmarkStart w:id="29" w:name="_Toc4859"/>
      <w:bookmarkStart w:id="30" w:name="_Toc12860"/>
      <w:bookmarkStart w:id="31" w:name="_Toc26109"/>
      <w:bookmarkStart w:id="32" w:name="_Toc18992"/>
      <w:bookmarkStart w:id="33" w:name="_Toc7839"/>
      <w:bookmarkStart w:id="34" w:name="_Toc6781"/>
      <w:bookmarkStart w:id="35" w:name="_Toc28908"/>
      <w:bookmarkStart w:id="36" w:name="_Toc17782"/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二、项目实施情况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7D17A04F">
      <w:pPr>
        <w:widowControl/>
        <w:spacing w:line="58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1.实施范围：按照</w:t>
      </w:r>
      <w:r>
        <w:rPr>
          <w:rFonts w:hint="eastAsia" w:ascii="Times New Roman" w:hAnsi="Times New Roman" w:eastAsia="仿宋_GB2312"/>
          <w:sz w:val="32"/>
          <w:szCs w:val="32"/>
        </w:rPr>
        <w:t>河北省教育厅关于印发《河北省智慧教育行动计划（2020-2022）》的通知（冀教办</w:t>
      </w:r>
      <w:r>
        <w:rPr>
          <w:rFonts w:hint="eastAsia" w:ascii="仿宋_GB2312" w:eastAsia="仿宋_GB2312" w:cs="仿宋_GB2312"/>
          <w:sz w:val="32"/>
          <w:szCs w:val="32"/>
          <w:lang w:val="zh-CN"/>
        </w:rPr>
        <w:t>〔</w:t>
      </w:r>
      <w:r>
        <w:rPr>
          <w:rFonts w:ascii="仿宋_GB2312" w:eastAsia="仿宋_GB2312" w:cs="仿宋_GB2312"/>
          <w:sz w:val="32"/>
          <w:szCs w:val="32"/>
          <w:lang w:val="zh-CN"/>
        </w:rPr>
        <w:t>20</w:t>
      </w:r>
      <w:r>
        <w:rPr>
          <w:rFonts w:hint="eastAsia" w:ascii="仿宋_GB2312" w:eastAsia="仿宋_GB2312" w:cs="仿宋_GB2312"/>
          <w:sz w:val="32"/>
          <w:szCs w:val="32"/>
          <w:lang w:val="zh-CN"/>
        </w:rPr>
        <w:t>20〕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55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zh-CN"/>
        </w:rPr>
        <w:t>号）</w:t>
      </w:r>
      <w:r>
        <w:rPr>
          <w:rFonts w:hint="eastAsia" w:ascii="Times New Roman" w:hAnsi="Times New Roman" w:eastAsia="仿宋_GB2312"/>
          <w:sz w:val="32"/>
          <w:szCs w:val="32"/>
        </w:rPr>
        <w:t>和《邢台市智慧校园示范学校建设标准》</w:t>
      </w:r>
      <w:r>
        <w:rPr>
          <w:rFonts w:ascii="Times New Roman" w:hAnsi="Times New Roman" w:eastAsia="仿宋_GB2312"/>
          <w:sz w:val="32"/>
          <w:szCs w:val="32"/>
        </w:rPr>
        <w:t>规定，结合</w:t>
      </w:r>
      <w:r>
        <w:rPr>
          <w:rFonts w:hint="eastAsia" w:ascii="Times New Roman" w:hAnsi="Times New Roman" w:eastAsia="仿宋_GB2312"/>
          <w:sz w:val="32"/>
          <w:szCs w:val="32"/>
        </w:rPr>
        <w:t>我县教育实际</w:t>
      </w:r>
      <w:r>
        <w:rPr>
          <w:rFonts w:ascii="Times New Roman" w:hAnsi="Times New Roman" w:eastAsia="仿宋_GB2312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</w:rPr>
        <w:t>2022年对实验小学、实验三小等52所公办小学进行智慧校园建设。</w:t>
      </w:r>
    </w:p>
    <w:p w14:paraId="02E98C7B">
      <w:pPr>
        <w:shd w:val="clear" w:color="auto" w:fill="FFFCFC"/>
        <w:spacing w:line="600" w:lineRule="exact"/>
        <w:ind w:firstLine="640" w:firstLineChars="200"/>
        <w:rPr>
          <w:rFonts w:ascii="仿宋_GB2312" w:hAnsi="仿宋" w:eastAsia="仿宋_GB2312" w:cs="宋体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2.</w:t>
      </w:r>
      <w:r>
        <w:rPr>
          <w:rFonts w:hint="eastAsia" w:ascii="Times New Roman" w:hAnsi="Times New Roman" w:eastAsia="仿宋_GB2312"/>
          <w:sz w:val="32"/>
          <w:szCs w:val="32"/>
        </w:rPr>
        <w:t>建设</w:t>
      </w:r>
      <w:r>
        <w:rPr>
          <w:rFonts w:ascii="Times New Roman" w:hAnsi="Times New Roman" w:eastAsia="仿宋_GB2312"/>
          <w:sz w:val="32"/>
          <w:szCs w:val="32"/>
        </w:rPr>
        <w:t>模式：</w:t>
      </w:r>
      <w:r>
        <w:rPr>
          <w:rFonts w:hint="eastAsia" w:ascii="Times New Roman" w:hAnsi="Times New Roman" w:eastAsia="仿宋_GB2312"/>
          <w:sz w:val="32"/>
          <w:szCs w:val="32"/>
        </w:rPr>
        <w:t>实验小学、实验三小智</w:t>
      </w:r>
      <w:r>
        <w:rPr>
          <w:rFonts w:hint="eastAsia" w:ascii="仿宋_GB2312" w:hAnsi="仿宋" w:eastAsia="仿宋_GB2312" w:cs="宋体"/>
          <w:color w:val="000000"/>
          <w:sz w:val="32"/>
          <w:szCs w:val="32"/>
        </w:rPr>
        <w:t>慧校园全面建设；魏庄小学、张庄小学、齐村小学50所学校进行双师课堂建设。</w:t>
      </w:r>
    </w:p>
    <w:p w14:paraId="4AE6F27D">
      <w:pPr>
        <w:shd w:val="clear" w:color="auto" w:fill="FFFCFC"/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仿宋_GB2312" w:hAnsi="仿宋" w:eastAsia="仿宋_GB2312" w:cs="宋体"/>
          <w:color w:val="000000"/>
          <w:sz w:val="32"/>
          <w:szCs w:val="32"/>
        </w:rPr>
        <w:t>3.</w:t>
      </w:r>
      <w:r>
        <w:rPr>
          <w:rFonts w:hint="eastAsia" w:ascii="Times New Roman" w:hAnsi="Times New Roman" w:eastAsia="仿宋_GB2312"/>
          <w:sz w:val="32"/>
          <w:szCs w:val="32"/>
        </w:rPr>
        <w:t>财务管理情况：</w:t>
      </w:r>
      <w:r>
        <w:rPr>
          <w:rFonts w:ascii="Times New Roman" w:hAnsi="Times New Roman" w:eastAsia="仿宋_GB2312"/>
          <w:sz w:val="32"/>
          <w:szCs w:val="32"/>
        </w:rPr>
        <w:t>县教育局健全财务管理制度，对项目资金的使用，严格按照财务管理制度规范、安全运行。项目资金到位后，及时、严格按照程序进行支付。</w:t>
      </w:r>
    </w:p>
    <w:p w14:paraId="05CBEA22"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bCs/>
          <w:sz w:val="32"/>
          <w:szCs w:val="40"/>
        </w:rPr>
      </w:pPr>
      <w:bookmarkStart w:id="37" w:name="_Toc29800"/>
      <w:bookmarkStart w:id="38" w:name="_Toc10651"/>
      <w:bookmarkStart w:id="39" w:name="_Toc26855"/>
      <w:bookmarkStart w:id="40" w:name="_Toc12150"/>
      <w:bookmarkStart w:id="41" w:name="_Toc20904"/>
      <w:bookmarkStart w:id="42" w:name="_Toc5317"/>
      <w:bookmarkStart w:id="43" w:name="_Toc21501"/>
      <w:bookmarkStart w:id="44" w:name="_Toc5215"/>
      <w:bookmarkStart w:id="45" w:name="_Toc6451"/>
      <w:bookmarkStart w:id="46" w:name="_Toc18915"/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三、绩效评价工作情况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2D4CC0D4"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bookmarkStart w:id="47" w:name="_Toc22771"/>
      <w:bookmarkStart w:id="48" w:name="_Toc4056"/>
      <w:bookmarkStart w:id="49" w:name="_Toc7570"/>
      <w:bookmarkStart w:id="50" w:name="_Toc15730"/>
      <w:bookmarkStart w:id="51" w:name="_Toc14742"/>
      <w:bookmarkStart w:id="52" w:name="_Toc8077"/>
      <w:bookmarkStart w:id="53" w:name="_Toc25600"/>
      <w:bookmarkStart w:id="54" w:name="_Toc5105"/>
      <w:bookmarkStart w:id="55" w:name="_Toc23608"/>
      <w:bookmarkStart w:id="56" w:name="_Toc17355"/>
      <w:r>
        <w:rPr>
          <w:rFonts w:hint="eastAsia" w:ascii="仿宋_GB2312" w:hAnsi="仿宋_GB2312" w:eastAsia="仿宋_GB2312" w:cs="仿宋_GB2312"/>
          <w:sz w:val="32"/>
          <w:szCs w:val="40"/>
        </w:rPr>
        <w:t>（一）评价目的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458C0C4C">
      <w:pPr>
        <w:spacing w:line="58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通过对2022年智慧校园小学（大规模）项目资金进行绩效评价，了解和掌握项目的决策情况、具体实施情况、采取的工作措施等，提出加项目资金支出管理建议，促进财政资金使用绩效。</w:t>
      </w:r>
    </w:p>
    <w:p w14:paraId="46D73204">
      <w:pPr>
        <w:spacing w:line="580" w:lineRule="exact"/>
        <w:ind w:firstLine="640" w:firstLineChars="200"/>
        <w:jc w:val="left"/>
      </w:pPr>
      <w:r>
        <w:rPr>
          <w:rFonts w:hint="eastAsia" w:ascii="仿宋_GB2312" w:eastAsia="仿宋_GB2312"/>
          <w:sz w:val="32"/>
          <w:szCs w:val="32"/>
        </w:rPr>
        <w:t>促使项目单位根据绩效评价中发现的问题，认真整改，及时调整和完善单位工作计划和绩效目标并加强项目管理，同时为项目后续资金投入、分配和管理提供决策依据。</w:t>
      </w:r>
    </w:p>
    <w:p w14:paraId="45D575E9">
      <w:pPr>
        <w:numPr>
          <w:ilvl w:val="0"/>
          <w:numId w:val="1"/>
        </w:num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bookmarkStart w:id="57" w:name="_Toc30351"/>
      <w:bookmarkStart w:id="58" w:name="_Toc18502"/>
      <w:bookmarkStart w:id="59" w:name="_Toc22727"/>
      <w:bookmarkStart w:id="60" w:name="_Toc27346"/>
      <w:bookmarkStart w:id="61" w:name="_Toc27199"/>
      <w:bookmarkStart w:id="62" w:name="_Toc25746"/>
      <w:bookmarkStart w:id="63" w:name="_Toc3910"/>
      <w:bookmarkStart w:id="64" w:name="_Toc16971"/>
      <w:bookmarkStart w:id="65" w:name="_Toc16121"/>
      <w:bookmarkStart w:id="66" w:name="_Toc8288"/>
      <w:r>
        <w:rPr>
          <w:rFonts w:hint="eastAsia" w:ascii="仿宋_GB2312" w:hAnsi="仿宋_GB2312" w:eastAsia="仿宋_GB2312" w:cs="仿宋_GB2312"/>
          <w:sz w:val="32"/>
          <w:szCs w:val="40"/>
        </w:rPr>
        <w:t>评价指标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513160AB">
      <w:pPr>
        <w:pStyle w:val="2"/>
        <w:ind w:firstLine="64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color w:val="auto"/>
          <w:sz w:val="32"/>
          <w:szCs w:val="32"/>
        </w:rPr>
        <w:t>设定隆尧县智慧校园小学（大规模）项目重点绩效评价指标表，如下表。</w:t>
      </w:r>
    </w:p>
    <w:p w14:paraId="5D40D48E">
      <w:pPr>
        <w:numPr>
          <w:ilvl w:val="0"/>
          <w:numId w:val="1"/>
        </w:num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bookmarkStart w:id="67" w:name="_Toc25343"/>
      <w:bookmarkStart w:id="68" w:name="_Toc32306"/>
      <w:bookmarkStart w:id="69" w:name="_Toc5587"/>
      <w:bookmarkStart w:id="70" w:name="_Toc11684"/>
      <w:bookmarkStart w:id="71" w:name="_Toc32241"/>
      <w:bookmarkStart w:id="72" w:name="_Toc19068"/>
      <w:bookmarkStart w:id="73" w:name="_Toc12572"/>
      <w:bookmarkStart w:id="74" w:name="_Toc23270"/>
      <w:bookmarkStart w:id="75" w:name="_Toc19154"/>
      <w:bookmarkStart w:id="76" w:name="_Toc5304"/>
      <w:r>
        <w:rPr>
          <w:rFonts w:hint="eastAsia" w:ascii="仿宋_GB2312" w:hAnsi="仿宋_GB2312" w:eastAsia="仿宋_GB2312" w:cs="仿宋_GB2312"/>
          <w:sz w:val="32"/>
          <w:szCs w:val="40"/>
        </w:rPr>
        <w:t>评价依据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72C7743C">
      <w:pPr>
        <w:spacing w:line="58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1.《中华人民共和国预算法》</w:t>
      </w:r>
    </w:p>
    <w:p w14:paraId="762BFD40">
      <w:pPr>
        <w:spacing w:line="58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2.《中华人民共和国会计法》</w:t>
      </w:r>
    </w:p>
    <w:p w14:paraId="1B6F02AA">
      <w:pPr>
        <w:spacing w:line="58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3.《中华人民共和国教育法》</w:t>
      </w:r>
    </w:p>
    <w:p w14:paraId="2389B8B7">
      <w:pPr>
        <w:widowControl/>
        <w:spacing w:line="580" w:lineRule="exact"/>
        <w:ind w:firstLine="640" w:firstLineChars="200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4.《财政检查工作办法》（财政部令〔</w:t>
      </w:r>
      <w:r>
        <w:rPr>
          <w:rFonts w:ascii="仿宋_GB2312" w:hAnsi="宋体" w:eastAsia="仿宋_GB2312" w:cs="仿宋_GB2312"/>
          <w:color w:val="000000"/>
          <w:kern w:val="0"/>
          <w:sz w:val="32"/>
          <w:szCs w:val="32"/>
        </w:rPr>
        <w:t>2006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〕</w:t>
      </w:r>
      <w:r>
        <w:rPr>
          <w:rFonts w:ascii="仿宋_GB2312" w:hAnsi="宋体" w:eastAsia="仿宋_GB2312" w:cs="仿宋_GB2312"/>
          <w:color w:val="000000"/>
          <w:kern w:val="0"/>
          <w:sz w:val="32"/>
          <w:szCs w:val="32"/>
        </w:rPr>
        <w:t>32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号）</w:t>
      </w:r>
    </w:p>
    <w:p w14:paraId="014D3589">
      <w:pPr>
        <w:spacing w:line="580" w:lineRule="exact"/>
        <w:ind w:firstLine="640" w:firstLineChars="200"/>
        <w:rPr>
          <w:rFonts w:ascii="仿宋_GB2312" w:hAnsi="宋体" w:eastAsia="仿宋_GB2312" w:cs="宋体"/>
          <w:sz w:val="32"/>
          <w:szCs w:val="32"/>
          <w:lang w:val="zh-CN"/>
        </w:rPr>
      </w:pPr>
      <w:r>
        <w:rPr>
          <w:rFonts w:hint="eastAsia" w:ascii="仿宋_GB2312" w:hAnsi="宋体" w:eastAsia="仿宋_GB2312" w:cs="宋体"/>
          <w:sz w:val="32"/>
          <w:szCs w:val="32"/>
        </w:rPr>
        <w:t>5.</w:t>
      </w:r>
      <w:r>
        <w:rPr>
          <w:rFonts w:hint="eastAsia" w:ascii="仿宋_GB2312" w:hAnsi="宋体" w:eastAsia="仿宋_GB2312" w:cs="宋体"/>
          <w:sz w:val="32"/>
          <w:szCs w:val="32"/>
          <w:lang w:val="zh-CN"/>
        </w:rPr>
        <w:t>《</w:t>
      </w:r>
      <w:r>
        <w:rPr>
          <w:rFonts w:hint="eastAsia" w:ascii="仿宋_GB2312" w:hAnsi="宋体" w:eastAsia="仿宋_GB2312" w:cs="宋体"/>
          <w:sz w:val="32"/>
          <w:szCs w:val="32"/>
        </w:rPr>
        <w:t>财政部关于印发</w:t>
      </w:r>
      <w:r>
        <w:rPr>
          <w:rFonts w:ascii="仿宋_GB2312" w:hAnsi="宋体" w:eastAsia="仿宋_GB2312" w:cs="宋体"/>
          <w:sz w:val="32"/>
          <w:szCs w:val="32"/>
        </w:rPr>
        <w:t>&lt;</w:t>
      </w:r>
      <w:r>
        <w:rPr>
          <w:rFonts w:hint="eastAsia" w:ascii="仿宋_GB2312" w:hAnsi="宋体" w:eastAsia="仿宋_GB2312" w:cs="宋体"/>
          <w:sz w:val="32"/>
          <w:szCs w:val="32"/>
        </w:rPr>
        <w:t>项目支出绩效评价管理办法</w:t>
      </w:r>
      <w:r>
        <w:rPr>
          <w:rFonts w:ascii="仿宋_GB2312" w:hAnsi="宋体" w:eastAsia="仿宋_GB2312" w:cs="宋体"/>
          <w:sz w:val="32"/>
          <w:szCs w:val="32"/>
        </w:rPr>
        <w:t>&gt;</w:t>
      </w:r>
      <w:r>
        <w:rPr>
          <w:rFonts w:hint="eastAsia" w:ascii="仿宋_GB2312" w:hAnsi="宋体" w:eastAsia="仿宋_GB2312" w:cs="宋体"/>
          <w:sz w:val="32"/>
          <w:szCs w:val="32"/>
        </w:rPr>
        <w:t>的通知</w:t>
      </w:r>
      <w:r>
        <w:rPr>
          <w:rFonts w:hint="eastAsia" w:ascii="仿宋_GB2312" w:hAnsi="宋体" w:eastAsia="仿宋_GB2312" w:cs="宋体"/>
          <w:sz w:val="32"/>
          <w:szCs w:val="32"/>
          <w:lang w:val="zh-CN"/>
        </w:rPr>
        <w:t>》（</w:t>
      </w:r>
      <w:r>
        <w:rPr>
          <w:rFonts w:hint="eastAsia" w:ascii="仿宋_GB2312" w:hAnsi="宋体" w:eastAsia="仿宋_GB2312" w:cs="宋体"/>
          <w:sz w:val="32"/>
          <w:szCs w:val="32"/>
        </w:rPr>
        <w:t>财预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〔</w:t>
      </w:r>
      <w:r>
        <w:rPr>
          <w:rFonts w:ascii="仿宋_GB2312" w:hAnsi="宋体" w:eastAsia="仿宋_GB2312" w:cs="宋体"/>
          <w:sz w:val="32"/>
          <w:szCs w:val="32"/>
          <w:lang w:val="zh-CN"/>
        </w:rPr>
        <w:t>20</w:t>
      </w:r>
      <w:r>
        <w:rPr>
          <w:rFonts w:ascii="仿宋_GB2312" w:hAnsi="宋体" w:eastAsia="仿宋_GB2312" w:cs="宋体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〕</w:t>
      </w:r>
      <w:r>
        <w:rPr>
          <w:rFonts w:ascii="仿宋_GB2312" w:hAnsi="宋体" w:eastAsia="仿宋_GB2312" w:cs="宋体"/>
          <w:sz w:val="32"/>
          <w:szCs w:val="32"/>
        </w:rPr>
        <w:t>10</w:t>
      </w:r>
      <w:r>
        <w:rPr>
          <w:rFonts w:hint="eastAsia" w:ascii="仿宋_GB2312" w:hAnsi="宋体" w:eastAsia="仿宋_GB2312" w:cs="宋体"/>
          <w:sz w:val="32"/>
          <w:szCs w:val="32"/>
          <w:lang w:val="zh-CN"/>
        </w:rPr>
        <w:t>号）</w:t>
      </w:r>
    </w:p>
    <w:p w14:paraId="7AD04817">
      <w:pPr>
        <w:spacing w:line="58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6.《中共隆尧县委 隆尧县人民政府关于全面落实预算绩效管理的实施意见》（隆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zh-CN"/>
        </w:rPr>
        <w:t>发</w:t>
      </w:r>
      <w:r>
        <w:rPr>
          <w:rFonts w:hint="eastAsia" w:ascii="仿宋_GB2312" w:eastAsia="仿宋_GB2312" w:cs="仿宋_GB2312"/>
          <w:sz w:val="32"/>
          <w:szCs w:val="32"/>
          <w:lang w:val="zh-CN"/>
        </w:rPr>
        <w:t>〔</w:t>
      </w:r>
      <w:r>
        <w:rPr>
          <w:rFonts w:ascii="仿宋_GB2312" w:eastAsia="仿宋_GB2312" w:cs="仿宋_GB2312"/>
          <w:sz w:val="32"/>
          <w:szCs w:val="32"/>
          <w:lang w:val="zh-CN"/>
        </w:rPr>
        <w:t>2019</w:t>
      </w:r>
      <w:r>
        <w:rPr>
          <w:rFonts w:hint="eastAsia" w:ascii="仿宋_GB2312" w:eastAsia="仿宋_GB2312" w:cs="仿宋_GB2312"/>
          <w:sz w:val="32"/>
          <w:szCs w:val="32"/>
          <w:lang w:val="zh-CN"/>
        </w:rPr>
        <w:t>〕</w:t>
      </w:r>
      <w:r>
        <w:rPr>
          <w:rFonts w:ascii="仿宋_GB2312" w:eastAsia="仿宋_GB2312" w:cs="仿宋_GB2312"/>
          <w:color w:val="000000"/>
          <w:sz w:val="32"/>
          <w:szCs w:val="32"/>
          <w:lang w:val="zh-CN"/>
        </w:rPr>
        <w:t>1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zh-CN"/>
        </w:rPr>
        <w:t>5号）</w:t>
      </w:r>
    </w:p>
    <w:p w14:paraId="2A1476CC">
      <w:pPr>
        <w:widowControl/>
        <w:spacing w:line="580" w:lineRule="exact"/>
        <w:ind w:firstLine="640" w:firstLineChars="200"/>
        <w:rPr>
          <w:rFonts w:ascii="仿宋_GB2312" w:eastAsia="仿宋_GB2312" w:cs="仿宋_GB2312"/>
          <w:color w:val="00000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7.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zh-CN"/>
        </w:rPr>
        <w:t>《隆尧县县级预算绩效重点评价管理办法》（隆财</w:t>
      </w:r>
      <w:r>
        <w:rPr>
          <w:rFonts w:hint="eastAsia" w:ascii="仿宋_GB2312" w:eastAsia="仿宋_GB2312" w:cs="仿宋_GB2312"/>
          <w:sz w:val="32"/>
          <w:szCs w:val="32"/>
          <w:lang w:val="zh-CN"/>
        </w:rPr>
        <w:t>〔</w:t>
      </w:r>
      <w:r>
        <w:rPr>
          <w:rFonts w:ascii="仿宋_GB2312" w:eastAsia="仿宋_GB2312" w:cs="仿宋_GB2312"/>
          <w:sz w:val="32"/>
          <w:szCs w:val="32"/>
          <w:lang w:val="zh-CN"/>
        </w:rPr>
        <w:t>20</w:t>
      </w:r>
      <w:r>
        <w:rPr>
          <w:rFonts w:hint="eastAsia" w:ascii="仿宋_GB2312" w:eastAsia="仿宋_GB2312" w:cs="仿宋_GB2312"/>
          <w:sz w:val="32"/>
          <w:szCs w:val="32"/>
          <w:lang w:val="zh-CN"/>
        </w:rPr>
        <w:t>20〕</w:t>
      </w:r>
      <w:r>
        <w:rPr>
          <w:rFonts w:ascii="仿宋_GB2312" w:eastAsia="仿宋_GB2312" w:cs="仿宋_GB2312"/>
          <w:color w:val="000000"/>
          <w:sz w:val="32"/>
          <w:szCs w:val="32"/>
          <w:lang w:val="zh-CN"/>
        </w:rPr>
        <w:t>1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zh-CN"/>
        </w:rPr>
        <w:t>43号）</w:t>
      </w:r>
    </w:p>
    <w:p w14:paraId="0F4814DF">
      <w:pPr>
        <w:widowControl/>
        <w:spacing w:line="580" w:lineRule="exact"/>
        <w:ind w:firstLine="640" w:firstLineChars="200"/>
        <w:rPr>
          <w:rFonts w:asci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zh-CN"/>
        </w:rPr>
        <w:t>8.</w:t>
      </w:r>
      <w:r>
        <w:rPr>
          <w:rFonts w:hint="eastAsia" w:ascii="Times New Roman" w:hAnsi="Times New Roman" w:eastAsia="仿宋_GB2312"/>
          <w:sz w:val="32"/>
          <w:szCs w:val="32"/>
        </w:rPr>
        <w:t>河北省智慧教育行动计划（2020-2022）》（冀教办</w:t>
      </w:r>
      <w:r>
        <w:rPr>
          <w:rFonts w:hint="eastAsia" w:ascii="仿宋_GB2312" w:eastAsia="仿宋_GB2312" w:cs="仿宋_GB2312"/>
          <w:sz w:val="32"/>
          <w:szCs w:val="32"/>
          <w:lang w:val="zh-CN"/>
        </w:rPr>
        <w:t>〔</w:t>
      </w:r>
      <w:r>
        <w:rPr>
          <w:rFonts w:ascii="仿宋_GB2312" w:eastAsia="仿宋_GB2312" w:cs="仿宋_GB2312"/>
          <w:sz w:val="32"/>
          <w:szCs w:val="32"/>
          <w:lang w:val="zh-CN"/>
        </w:rPr>
        <w:t>20</w:t>
      </w:r>
      <w:r>
        <w:rPr>
          <w:rFonts w:hint="eastAsia" w:ascii="仿宋_GB2312" w:eastAsia="仿宋_GB2312" w:cs="仿宋_GB2312"/>
          <w:sz w:val="32"/>
          <w:szCs w:val="32"/>
          <w:lang w:val="zh-CN"/>
        </w:rPr>
        <w:t>20〕</w:t>
      </w:r>
    </w:p>
    <w:p w14:paraId="23560E72">
      <w:pPr>
        <w:pStyle w:val="6"/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55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zh-CN"/>
        </w:rPr>
        <w:t>号）</w:t>
      </w:r>
    </w:p>
    <w:p w14:paraId="6EE65D4F">
      <w:pPr>
        <w:widowControl/>
        <w:numPr>
          <w:ilvl w:val="0"/>
          <w:numId w:val="2"/>
        </w:numPr>
        <w:spacing w:line="580" w:lineRule="exact"/>
        <w:ind w:firstLine="640" w:firstLineChars="200"/>
        <w:rPr>
          <w:rFonts w:ascii="仿宋_GB2312" w:eastAsia="仿宋_GB2312" w:cs="仿宋_GB2312"/>
          <w:color w:val="00000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zh-CN"/>
        </w:rPr>
        <w:t>《</w:t>
      </w:r>
      <w:r>
        <w:rPr>
          <w:rFonts w:hint="eastAsia" w:ascii="Times New Roman" w:hAnsi="Times New Roman" w:eastAsia="仿宋_GB2312"/>
          <w:sz w:val="32"/>
          <w:szCs w:val="32"/>
        </w:rPr>
        <w:t>邢台市智慧校园示范学校建设标准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（试行）》</w:t>
      </w:r>
    </w:p>
    <w:p w14:paraId="53B65C50">
      <w:pPr>
        <w:spacing w:line="580" w:lineRule="exact"/>
        <w:ind w:firstLine="640" w:firstLineChars="200"/>
        <w:outlineLvl w:val="1"/>
        <w:rPr>
          <w:rFonts w:ascii="仿宋_GB2312" w:hAnsi="仿宋_GB2312" w:eastAsia="仿宋_GB2312" w:cs="仿宋_GB2312"/>
          <w:sz w:val="32"/>
          <w:szCs w:val="40"/>
        </w:rPr>
      </w:pPr>
      <w:bookmarkStart w:id="77" w:name="_Toc11243"/>
      <w:bookmarkStart w:id="78" w:name="_Toc24302"/>
      <w:bookmarkStart w:id="79" w:name="_Toc26780"/>
      <w:bookmarkStart w:id="80" w:name="_Toc22038"/>
      <w:bookmarkStart w:id="81" w:name="_Toc12940"/>
      <w:bookmarkStart w:id="82" w:name="_Toc6747"/>
      <w:bookmarkStart w:id="83" w:name="_Toc7393"/>
      <w:bookmarkStart w:id="84" w:name="_Toc9401"/>
      <w:bookmarkStart w:id="85" w:name="_Toc13179"/>
      <w:bookmarkStart w:id="86" w:name="_Toc1868"/>
      <w:r>
        <w:rPr>
          <w:rFonts w:hint="eastAsia" w:ascii="仿宋_GB2312" w:hAnsi="仿宋_GB2312" w:eastAsia="仿宋_GB2312" w:cs="仿宋_GB2312"/>
          <w:sz w:val="32"/>
          <w:szCs w:val="40"/>
        </w:rPr>
        <w:t>（四）评价的主要方法及等级设定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09C8F3DE">
      <w:pPr>
        <w:spacing w:line="58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  <w:shd w:val="clear" w:color="auto" w:fill="FFFFFF"/>
        </w:rPr>
      </w:pPr>
      <w:r>
        <w:rPr>
          <w:rStyle w:val="9"/>
          <w:rFonts w:hint="eastAsia" w:ascii="仿宋_GB2312" w:hAnsi="宋体" w:eastAsia="仿宋_GB2312" w:cs="仿宋_GB2312"/>
          <w:b w:val="0"/>
          <w:bCs/>
          <w:sz w:val="32"/>
          <w:szCs w:val="32"/>
        </w:rPr>
        <w:t>根据相关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要求，评价工作将</w:t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t>网络评价与现场评价相结合；数字资料与纸质资料评价相结合；会计资料评价与工程技术资料评价相结合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。</w:t>
      </w:r>
    </w:p>
    <w:p w14:paraId="23CFB860">
      <w:pPr>
        <w:tabs>
          <w:tab w:val="left" w:pos="420"/>
        </w:tabs>
        <w:spacing w:line="58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1.在听取隆尧县教育局装备中心对项目实施情况汇报的基础上，核实相关资料的真实性、合法性、合理性，对项目资料中反映的或分析中发现的问题进行重点核查。</w:t>
      </w:r>
    </w:p>
    <w:p w14:paraId="2F912053">
      <w:pPr>
        <w:tabs>
          <w:tab w:val="left" w:pos="420"/>
        </w:tabs>
        <w:spacing w:line="58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2.实地检查的形式：采取座谈、现场核实、走访、调查问卷、查阅资料等方式。</w:t>
      </w:r>
    </w:p>
    <w:p w14:paraId="1BE1B5B3">
      <w:pPr>
        <w:pStyle w:val="2"/>
        <w:ind w:firstLine="640"/>
        <w:rPr>
          <w:rFonts w:ascii="仿宋_GB2312" w:hAnsi="Calibri" w:eastAsia="仿宋_GB2312"/>
          <w:color w:val="auto"/>
          <w:sz w:val="32"/>
          <w:szCs w:val="32"/>
        </w:rPr>
      </w:pPr>
      <w:r>
        <w:rPr>
          <w:rFonts w:hint="eastAsia" w:ascii="仿宋_GB2312" w:hAnsi="Calibri" w:eastAsia="仿宋_GB2312"/>
          <w:color w:val="auto"/>
          <w:sz w:val="32"/>
          <w:szCs w:val="32"/>
        </w:rPr>
        <w:t>3.综合评价。评价组在全面分析整理被评价项目的相关数据资料的基础上，总结评价情况，对照评价指标和标准，进行综合评议与打分，得出评价结论，撰写评价报告。</w:t>
      </w:r>
    </w:p>
    <w:p w14:paraId="50B77934">
      <w:pPr>
        <w:spacing w:line="480" w:lineRule="exact"/>
        <w:ind w:firstLine="640" w:firstLineChars="200"/>
      </w:pPr>
      <w:r>
        <w:rPr>
          <w:rFonts w:hint="eastAsia" w:ascii="仿宋_GB2312" w:eastAsia="仿宋_GB2312"/>
          <w:sz w:val="32"/>
          <w:szCs w:val="32"/>
        </w:rPr>
        <w:t>4.评价等级设置为：优秀95分以上（含95分）、良好80分-94分（含80分）、合格60分-79分（含60分）、不合格（60分以下）四个等级。</w:t>
      </w:r>
    </w:p>
    <w:p w14:paraId="545742D9">
      <w:pPr>
        <w:pStyle w:val="2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alibri" w:eastAsia="仿宋_GB2312"/>
          <w:color w:val="auto"/>
          <w:sz w:val="32"/>
          <w:szCs w:val="32"/>
        </w:rPr>
        <w:t>《隆尧县智慧校园小学（大规模）项目》绩效自评为98分，自评结果为优。</w:t>
      </w:r>
    </w:p>
    <w:p w14:paraId="54016DBD">
      <w:pPr>
        <w:spacing w:line="580" w:lineRule="exact"/>
        <w:ind w:firstLine="643" w:firstLineChars="200"/>
        <w:outlineLvl w:val="0"/>
        <w:rPr>
          <w:rFonts w:ascii="仿宋_GB2312" w:hAnsi="仿宋_GB2312" w:eastAsia="仿宋_GB2312" w:cs="仿宋_GB2312"/>
        </w:rPr>
      </w:pPr>
      <w:bookmarkStart w:id="87" w:name="_Toc10113"/>
      <w:bookmarkStart w:id="88" w:name="_Toc28621"/>
      <w:bookmarkStart w:id="89" w:name="_Toc5623"/>
      <w:bookmarkStart w:id="90" w:name="_Toc17025"/>
      <w:bookmarkStart w:id="91" w:name="_Toc22222"/>
      <w:bookmarkStart w:id="92" w:name="_Toc18842"/>
      <w:bookmarkStart w:id="93" w:name="_Toc6105"/>
      <w:bookmarkStart w:id="94" w:name="_Toc21014"/>
      <w:bookmarkStart w:id="95" w:name="_Toc20748"/>
      <w:bookmarkStart w:id="96" w:name="_Toc30508"/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四、绩效评价指标体系及得分情况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343E7442">
      <w:pPr>
        <w:jc w:val="center"/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隆尧县智慧校园小学（大规模）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</w:rPr>
        <w:t>项目重点绩效评价指标表</w:t>
      </w:r>
    </w:p>
    <w:tbl>
      <w:tblPr>
        <w:tblStyle w:val="7"/>
        <w:tblW w:w="9098" w:type="dxa"/>
        <w:tblInd w:w="-13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491"/>
        <w:gridCol w:w="2498"/>
        <w:gridCol w:w="426"/>
        <w:gridCol w:w="3696"/>
        <w:gridCol w:w="711"/>
      </w:tblGrid>
      <w:tr w14:paraId="515F6E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7074331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 xml:space="preserve">一级指标  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CCFA933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D576ED1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 xml:space="preserve"> 三级指标</w:t>
            </w:r>
          </w:p>
        </w:tc>
        <w:tc>
          <w:tcPr>
            <w:tcW w:w="426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1EFE34E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36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BC892DA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指标说明</w:t>
            </w:r>
          </w:p>
        </w:tc>
        <w:tc>
          <w:tcPr>
            <w:tcW w:w="7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C7F5819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得分</w:t>
            </w:r>
          </w:p>
        </w:tc>
      </w:tr>
      <w:tr w14:paraId="1293FC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37E194C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9B04DEC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0928333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426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4322DB4"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</w:p>
        </w:tc>
        <w:tc>
          <w:tcPr>
            <w:tcW w:w="3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E7E70DF"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</w:p>
        </w:tc>
        <w:tc>
          <w:tcPr>
            <w:tcW w:w="7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403914D"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</w:p>
        </w:tc>
      </w:tr>
      <w:tr w14:paraId="1DCAF8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D410F90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“工作活动”设置（30分）</w:t>
            </w: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47D17B4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项目立项情况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FFB6A84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是否符合政府经济和社会总体发展规划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9FEED03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F054857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有政府相关政策、规划、任务等文件得7.5分；无不得分。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263F051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7.5</w:t>
            </w:r>
          </w:p>
        </w:tc>
      </w:tr>
      <w:tr w14:paraId="168186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4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0052027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2407E74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622D511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项目活动与职责相关性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97089D1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6099C34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工作活动与部门职责、工作规划和重点工作相关，工作活动项下确定的预算项目合理，与工作活动密切相关，工作活动和项目预算安排合理，得7.5分；否则不得分。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6992F83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7.5</w:t>
            </w:r>
          </w:p>
        </w:tc>
      </w:tr>
      <w:tr w14:paraId="46F6C0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82119EB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6644E29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绩效自评情况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2FBA9D3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项目设立绩效目标合理性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88F1EED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8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471DAE2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①是否将项目绩效目标细化分解为具体的绩效指标；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②是否通过清晰、可衡量的指标值予以体现；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③是否与项目年度任务数或计划数相对应；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④是否与预算确定的项目投资额或资金量相匹配。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缺少一项扣2分,扣完为止。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B376A83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8</w:t>
            </w:r>
          </w:p>
        </w:tc>
      </w:tr>
      <w:tr w14:paraId="1765C3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2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DD8F7B4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2095112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92A55D5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自评报告情况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DF98444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7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01E9D0B">
            <w:pPr>
              <w:widowControl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是否有绩效评价报告，报告是否依据充分、内容真实完整；数据准确、分析透彻。每存在一项问题扣1分，扣完为止。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0C55250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7</w:t>
            </w:r>
          </w:p>
        </w:tc>
      </w:tr>
      <w:tr w14:paraId="42FF93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B08045A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“工作活动”管理（30分）</w:t>
            </w: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2690C10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资金管理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56AC74F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预算调整率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265E9DA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FE7FDCF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预算调整率=（预算调整数/预算数）×100%。预算调整率每大于1%扣0.5分，扣完为止。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17B9124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</w:tr>
      <w:tr w14:paraId="73A357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A7756F1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7254A39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76000F3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资金使用合规性6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AFB219C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F32D2A2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项目资金使用是否符合国家财经法规及相关的财务管理制度规定，资金支出程序是否规范,报账手续是否齐全。每存在一项不合规问题扣2分，扣完为止。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CAA753A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</w:tr>
      <w:tr w14:paraId="33D23B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6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0F34285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9EDB45B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0885578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会计核算规范性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74D7705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B07958F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会计核算是否符合《会计法》、《政府会计制度》、《会计基础工作规范》等法律法规和相关制度规定。每存在一项不合规问题扣2分，扣完为止。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7A5C4DE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</w:tr>
      <w:tr w14:paraId="620E38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5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55B71C4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0B76839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项目管理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E78BAD9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项目责任机制是否健全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D200BCC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3FCEC5E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是否建立责任机制，项目管理和责任落实到有关人。每存在一项问题扣2分，扣完为止。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ED55253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</w:tr>
      <w:tr w14:paraId="7601E3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01467B5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AF1B8A2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B5ABDCA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管理制度健全性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C7DC4F5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1003809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制定管理制度和措施（包括财务制度）是否明确、清晰、具有可操作性，能否保障工作活动顺利实施。每缺少一项制度扣2分，扣完为止。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C00E5BE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</w:tr>
      <w:tr w14:paraId="1E8CAD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0BF963E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“工作活动”产出（30分）</w:t>
            </w: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E446754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3FC5B4C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智慧校园学生数量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CF483A6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3C0FC6D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按照《邢台市智慧校园示范学校建设标准》执行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2B3EA3B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</w:tr>
      <w:tr w14:paraId="082085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C02AAD6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3E4D552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89FB1C9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智慧校园学校数量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421BB52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9EA780A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按照《邢台市智慧校园示范学校建设标准》执行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4CD15E3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</w:tr>
      <w:tr w14:paraId="28964D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B063A24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EA3CA71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40AB25F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智慧校园达标率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23F3CF5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BB9E3ED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按照《邢台市智慧校园示范学校建设标准》执行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FBEA2AF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</w:tr>
      <w:tr w14:paraId="144A74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DCCF921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FE8F36F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8F7BF31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资金拨付率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905CE5D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4A840C1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是否到达年度工作计划目标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D447C07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</w:tr>
      <w:tr w14:paraId="45D3C5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F7C55F2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CF0DCD3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9489D81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智慧校园计划周期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D76E939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1F9C0FD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按照《邢台市智慧校园示范学校建设标准》执行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776D03B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6</w:t>
            </w:r>
          </w:p>
        </w:tc>
      </w:tr>
      <w:tr w14:paraId="657814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5B8820E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“工作活动”效果（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分）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AE577DA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满意度</w:t>
            </w: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F5D1DBF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智慧校园学生满意度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AB0DCFC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4E99736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 xml:space="preserve"> 按照《邢台市智慧校园示范学校建设标准》执行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5D3B353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8</w:t>
            </w:r>
          </w:p>
        </w:tc>
      </w:tr>
      <w:tr w14:paraId="2CDAAA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3EDA331">
            <w:pPr>
              <w:ind w:firstLine="220" w:firstLineChars="100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合计</w:t>
            </w: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DAE2A55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935AEFA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3182D5F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3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11D1CF5">
            <w:pPr>
              <w:widowControl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01F74A5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98</w:t>
            </w:r>
          </w:p>
        </w:tc>
      </w:tr>
    </w:tbl>
    <w:p w14:paraId="5C070C07">
      <w:pPr>
        <w:pStyle w:val="2"/>
        <w:spacing w:line="560" w:lineRule="exact"/>
        <w:ind w:left="420" w:leftChars="200" w:firstLine="320" w:firstLineChars="10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bookmarkStart w:id="97" w:name="_Toc2634_WPSOffice_Level1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五、评价分析</w:t>
      </w:r>
      <w:bookmarkEnd w:id="97"/>
    </w:p>
    <w:p w14:paraId="4EE223AF">
      <w:pPr>
        <w:spacing w:line="560" w:lineRule="exact"/>
        <w:ind w:firstLine="640" w:firstLineChars="200"/>
        <w:outlineLvl w:val="1"/>
        <w:rPr>
          <w:rFonts w:ascii="仿宋_GB2312" w:hAnsi="仿宋_GB2312" w:eastAsia="仿宋_GB2312" w:cs="仿宋_GB2312"/>
          <w:color w:val="000000"/>
          <w:sz w:val="32"/>
          <w:szCs w:val="40"/>
        </w:rPr>
      </w:pPr>
      <w:bookmarkStart w:id="98" w:name="_Toc18513_WPSOffice_Level2"/>
      <w:r>
        <w:rPr>
          <w:rFonts w:hint="eastAsia" w:ascii="仿宋_GB2312" w:hAnsi="仿宋_GB2312" w:eastAsia="仿宋_GB2312" w:cs="仿宋_GB2312"/>
          <w:color w:val="000000"/>
          <w:sz w:val="32"/>
          <w:szCs w:val="40"/>
        </w:rPr>
        <w:t>（一）主要扣分事项及原因分析</w:t>
      </w:r>
      <w:bookmarkEnd w:id="98"/>
    </w:p>
    <w:p w14:paraId="06A5B46F">
      <w:pPr>
        <w:spacing w:line="560" w:lineRule="exact"/>
        <w:ind w:firstLine="640" w:firstLineChars="200"/>
        <w:outlineLvl w:val="1"/>
        <w:rPr>
          <w:rFonts w:ascii="仿宋_GB2312" w:hAnsi="仿宋_GB2312" w:eastAsia="仿宋_GB2312" w:cs="仿宋_GB2312"/>
          <w:color w:val="000000"/>
          <w:sz w:val="32"/>
          <w:szCs w:val="40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40"/>
        </w:rPr>
        <w:t>因为疫情影响，施工工期延长，学生使用受到一定影响。下一步，继续加大智慧校园建设力度，进一步提高学校信息化水平。</w:t>
      </w:r>
    </w:p>
    <w:p w14:paraId="75E8158B">
      <w:pPr>
        <w:pStyle w:val="2"/>
        <w:spacing w:line="560" w:lineRule="exact"/>
        <w:ind w:left="420" w:leftChars="200" w:firstLine="320" w:firstLineChars="10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bookmarkStart w:id="99" w:name="_Toc11279_WPSOffice_Level1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六、意见及建议</w:t>
      </w:r>
      <w:bookmarkEnd w:id="99"/>
    </w:p>
    <w:p w14:paraId="727BC6C3">
      <w:pPr>
        <w:spacing w:line="560" w:lineRule="exact"/>
        <w:ind w:firstLine="640" w:firstLineChars="200"/>
        <w:outlineLvl w:val="1"/>
      </w:pPr>
      <w:r>
        <w:rPr>
          <w:rFonts w:hint="eastAsia" w:ascii="仿宋" w:hAnsi="仿宋" w:eastAsia="仿宋" w:cs="仿宋"/>
          <w:sz w:val="32"/>
          <w:szCs w:val="32"/>
        </w:rPr>
        <w:t>各级政府加大教育投入</w:t>
      </w:r>
      <w:r>
        <w:rPr>
          <w:rFonts w:hint="eastAsia" w:ascii="仿宋" w:hAnsi="仿宋" w:eastAsia="仿宋" w:cs="仿宋"/>
          <w:color w:val="000000"/>
          <w:sz w:val="32"/>
          <w:szCs w:val="40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切实提高学校信息化水平，增强学生信息化应用能力。</w:t>
      </w:r>
    </w:p>
    <w:p w14:paraId="6BB6BC53">
      <w:pPr>
        <w:pStyle w:val="2"/>
        <w:spacing w:line="560" w:lineRule="exact"/>
        <w:ind w:firstLine="6080" w:firstLineChars="1900"/>
        <w:outlineLvl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2023年3月16日</w:t>
      </w:r>
    </w:p>
    <w:p w14:paraId="3320DC1A">
      <w:pPr>
        <w:rPr>
          <w:rFonts w:ascii="仿宋_GB2312" w:hAnsi="仿宋_GB2312" w:eastAsia="仿宋_GB2312" w:cs="仿宋_GB2312"/>
        </w:rPr>
      </w:pPr>
    </w:p>
    <w:sectPr>
      <w:footerReference r:id="rId3" w:type="default"/>
      <w:pgSz w:w="11906" w:h="16838"/>
      <w:pgMar w:top="2154" w:right="1474" w:bottom="1984" w:left="1587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roman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24A3EA">
    <w:pPr>
      <w:pStyle w:val="4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hzD29rgEAAEsD&#10;AAAOAAAAAAAAAAEAIAAAAB4BAABkcnMvZTJvRG9jLnhtbFBLBQYAAAAABgAGAFkBAAA+BQ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09E7D435">
                <w:pPr>
                  <w:pStyle w:val="4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9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FCC198"/>
    <w:multiLevelType w:val="singleLevel"/>
    <w:tmpl w:val="90FCC198"/>
    <w:lvl w:ilvl="0" w:tentative="0">
      <w:start w:val="9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A168CA7"/>
    <w:multiLevelType w:val="singleLevel"/>
    <w:tmpl w:val="4A168CA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g0MWY2ZWJjZmU2NGYwOWFlOGFmYzNhNjQ5ODEzYWIifQ=="/>
  </w:docVars>
  <w:rsids>
    <w:rsidRoot w:val="07CC499B"/>
    <w:rsid w:val="00020C88"/>
    <w:rsid w:val="00082457"/>
    <w:rsid w:val="000915A6"/>
    <w:rsid w:val="00092B14"/>
    <w:rsid w:val="000D47D0"/>
    <w:rsid w:val="001373BE"/>
    <w:rsid w:val="0015537D"/>
    <w:rsid w:val="001556C6"/>
    <w:rsid w:val="001F3212"/>
    <w:rsid w:val="002707C6"/>
    <w:rsid w:val="00280F82"/>
    <w:rsid w:val="002E17AA"/>
    <w:rsid w:val="003170CE"/>
    <w:rsid w:val="003C4354"/>
    <w:rsid w:val="00511C3B"/>
    <w:rsid w:val="0057235C"/>
    <w:rsid w:val="006049F2"/>
    <w:rsid w:val="00645DBC"/>
    <w:rsid w:val="006B6E10"/>
    <w:rsid w:val="00706CE0"/>
    <w:rsid w:val="00757819"/>
    <w:rsid w:val="007812E3"/>
    <w:rsid w:val="007A5483"/>
    <w:rsid w:val="007D7EA6"/>
    <w:rsid w:val="00814E39"/>
    <w:rsid w:val="00877E36"/>
    <w:rsid w:val="008C7CF4"/>
    <w:rsid w:val="008F4C9A"/>
    <w:rsid w:val="009D5B99"/>
    <w:rsid w:val="00A02C66"/>
    <w:rsid w:val="00A12B32"/>
    <w:rsid w:val="00AB413B"/>
    <w:rsid w:val="00B60E03"/>
    <w:rsid w:val="00B77B75"/>
    <w:rsid w:val="00B81323"/>
    <w:rsid w:val="00C871E1"/>
    <w:rsid w:val="00D25A69"/>
    <w:rsid w:val="00D25CC3"/>
    <w:rsid w:val="00D3165F"/>
    <w:rsid w:val="00D471F4"/>
    <w:rsid w:val="00D5394A"/>
    <w:rsid w:val="00DB6DF3"/>
    <w:rsid w:val="00E30CAE"/>
    <w:rsid w:val="00E310A2"/>
    <w:rsid w:val="00E77F25"/>
    <w:rsid w:val="00E876DE"/>
    <w:rsid w:val="00ED5CAD"/>
    <w:rsid w:val="00EE0355"/>
    <w:rsid w:val="00EF2BA5"/>
    <w:rsid w:val="00EF6DA3"/>
    <w:rsid w:val="00FA340E"/>
    <w:rsid w:val="01B67D1F"/>
    <w:rsid w:val="01CA2AF2"/>
    <w:rsid w:val="03274687"/>
    <w:rsid w:val="04064A0C"/>
    <w:rsid w:val="04321BCD"/>
    <w:rsid w:val="04FF4482"/>
    <w:rsid w:val="057A0A50"/>
    <w:rsid w:val="064C4C17"/>
    <w:rsid w:val="076C3175"/>
    <w:rsid w:val="07CC499B"/>
    <w:rsid w:val="0815567D"/>
    <w:rsid w:val="0909607F"/>
    <w:rsid w:val="09A64785"/>
    <w:rsid w:val="0A3B4E4B"/>
    <w:rsid w:val="0B601B06"/>
    <w:rsid w:val="0BEB58BF"/>
    <w:rsid w:val="0C15027B"/>
    <w:rsid w:val="0C3B2A49"/>
    <w:rsid w:val="0DAA4EE9"/>
    <w:rsid w:val="0E3117D9"/>
    <w:rsid w:val="102B0836"/>
    <w:rsid w:val="1064155D"/>
    <w:rsid w:val="1156122B"/>
    <w:rsid w:val="11F11891"/>
    <w:rsid w:val="12C35BB4"/>
    <w:rsid w:val="140849FA"/>
    <w:rsid w:val="14583EA3"/>
    <w:rsid w:val="151D09B5"/>
    <w:rsid w:val="158841BD"/>
    <w:rsid w:val="16855135"/>
    <w:rsid w:val="1689469A"/>
    <w:rsid w:val="168E5BD5"/>
    <w:rsid w:val="16DB1E7D"/>
    <w:rsid w:val="178C6C5A"/>
    <w:rsid w:val="17CD646A"/>
    <w:rsid w:val="184F3049"/>
    <w:rsid w:val="1B3F225B"/>
    <w:rsid w:val="1B4269FF"/>
    <w:rsid w:val="1D4B3C83"/>
    <w:rsid w:val="1D5429F5"/>
    <w:rsid w:val="1DBD7AB3"/>
    <w:rsid w:val="1E0B387E"/>
    <w:rsid w:val="21460607"/>
    <w:rsid w:val="21823AAC"/>
    <w:rsid w:val="21FF1E9B"/>
    <w:rsid w:val="23C1122C"/>
    <w:rsid w:val="243D751D"/>
    <w:rsid w:val="24522B03"/>
    <w:rsid w:val="25ED2FD4"/>
    <w:rsid w:val="264A346A"/>
    <w:rsid w:val="270A41B9"/>
    <w:rsid w:val="274B3C4E"/>
    <w:rsid w:val="285356FD"/>
    <w:rsid w:val="288E37E0"/>
    <w:rsid w:val="290243B4"/>
    <w:rsid w:val="2A5C748F"/>
    <w:rsid w:val="2B10000E"/>
    <w:rsid w:val="2B2D56DA"/>
    <w:rsid w:val="2D391E20"/>
    <w:rsid w:val="30785FD3"/>
    <w:rsid w:val="31702E0D"/>
    <w:rsid w:val="33C32B3C"/>
    <w:rsid w:val="34470FD5"/>
    <w:rsid w:val="34E52524"/>
    <w:rsid w:val="35CA4ECD"/>
    <w:rsid w:val="35CE5164"/>
    <w:rsid w:val="35F07825"/>
    <w:rsid w:val="360C2FBA"/>
    <w:rsid w:val="363913FE"/>
    <w:rsid w:val="36D6548C"/>
    <w:rsid w:val="376918C7"/>
    <w:rsid w:val="37832AC7"/>
    <w:rsid w:val="38195BED"/>
    <w:rsid w:val="39730E3D"/>
    <w:rsid w:val="39B23A02"/>
    <w:rsid w:val="3A4766ED"/>
    <w:rsid w:val="3A713A3B"/>
    <w:rsid w:val="3AAB2217"/>
    <w:rsid w:val="3CAE49E3"/>
    <w:rsid w:val="3DAE40CB"/>
    <w:rsid w:val="3E7103A9"/>
    <w:rsid w:val="3E7E746E"/>
    <w:rsid w:val="3EBE2184"/>
    <w:rsid w:val="3F5912F8"/>
    <w:rsid w:val="3F9B4FC0"/>
    <w:rsid w:val="40C433E5"/>
    <w:rsid w:val="41B74B09"/>
    <w:rsid w:val="43DC781A"/>
    <w:rsid w:val="441C7555"/>
    <w:rsid w:val="450A0AA4"/>
    <w:rsid w:val="45236574"/>
    <w:rsid w:val="46434BE2"/>
    <w:rsid w:val="46AA6AA7"/>
    <w:rsid w:val="478E0E32"/>
    <w:rsid w:val="48A2447B"/>
    <w:rsid w:val="49430BD9"/>
    <w:rsid w:val="494625CA"/>
    <w:rsid w:val="494815BB"/>
    <w:rsid w:val="4BD23ED8"/>
    <w:rsid w:val="4C2846CD"/>
    <w:rsid w:val="4C7A4C55"/>
    <w:rsid w:val="4F6A54EE"/>
    <w:rsid w:val="4FDF6ED1"/>
    <w:rsid w:val="514C0EC5"/>
    <w:rsid w:val="51F50157"/>
    <w:rsid w:val="52866F20"/>
    <w:rsid w:val="52EE7A8B"/>
    <w:rsid w:val="535B290E"/>
    <w:rsid w:val="53F1208F"/>
    <w:rsid w:val="54DE5250"/>
    <w:rsid w:val="55495194"/>
    <w:rsid w:val="56115CEE"/>
    <w:rsid w:val="56D42516"/>
    <w:rsid w:val="56FE5044"/>
    <w:rsid w:val="57042565"/>
    <w:rsid w:val="57E03285"/>
    <w:rsid w:val="58300B6D"/>
    <w:rsid w:val="58E566A4"/>
    <w:rsid w:val="5AE71036"/>
    <w:rsid w:val="5B5F30DA"/>
    <w:rsid w:val="5BAF6F84"/>
    <w:rsid w:val="5BE03A0F"/>
    <w:rsid w:val="5D5C7CBD"/>
    <w:rsid w:val="5DF86B3F"/>
    <w:rsid w:val="5F1C1ADB"/>
    <w:rsid w:val="60134031"/>
    <w:rsid w:val="60C120AA"/>
    <w:rsid w:val="6304094B"/>
    <w:rsid w:val="64165E4C"/>
    <w:rsid w:val="648A4FA6"/>
    <w:rsid w:val="6536013A"/>
    <w:rsid w:val="68DA698B"/>
    <w:rsid w:val="6A3E1F45"/>
    <w:rsid w:val="6CCC6D4C"/>
    <w:rsid w:val="6D5F4EC3"/>
    <w:rsid w:val="6E3F5A2C"/>
    <w:rsid w:val="7008088F"/>
    <w:rsid w:val="70F3705E"/>
    <w:rsid w:val="712634CC"/>
    <w:rsid w:val="71A3781D"/>
    <w:rsid w:val="724E698E"/>
    <w:rsid w:val="7450798C"/>
    <w:rsid w:val="756501CF"/>
    <w:rsid w:val="778F438E"/>
    <w:rsid w:val="7A055146"/>
    <w:rsid w:val="7A757A3F"/>
    <w:rsid w:val="7C647BFE"/>
    <w:rsid w:val="7D9B64C3"/>
    <w:rsid w:val="7EDC5162"/>
    <w:rsid w:val="7FA8571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/>
    </w:pPr>
  </w:style>
  <w:style w:type="paragraph" w:styleId="3">
    <w:name w:val="Body Text Indent"/>
    <w:basedOn w:val="1"/>
    <w:qFormat/>
    <w:uiPriority w:val="0"/>
    <w:pPr>
      <w:spacing w:line="600" w:lineRule="exact"/>
      <w:ind w:firstLine="560" w:firstLineChars="200"/>
      <w:textAlignment w:val="center"/>
    </w:pPr>
    <w:rPr>
      <w:rFonts w:ascii="宋体" w:hAnsi="宋体"/>
      <w:color w:val="FF0000"/>
      <w:sz w:val="28"/>
      <w:szCs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paragraph" w:customStyle="1" w:styleId="10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1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12">
    <w:name w:val="页眉 Char"/>
    <w:basedOn w:val="8"/>
    <w:link w:val="5"/>
    <w:qFormat/>
    <w:uiPriority w:val="0"/>
    <w:rPr>
      <w:rFonts w:ascii="Calibri" w:hAnsi="Calibri"/>
      <w:kern w:val="2"/>
      <w:sz w:val="18"/>
      <w:szCs w:val="18"/>
    </w:rPr>
  </w:style>
  <w:style w:type="paragraph" w:customStyle="1" w:styleId="13">
    <w:name w:val="插入文本样式-插入部门职责文件"/>
    <w:basedOn w:val="1"/>
    <w:qFormat/>
    <w:uiPriority w:val="0"/>
    <w:pPr>
      <w:widowControl/>
      <w:spacing w:line="500" w:lineRule="exact"/>
      <w:ind w:firstLine="560"/>
      <w:jc w:val="left"/>
    </w:pPr>
    <w:rPr>
      <w:rFonts w:ascii="Times New Roman" w:hAnsi="Times New Roman" w:eastAsia="方正仿宋_GBK"/>
      <w:kern w:val="0"/>
      <w:sz w:val="28"/>
      <w:lang w:eastAsia="uk-U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3420</Words>
  <Characters>3603</Characters>
  <Lines>27</Lines>
  <Paragraphs>7</Paragraphs>
  <TotalTime>1</TotalTime>
  <ScaleCrop>false</ScaleCrop>
  <LinksUpToDate>false</LinksUpToDate>
  <CharactersWithSpaces>3625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2021-07-20T09:00:00Z</dcterms:created>
  <dc:creator>user</dc:creator>
  <cp:lastModifiedBy>齐赞法</cp:lastModifiedBy>
  <dcterms:modified xsi:type="dcterms:W3CDTF">2026-05-20T07:39:00Z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3226D66D6D274526A8643A94C4EF50C4</vt:lpwstr>
  </property>
  <property fmtid="{D5CDD505-2E9C-101B-9397-08002B2CF9AE}" pid="4" name="KSOTemplateDocerSaveRecord">
    <vt:lpwstr>eyJoZGlkIjoiZTg1NGM5MzY4ZmUyZDFhOTM5ZDIwNDFhOWMxOGI2YmUiLCJ1c2VySWQiOiI2MjQzMDU2NzcifQ==</vt:lpwstr>
  </property>
</Properties>
</file>