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pPr>
        <w:spacing w:line="580" w:lineRule="exact"/>
        <w:ind w:firstLine="720" w:firstLineChars="199"/>
        <w:rPr>
          <w:rFonts w:ascii="仿宋_GB2312" w:hAnsi="仿宋_GB2312" w:eastAsia="仿宋_GB2312" w:cs="仿宋_GB2312"/>
          <w:b/>
          <w:bCs/>
          <w:spacing w:val="-20"/>
          <w:sz w:val="40"/>
          <w:szCs w:val="48"/>
        </w:rPr>
      </w:pPr>
    </w:p>
    <w:p>
      <w:pPr>
        <w:spacing w:line="580" w:lineRule="exact"/>
        <w:ind w:firstLine="720" w:firstLineChars="199"/>
        <w:jc w:val="center"/>
        <w:rPr>
          <w:rFonts w:hint="default" w:ascii="仿宋_GB2312" w:hAnsi="仿宋_GB2312" w:eastAsia="仿宋_GB2312" w:cs="仿宋_GB2312"/>
          <w:b/>
          <w:bCs/>
          <w:spacing w:val="-20"/>
          <w:sz w:val="40"/>
          <w:szCs w:val="48"/>
          <w:lang w:val="en-US" w:eastAsia="zh-CN"/>
        </w:rPr>
      </w:pPr>
      <w:r>
        <w:rPr>
          <w:rFonts w:hint="eastAsia" w:ascii="仿宋_GB2312" w:hAnsi="仿宋_GB2312" w:eastAsia="仿宋_GB2312" w:cs="仿宋_GB2312"/>
          <w:b/>
          <w:bCs/>
          <w:spacing w:val="-20"/>
          <w:sz w:val="40"/>
          <w:szCs w:val="48"/>
        </w:rPr>
        <w:t>隆尧县</w:t>
      </w:r>
      <w:r>
        <w:rPr>
          <w:rFonts w:hint="eastAsia" w:ascii="仿宋_GB2312" w:hAnsi="仿宋_GB2312" w:eastAsia="仿宋_GB2312" w:cs="仿宋_GB2312"/>
          <w:b/>
          <w:bCs/>
          <w:spacing w:val="-20"/>
          <w:sz w:val="40"/>
          <w:szCs w:val="48"/>
          <w:lang w:val="en-US" w:eastAsia="zh-CN"/>
        </w:rPr>
        <w:t>唐尧中学</w:t>
      </w:r>
    </w:p>
    <w:p>
      <w:pPr>
        <w:spacing w:line="580" w:lineRule="exact"/>
        <w:ind w:firstLine="720" w:firstLineChars="199"/>
        <w:jc w:val="center"/>
        <w:rPr>
          <w:rFonts w:ascii="仿宋_GB2312" w:hAnsi="仿宋_GB2312" w:eastAsia="仿宋_GB2312" w:cs="仿宋_GB2312"/>
          <w:b/>
          <w:bCs/>
          <w:sz w:val="40"/>
          <w:szCs w:val="48"/>
        </w:rPr>
      </w:pPr>
      <w:r>
        <w:rPr>
          <w:rFonts w:hint="eastAsia" w:ascii="仿宋_GB2312" w:hAnsi="仿宋_GB2312" w:eastAsia="仿宋_GB2312" w:cs="仿宋_GB2312"/>
          <w:b/>
          <w:bCs/>
          <w:spacing w:val="-20"/>
          <w:sz w:val="40"/>
          <w:szCs w:val="48"/>
          <w:lang w:val="en-US" w:eastAsia="zh-CN"/>
        </w:rPr>
        <w:t>唐尧中学补助</w:t>
      </w:r>
      <w:r>
        <w:rPr>
          <w:rFonts w:hint="eastAsia" w:ascii="仿宋_GB2312" w:hAnsi="仿宋_GB2312" w:eastAsia="仿宋_GB2312" w:cs="仿宋_GB2312"/>
          <w:b/>
          <w:bCs/>
          <w:sz w:val="40"/>
          <w:szCs w:val="48"/>
        </w:rPr>
        <w:t>项目重点自评绩效报告</w:t>
      </w:r>
    </w:p>
    <w:p>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pStyle w:val="2"/>
        <w:ind w:firstLine="560"/>
      </w:pPr>
    </w:p>
    <w:p/>
    <w:p>
      <w:pPr>
        <w:pStyle w:val="2"/>
        <w:ind w:firstLine="560"/>
      </w:pPr>
    </w:p>
    <w:p/>
    <w:p>
      <w:pPr>
        <w:pStyle w:val="2"/>
        <w:ind w:firstLine="560"/>
      </w:pPr>
    </w:p>
    <w:p>
      <w:pPr>
        <w:spacing w:line="760" w:lineRule="exact"/>
        <w:rPr>
          <w:rFonts w:ascii="仿宋_GB2312" w:hAnsi="仿宋_GB2312" w:eastAsia="仿宋_GB2312" w:cs="仿宋_GB2312"/>
          <w:spacing w:val="-20"/>
          <w:sz w:val="28"/>
          <w:szCs w:val="28"/>
          <w:u w:val="single"/>
        </w:rPr>
      </w:pPr>
      <w:r>
        <w:rPr>
          <w:rFonts w:hint="eastAsia" w:ascii="仿宋_GB2312" w:hAnsi="仿宋_GB2312" w:eastAsia="仿宋_GB2312" w:cs="仿宋_GB2312"/>
          <w:spacing w:val="11"/>
          <w:sz w:val="28"/>
          <w:szCs w:val="28"/>
        </w:rPr>
        <w:t>项 目 名 称：</w:t>
      </w:r>
      <w:r>
        <w:rPr>
          <w:rFonts w:hint="eastAsia" w:ascii="仿宋_GB2312" w:hAnsi="仿宋_GB2312" w:eastAsia="仿宋_GB2312" w:cs="仿宋_GB2312"/>
          <w:b w:val="0"/>
          <w:bCs w:val="0"/>
          <w:kern w:val="0"/>
          <w:sz w:val="28"/>
          <w:szCs w:val="28"/>
          <w:u w:val="single"/>
          <w:lang w:val="en-US" w:eastAsia="zh-CN"/>
        </w:rPr>
        <w:t>唐尧中学补助</w:t>
      </w:r>
      <w:r>
        <w:rPr>
          <w:rFonts w:hint="eastAsia" w:ascii="仿宋_GB2312" w:hAnsi="仿宋_GB2312" w:eastAsia="仿宋_GB2312" w:cs="仿宋_GB2312"/>
          <w:b w:val="0"/>
          <w:bCs w:val="0"/>
          <w:sz w:val="28"/>
          <w:szCs w:val="28"/>
          <w:u w:val="single"/>
        </w:rPr>
        <w:t xml:space="preserve">项目 </w:t>
      </w:r>
    </w:p>
    <w:p>
      <w:pPr>
        <w:spacing w:line="760" w:lineRule="exact"/>
        <w:rPr>
          <w:rFonts w:hint="default" w:ascii="仿宋_GB2312" w:hAnsi="仿宋_GB2312" w:eastAsia="仿宋_GB2312" w:cs="仿宋_GB2312"/>
          <w:sz w:val="28"/>
          <w:szCs w:val="28"/>
          <w:u w:val="single"/>
          <w:lang w:val="en-US"/>
        </w:rPr>
      </w:pPr>
      <w:r>
        <w:rPr>
          <w:rFonts w:hint="eastAsia" w:ascii="仿宋_GB2312" w:hAnsi="仿宋_GB2312" w:eastAsia="仿宋_GB2312" w:cs="仿宋_GB2312"/>
          <w:sz w:val="28"/>
          <w:szCs w:val="28"/>
        </w:rPr>
        <w:t>项目实施单位：</w:t>
      </w:r>
      <w:r>
        <w:rPr>
          <w:rFonts w:hint="eastAsia" w:ascii="仿宋_GB2312" w:hAnsi="仿宋_GB2312" w:eastAsia="仿宋_GB2312" w:cs="仿宋_GB2312"/>
          <w:kern w:val="0"/>
          <w:sz w:val="28"/>
          <w:szCs w:val="28"/>
          <w:u w:val="single"/>
          <w:lang w:val="en-US" w:eastAsia="zh-CN"/>
        </w:rPr>
        <w:t xml:space="preserve">隆尧县唐尧中学 </w:t>
      </w:r>
    </w:p>
    <w:p>
      <w:pPr>
        <w:spacing w:line="760" w:lineRule="exact"/>
        <w:rPr>
          <w:rFonts w:hint="eastAsia" w:ascii="仿宋_GB2312" w:hAnsi="仿宋_GB2312" w:eastAsia="仿宋_GB2312" w:cs="仿宋_GB2312"/>
          <w:sz w:val="28"/>
          <w:szCs w:val="28"/>
          <w:u w:val="single"/>
          <w:lang w:val="en-US" w:eastAsia="zh-CN"/>
        </w:rPr>
      </w:pPr>
      <w:r>
        <w:rPr>
          <w:rFonts w:hint="eastAsia" w:ascii="仿宋_GB2312" w:hAnsi="仿宋_GB2312" w:eastAsia="仿宋_GB2312" w:cs="仿宋_GB2312"/>
          <w:spacing w:val="28"/>
          <w:sz w:val="28"/>
          <w:szCs w:val="28"/>
        </w:rPr>
        <w:t>项目总金额：</w:t>
      </w:r>
      <w:r>
        <w:rPr>
          <w:rFonts w:hint="eastAsia" w:ascii="仿宋_GB2312" w:hAnsi="仿宋_GB2312" w:eastAsia="仿宋_GB2312" w:cs="仿宋_GB2312"/>
          <w:kern w:val="0"/>
          <w:sz w:val="28"/>
          <w:szCs w:val="28"/>
          <w:u w:val="single"/>
          <w:lang w:val="en-US" w:eastAsia="zh-CN"/>
        </w:rPr>
        <w:t>263</w:t>
      </w:r>
      <w:r>
        <w:rPr>
          <w:rFonts w:hint="eastAsia" w:ascii="仿宋_GB2312" w:hAnsi="仿宋_GB2312" w:eastAsia="仿宋_GB2312" w:cs="仿宋_GB2312"/>
          <w:kern w:val="0"/>
          <w:sz w:val="28"/>
          <w:szCs w:val="28"/>
          <w:u w:val="single"/>
        </w:rPr>
        <w:t>万元</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11"/>
          <w:sz w:val="28"/>
          <w:szCs w:val="28"/>
        </w:rPr>
        <w:t>评 价 年 度：</w:t>
      </w:r>
      <w:r>
        <w:rPr>
          <w:rFonts w:hint="eastAsia" w:ascii="仿宋_GB2312" w:hAnsi="仿宋_GB2312" w:eastAsia="仿宋_GB2312" w:cs="仿宋_GB2312"/>
          <w:sz w:val="28"/>
          <w:szCs w:val="28"/>
          <w:u w:val="single"/>
        </w:rPr>
        <w:t>2022年度</w:t>
      </w:r>
    </w:p>
    <w:p>
      <w:pPr>
        <w:spacing w:line="760" w:lineRule="exact"/>
        <w:rPr>
          <w:rFonts w:hint="eastAsia"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评价组组长：</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吴波</w:t>
      </w:r>
      <w:r>
        <w:rPr>
          <w:rFonts w:hint="eastAsia" w:ascii="仿宋_GB2312" w:hAnsi="仿宋_GB2312" w:eastAsia="仿宋_GB2312" w:cs="仿宋_GB2312"/>
          <w:sz w:val="28"/>
          <w:szCs w:val="28"/>
          <w:u w:val="single"/>
        </w:rPr>
        <w:t xml:space="preserve"> </w:t>
      </w:r>
    </w:p>
    <w:p>
      <w:pPr>
        <w:pStyle w:val="2"/>
      </w:pPr>
    </w:p>
    <w:p>
      <w:pPr>
        <w:spacing w:line="760" w:lineRule="exact"/>
        <w:rPr>
          <w:rFonts w:ascii="仿宋_GB2312" w:hAnsi="仿宋_GB2312" w:eastAsia="仿宋_GB2312" w:cs="仿宋_GB2312"/>
        </w:rPr>
      </w:pPr>
      <w:r>
        <w:rPr>
          <w:rFonts w:hint="eastAsia" w:ascii="仿宋_GB2312" w:hAnsi="仿宋_GB2312" w:eastAsia="仿宋_GB2312" w:cs="仿宋_GB2312"/>
          <w:spacing w:val="28"/>
          <w:sz w:val="28"/>
          <w:szCs w:val="28"/>
        </w:rPr>
        <w:t>评价组成员：</w:t>
      </w:r>
      <w:r>
        <w:rPr>
          <w:rFonts w:hint="eastAsia" w:ascii="仿宋_GB2312" w:hAnsi="仿宋_GB2312" w:eastAsia="仿宋_GB2312" w:cs="仿宋_GB2312"/>
          <w:spacing w:val="28"/>
          <w:sz w:val="28"/>
          <w:szCs w:val="28"/>
          <w:u w:val="single"/>
          <w:lang w:val="en-US" w:eastAsia="zh-CN"/>
        </w:rPr>
        <w:t>王平、周水、高友亮、李新好、张卓、王红瑞</w:t>
      </w:r>
      <w:r>
        <w:rPr>
          <w:rFonts w:hint="eastAsia" w:ascii="仿宋_GB2312" w:hAnsi="仿宋_GB2312" w:eastAsia="仿宋_GB2312" w:cs="仿宋_GB2312"/>
          <w:sz w:val="28"/>
          <w:szCs w:val="28"/>
          <w:u w:val="single"/>
        </w:rPr>
        <w:t xml:space="preserve">                                          </w:t>
      </w:r>
    </w:p>
    <w:p>
      <w:pPr>
        <w:rPr>
          <w:rFonts w:ascii="仿宋_GB2312" w:hAnsi="仿宋_GB2312" w:eastAsia="仿宋_GB2312" w:cs="仿宋_GB2312"/>
        </w:rPr>
      </w:pPr>
      <w:bookmarkStart w:id="0" w:name="_Toc5909_WPSOffice_Level1"/>
      <w:bookmarkStart w:id="1" w:name="_Toc7470_WPSOffice_Level1"/>
    </w:p>
    <w:bookmarkEnd w:id="0"/>
    <w:bookmarkEnd w:id="1"/>
    <w:p>
      <w:pPr>
        <w:spacing w:line="580" w:lineRule="exact"/>
        <w:outlineLvl w:val="0"/>
        <w:rPr>
          <w:rFonts w:ascii="仿宋_GB2312" w:hAnsi="仿宋_GB2312" w:eastAsia="仿宋_GB2312" w:cs="仿宋_GB2312"/>
          <w:b/>
          <w:bCs/>
          <w:sz w:val="32"/>
          <w:szCs w:val="40"/>
        </w:rPr>
      </w:pPr>
      <w:bookmarkStart w:id="2" w:name="_Toc4013"/>
      <w:bookmarkStart w:id="3" w:name="_Toc9525"/>
      <w:bookmarkStart w:id="4" w:name="_Toc11301"/>
      <w:bookmarkStart w:id="5" w:name="_Toc13153"/>
      <w:bookmarkStart w:id="6" w:name="_Toc23411"/>
      <w:bookmarkStart w:id="7" w:name="_Toc2245"/>
      <w:bookmarkStart w:id="8" w:name="_Toc16913"/>
      <w:bookmarkStart w:id="9" w:name="_Toc18334"/>
      <w:bookmarkStart w:id="10" w:name="_Toc6314"/>
      <w:bookmarkStart w:id="11" w:name="_Toc30335"/>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outlineLvl w:val="0"/>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一、项目概况</w:t>
      </w:r>
      <w:bookmarkEnd w:id="2"/>
      <w:bookmarkEnd w:id="3"/>
      <w:bookmarkEnd w:id="4"/>
      <w:bookmarkEnd w:id="5"/>
      <w:bookmarkEnd w:id="6"/>
      <w:bookmarkEnd w:id="7"/>
      <w:bookmarkEnd w:id="8"/>
      <w:bookmarkEnd w:id="9"/>
      <w:bookmarkEnd w:id="10"/>
      <w:bookmarkEnd w:id="11"/>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outlineLvl w:val="1"/>
        <w:rPr>
          <w:rFonts w:ascii="仿宋_GB2312" w:hAnsi="仿宋_GB2312" w:eastAsia="仿宋_GB2312" w:cs="仿宋_GB2312"/>
          <w:sz w:val="32"/>
          <w:szCs w:val="40"/>
        </w:rPr>
      </w:pPr>
      <w:bookmarkStart w:id="12" w:name="_Toc22453"/>
      <w:bookmarkStart w:id="13" w:name="_Toc19370"/>
      <w:bookmarkStart w:id="14" w:name="_Toc22285"/>
      <w:bookmarkStart w:id="15" w:name="_Toc24784"/>
      <w:bookmarkStart w:id="16" w:name="_Toc32742"/>
      <w:bookmarkStart w:id="17" w:name="_Toc19963"/>
      <w:bookmarkStart w:id="18" w:name="_Toc937"/>
      <w:bookmarkStart w:id="19" w:name="_Toc23957"/>
      <w:bookmarkStart w:id="20" w:name="_Toc30895"/>
      <w:bookmarkStart w:id="21" w:name="_Toc15831"/>
      <w:r>
        <w:rPr>
          <w:rFonts w:hint="eastAsia" w:ascii="仿宋_GB2312" w:hAnsi="仿宋_GB2312" w:eastAsia="仿宋_GB2312" w:cs="仿宋_GB2312"/>
          <w:sz w:val="32"/>
          <w:szCs w:val="40"/>
        </w:rPr>
        <w:t>（一）项目单位基本情况</w:t>
      </w:r>
      <w:bookmarkEnd w:id="12"/>
      <w:bookmarkEnd w:id="13"/>
      <w:bookmarkEnd w:id="14"/>
      <w:bookmarkEnd w:id="15"/>
      <w:bookmarkEnd w:id="16"/>
      <w:bookmarkEnd w:id="17"/>
      <w:bookmarkEnd w:id="18"/>
      <w:bookmarkEnd w:id="19"/>
      <w:bookmarkEnd w:id="20"/>
      <w:bookmarkEnd w:id="21"/>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b w:val="0"/>
          <w:bCs/>
          <w:sz w:val="32"/>
          <w:szCs w:val="32"/>
          <w:lang w:val="en-US" w:eastAsia="zh-CN"/>
        </w:rPr>
      </w:pPr>
      <w:bookmarkStart w:id="22" w:name="_Toc29308"/>
      <w:bookmarkStart w:id="23" w:name="_Toc15167"/>
      <w:bookmarkStart w:id="24" w:name="_Toc8843"/>
      <w:r>
        <w:rPr>
          <w:rFonts w:hint="eastAsia" w:ascii="仿宋_GB2312" w:hAnsi="仿宋_GB2312" w:eastAsia="仿宋_GB2312" w:cs="仿宋_GB2312"/>
          <w:b w:val="0"/>
          <w:bCs/>
          <w:sz w:val="32"/>
          <w:szCs w:val="32"/>
          <w:lang w:val="en-US" w:eastAsia="zh-CN"/>
        </w:rPr>
        <w:t>隆尧县唐尧中学位于隆尧县县城黄河路南象城街西，是一所民办非营利性质高级中学，占地面积182200平方米，现有高中部30个班级1521名学生，135名专业教师，后勤职工123余名，。学校以“为孩子健康成长奠基”的办学理念，秉承“训蒙养正，润智育行”的校训，使用先进的“洋思”教学法，努力提高学生的自主学习能力，餐前饭后注重路诵，努力营造“手不释卷”的浓厚学风，学校教师团队发扬“严、细、仁、爱”的工作作风，努力提高全校的教学质量和水平。学校现有教学楼2栋，学生宿舍楼2栋，综合楼1栋。学生餐饮功能齐全，设备一流。科技实验楼装备物理、化学实验室各4个，生物实验室1个，微机教室2个，音乐教室、美术教室、舞蹈教室各1个。图书室1个，教师活动室1个。学校还在建设之中，努力为师生营造更好、更优质的工作和学习环境。</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（二）项目基本情况</w:t>
      </w:r>
      <w:bookmarkEnd w:id="22"/>
      <w:bookmarkEnd w:id="23"/>
      <w:bookmarkEnd w:id="24"/>
    </w:p>
    <w:p>
      <w:pPr>
        <w:keepNext w:val="0"/>
        <w:keepLines w:val="0"/>
        <w:pageBreakBefore w:val="0"/>
        <w:widowControl w:val="0"/>
        <w:kinsoku/>
        <w:wordWrap/>
        <w:overflowPunct/>
        <w:topLinePunct w:val="0"/>
        <w:autoSpaceDE/>
        <w:autoSpaceDN/>
        <w:bidi w:val="0"/>
        <w:adjustRightInd/>
        <w:snapToGrid/>
        <w:spacing w:line="480" w:lineRule="exact"/>
        <w:ind w:firstLine="570"/>
        <w:textAlignment w:val="auto"/>
        <w:rPr>
          <w:rFonts w:hint="eastAsia" w:ascii="仿宋" w:hAnsi="仿宋" w:eastAsia="仿宋" w:cs="仿宋"/>
          <w:sz w:val="32"/>
          <w:szCs w:val="32"/>
          <w:lang w:val="en-US" w:eastAsia="zh-CN"/>
        </w:rPr>
      </w:pPr>
      <w:bookmarkStart w:id="25" w:name="_Toc32656"/>
      <w:bookmarkStart w:id="26" w:name="_Toc27552"/>
      <w:bookmarkStart w:id="27" w:name="_Toc24191"/>
      <w:bookmarkStart w:id="28" w:name="_Toc26594"/>
      <w:r>
        <w:rPr>
          <w:rFonts w:hint="eastAsia" w:ascii="仿宋" w:hAnsi="仿宋" w:eastAsia="仿宋" w:cs="仿宋"/>
          <w:b w:val="0"/>
          <w:bCs/>
          <w:sz w:val="32"/>
          <w:szCs w:val="32"/>
          <w:lang w:val="en-US" w:eastAsia="zh-CN"/>
        </w:rPr>
        <w:t>隆尧县人民政府江苏泗州教育投资办学合同书》、《【2017】28号隆尧县人民政府专题会议纪要》等文件规定：共计为唐尧中学招聘高中教师300名，所招聘教师由甲方负责报批编制计划，甲乙双方考核，符合条件逐步纳入编制和人事管理序列，享受公办教师待遇，上编前按人事代理办理（第五条第7款）工资待遇参照同等条件正式教师工资标准执行，按国家有关规定办理养老、医疗等相关社保手续。</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 w:val="0"/>
          <w:bCs/>
          <w:color w:val="000000" w:themeColor="text1"/>
          <w:kern w:val="2"/>
          <w:sz w:val="32"/>
          <w:szCs w:val="32"/>
          <w:lang w:val="en-US" w:eastAsia="zh-CN" w:bidi="ar-SA"/>
          <w14:textFill>
            <w14:solidFill>
              <w14:schemeClr w14:val="tx1"/>
            </w14:solidFill>
          </w14:textFill>
        </w:rPr>
      </w:pPr>
      <w:r>
        <w:rPr>
          <w:rFonts w:hint="eastAsia" w:ascii="仿宋" w:hAnsi="仿宋" w:eastAsia="仿宋" w:cs="仿宋"/>
          <w:b w:val="0"/>
          <w:bCs/>
          <w:sz w:val="32"/>
          <w:szCs w:val="32"/>
          <w:lang w:val="en-US" w:eastAsia="zh-CN"/>
        </w:rPr>
        <w:t>2017年至今共计招聘人事代理教师82名，因考入编制教师流失38名，截止到2022年剩余44名。</w:t>
      </w:r>
      <w:r>
        <w:rPr>
          <w:rFonts w:hint="eastAsia" w:ascii="仿宋" w:hAnsi="仿宋" w:eastAsia="仿宋" w:cs="仿宋"/>
          <w:sz w:val="32"/>
          <w:szCs w:val="32"/>
          <w:lang w:val="en-US" w:eastAsia="zh-CN"/>
        </w:rPr>
        <w:t>2022年1-12月44名人事代理教师教师民办学校补助</w:t>
      </w:r>
      <w:r>
        <w:rPr>
          <w:rFonts w:hint="eastAsia" w:ascii="仿宋" w:hAnsi="仿宋" w:eastAsia="仿宋" w:cs="仿宋"/>
          <w:b w:val="0"/>
          <w:bCs/>
          <w:kern w:val="2"/>
          <w:sz w:val="32"/>
          <w:szCs w:val="32"/>
          <w:lang w:val="en-US" w:eastAsia="zh-CN" w:bidi="ar-SA"/>
        </w:rPr>
        <w:t>2630008.37元，</w:t>
      </w:r>
      <w:r>
        <w:rPr>
          <w:rFonts w:hint="eastAsia" w:ascii="仿宋" w:hAnsi="仿宋" w:eastAsia="仿宋" w:cs="仿宋"/>
          <w:sz w:val="32"/>
          <w:szCs w:val="32"/>
          <w:lang w:val="en-US" w:eastAsia="zh-CN"/>
        </w:rPr>
        <w:t>实际支付资金为2628832.54元，支出进度为99.96%。</w:t>
      </w:r>
    </w:p>
    <w:bookmarkEnd w:id="25"/>
    <w:bookmarkEnd w:id="26"/>
    <w:bookmarkEnd w:id="27"/>
    <w:bookmarkEnd w:id="28"/>
    <w:p>
      <w:pPr>
        <w:keepNext w:val="0"/>
        <w:keepLines w:val="0"/>
        <w:pageBreakBefore w:val="0"/>
        <w:widowControl w:val="0"/>
        <w:kinsoku/>
        <w:wordWrap/>
        <w:overflowPunct/>
        <w:topLinePunct w:val="0"/>
        <w:autoSpaceDE/>
        <w:autoSpaceDN/>
        <w:bidi w:val="0"/>
        <w:adjustRightInd/>
        <w:snapToGrid/>
        <w:spacing w:line="480" w:lineRule="exact"/>
        <w:ind w:firstLine="643" w:firstLineChars="200"/>
        <w:outlineLvl w:val="0"/>
        <w:rPr>
          <w:rFonts w:ascii="仿宋_GB2312" w:hAnsi="仿宋_GB2312" w:eastAsia="仿宋_GB2312" w:cs="仿宋_GB2312"/>
          <w:b/>
          <w:bCs/>
          <w:sz w:val="32"/>
          <w:szCs w:val="40"/>
        </w:rPr>
      </w:pPr>
      <w:bookmarkStart w:id="29" w:name="_Toc26109"/>
      <w:bookmarkStart w:id="30" w:name="_Toc6781"/>
      <w:bookmarkStart w:id="31" w:name="_Toc7839"/>
      <w:bookmarkStart w:id="32" w:name="_Toc18992"/>
      <w:bookmarkStart w:id="33" w:name="_Toc14644"/>
      <w:bookmarkStart w:id="34" w:name="_Toc12860"/>
      <w:bookmarkStart w:id="35" w:name="_Toc4859"/>
      <w:bookmarkStart w:id="36" w:name="_Toc28908"/>
      <w:bookmarkStart w:id="37" w:name="_Toc17782"/>
      <w:bookmarkStart w:id="38" w:name="_Toc2988"/>
      <w:r>
        <w:rPr>
          <w:rFonts w:hint="eastAsia" w:ascii="仿宋_GB2312" w:hAnsi="仿宋_GB2312" w:eastAsia="仿宋_GB2312" w:cs="仿宋_GB2312"/>
          <w:b/>
          <w:bCs/>
          <w:sz w:val="32"/>
          <w:szCs w:val="40"/>
        </w:rPr>
        <w:t>二、项目实施情况</w:t>
      </w:r>
      <w:bookmarkEnd w:id="29"/>
      <w:bookmarkEnd w:id="30"/>
      <w:bookmarkEnd w:id="31"/>
      <w:bookmarkEnd w:id="32"/>
      <w:bookmarkEnd w:id="33"/>
      <w:bookmarkEnd w:id="34"/>
      <w:bookmarkEnd w:id="35"/>
      <w:bookmarkEnd w:id="36"/>
      <w:bookmarkEnd w:id="37"/>
      <w:bookmarkEnd w:id="38"/>
    </w:p>
    <w:p>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640" w:firstLineChars="200"/>
        <w:jc w:val="left"/>
        <w:textAlignment w:val="baseline"/>
        <w:rPr>
          <w:rFonts w:hint="default" w:ascii="仿宋_GB2312" w:eastAsia="仿宋_GB2312"/>
          <w:b w:val="0"/>
          <w:i w:val="0"/>
          <w:caps w:val="0"/>
          <w:color w:val="000000"/>
          <w:spacing w:val="0"/>
          <w:w w:val="100"/>
          <w:sz w:val="32"/>
          <w:szCs w:val="32"/>
          <w:lang w:val="en-US" w:eastAsia="zh-CN"/>
        </w:rPr>
      </w:pPr>
      <w:bookmarkStart w:id="39" w:name="_Toc9227"/>
      <w:bookmarkStart w:id="40" w:name="_Toc4138"/>
      <w:bookmarkStart w:id="41" w:name="_Toc31876"/>
      <w:bookmarkStart w:id="42" w:name="_Toc17743"/>
      <w:bookmarkStart w:id="43" w:name="_Toc11365"/>
      <w:bookmarkStart w:id="44" w:name="_Toc20844"/>
      <w:bookmarkStart w:id="45" w:name="_Toc17067"/>
      <w:bookmarkStart w:id="46" w:name="_Toc10886"/>
      <w:bookmarkStart w:id="47" w:name="_Toc22812"/>
      <w:bookmarkStart w:id="48" w:name="_Toc13114"/>
      <w:r>
        <w:rPr>
          <w:rFonts w:hint="eastAsia" w:ascii="仿宋_GB2312" w:eastAsia="仿宋_GB2312"/>
          <w:b w:val="0"/>
          <w:i w:val="0"/>
          <w:caps w:val="0"/>
          <w:color w:val="000000"/>
          <w:spacing w:val="0"/>
          <w:w w:val="100"/>
          <w:sz w:val="32"/>
          <w:szCs w:val="32"/>
        </w:rPr>
        <w:t>（一）</w:t>
      </w:r>
      <w:r>
        <w:rPr>
          <w:rFonts w:hint="eastAsia" w:ascii="仿宋_GB2312" w:eastAsia="仿宋_GB2312"/>
          <w:b w:val="0"/>
          <w:i w:val="0"/>
          <w:caps w:val="0"/>
          <w:color w:val="000000"/>
          <w:spacing w:val="0"/>
          <w:w w:val="100"/>
          <w:sz w:val="32"/>
          <w:szCs w:val="32"/>
          <w:lang w:val="en-US" w:eastAsia="zh-CN"/>
        </w:rPr>
        <w:t>项目具体实施情况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640" w:firstLineChars="200"/>
        <w:jc w:val="left"/>
        <w:textAlignment w:val="baseline"/>
        <w:rPr>
          <w:rFonts w:hint="eastAsia"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我校制定了详细可行的工作活动实施计划，按照实施计划具体落实，满足并保障校的正常教育教学工作的有效进行。</w:t>
      </w:r>
    </w:p>
    <w:p>
      <w:pPr>
        <w:keepNext w:val="0"/>
        <w:keepLines w:val="0"/>
        <w:pageBreakBefore w:val="0"/>
        <w:widowControl w:val="0"/>
        <w:kinsoku/>
        <w:wordWrap/>
        <w:overflowPunct/>
        <w:topLinePunct w:val="0"/>
        <w:autoSpaceDE/>
        <w:autoSpaceDN/>
        <w:bidi w:val="0"/>
        <w:adjustRightInd/>
        <w:snapToGrid/>
        <w:spacing w:line="480" w:lineRule="exact"/>
        <w:ind w:firstLine="570"/>
        <w:textAlignment w:val="auto"/>
        <w:rPr>
          <w:rFonts w:hint="eastAsia" w:ascii="仿宋" w:hAnsi="仿宋" w:eastAsia="仿宋" w:cs="仿宋"/>
          <w:b w:val="0"/>
          <w:bCs/>
          <w:sz w:val="32"/>
          <w:szCs w:val="32"/>
          <w:lang w:val="en-US" w:eastAsia="zh-CN"/>
        </w:rPr>
      </w:pPr>
      <w:r>
        <w:rPr>
          <w:rFonts w:hint="eastAsia" w:ascii="仿宋" w:hAnsi="仿宋" w:eastAsia="仿宋" w:cs="仿宋"/>
          <w:b w:val="0"/>
          <w:bCs/>
          <w:color w:val="000000" w:themeColor="text1"/>
          <w:kern w:val="2"/>
          <w:sz w:val="32"/>
          <w:szCs w:val="32"/>
          <w:lang w:val="en-US" w:eastAsia="zh-CN" w:bidi="ar-SA"/>
          <w14:textFill>
            <w14:solidFill>
              <w14:schemeClr w14:val="tx1"/>
            </w14:solidFill>
          </w14:textFill>
        </w:rPr>
        <w:t>学校规划占地面积约273亩，计划投资3.6亿元人民币，集小学、初中、高中为一体12年一贯制，着力打造成隆尧县规模最大、品质最高的学校。现有52个教学班，在校生总数2506人，专业教师163人，教职工总数276人。三幢教学楼11000㎡，微机室、实验室、图书馆、音乐、美术等专用教室，配备齐全。两幢学生宿舍楼8700㎡可容纳2500名学生。专用报告厅一座，1200㎡，学生餐厅一座5900㎡，可同时容纳约3500人就餐，辅助用房1800㎡，四块篮球场地，一块300米跑道运动场。</w:t>
      </w:r>
    </w:p>
    <w:p>
      <w:pPr>
        <w:keepNext w:val="0"/>
        <w:keepLines w:val="0"/>
        <w:pageBreakBefore w:val="0"/>
        <w:widowControl w:val="0"/>
        <w:kinsoku/>
        <w:wordWrap/>
        <w:overflowPunct/>
        <w:topLinePunct w:val="0"/>
        <w:autoSpaceDE/>
        <w:autoSpaceDN/>
        <w:bidi w:val="0"/>
        <w:adjustRightInd/>
        <w:snapToGrid/>
        <w:spacing w:line="480" w:lineRule="exact"/>
        <w:ind w:firstLine="570"/>
        <w:textAlignment w:val="auto"/>
        <w:rPr>
          <w:rFonts w:hint="eastAsia" w:ascii="仿宋" w:hAnsi="仿宋" w:eastAsia="仿宋" w:cs="仿宋"/>
          <w:sz w:val="32"/>
          <w:szCs w:val="32"/>
          <w:lang w:val="en-US" w:eastAsia="zh-CN"/>
        </w:rPr>
      </w:pPr>
      <w:r>
        <w:rPr>
          <w:rFonts w:hint="eastAsia" w:ascii="仿宋" w:hAnsi="仿宋" w:eastAsia="仿宋" w:cs="仿宋"/>
          <w:b w:val="0"/>
          <w:bCs/>
          <w:sz w:val="32"/>
          <w:szCs w:val="32"/>
          <w:lang w:val="en-US" w:eastAsia="zh-CN"/>
        </w:rPr>
        <w:t>隆尧县人民政府江苏泗州教育投资办学合同书》、《【2017】28号隆尧县人民政府专题会议纪要》等文件规定：共计为唐尧中学招聘高中教师300名，所招聘教师由甲方负责报批编制计划，甲乙双方考核，符合条件逐步纳入编制和人事管理序列，享受公办教师待遇，上编前按人事代理办理（第五条第7款）工资待遇参照同等条件正式教师工资标准执行，按国家有关规定办理养老、医疗等相关社保手续。</w:t>
      </w:r>
    </w:p>
    <w:p>
      <w:pPr>
        <w:keepNext w:val="0"/>
        <w:keepLines w:val="0"/>
        <w:pageBreakBefore w:val="0"/>
        <w:widowControl w:val="0"/>
        <w:kinsoku/>
        <w:wordWrap/>
        <w:overflowPunct/>
        <w:topLinePunct w:val="0"/>
        <w:autoSpaceDE/>
        <w:autoSpaceDN/>
        <w:bidi w:val="0"/>
        <w:adjustRightInd/>
        <w:snapToGrid/>
        <w:spacing w:line="480" w:lineRule="exact"/>
        <w:ind w:firstLine="570"/>
        <w:textAlignment w:val="auto"/>
      </w:pPr>
      <w:r>
        <w:rPr>
          <w:rFonts w:hint="eastAsia" w:ascii="仿宋" w:hAnsi="仿宋" w:eastAsia="仿宋" w:cs="仿宋"/>
          <w:b w:val="0"/>
          <w:bCs/>
          <w:sz w:val="32"/>
          <w:szCs w:val="32"/>
          <w:lang w:val="en-US" w:eastAsia="zh-CN"/>
        </w:rPr>
        <w:t>2017年至今共计招聘人事代理教师82名，因考入编制教师流失38名，截止到2022年剩余44名。</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640" w:firstLineChars="200"/>
        <w:jc w:val="left"/>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（二）</w:t>
      </w:r>
      <w:r>
        <w:rPr>
          <w:rFonts w:hint="eastAsia" w:ascii="仿宋_GB2312" w:eastAsia="仿宋_GB2312"/>
          <w:b w:val="0"/>
          <w:i w:val="0"/>
          <w:caps w:val="0"/>
          <w:color w:val="000000"/>
          <w:spacing w:val="0"/>
          <w:w w:val="100"/>
          <w:sz w:val="32"/>
          <w:szCs w:val="32"/>
          <w:lang w:val="en-US" w:eastAsia="zh-CN"/>
        </w:rPr>
        <w:t>财务管理情况</w:t>
      </w:r>
      <w:r>
        <w:rPr>
          <w:rFonts w:hint="eastAsia" w:ascii="仿宋_GB2312" w:eastAsia="仿宋_GB2312"/>
          <w:b w:val="0"/>
          <w:i w:val="0"/>
          <w:caps w:val="0"/>
          <w:color w:val="000000"/>
          <w:spacing w:val="0"/>
          <w:w w:val="100"/>
          <w:sz w:val="32"/>
          <w:szCs w:val="32"/>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640" w:firstLineChars="200"/>
        <w:jc w:val="left"/>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项目资金标准由县人力资源交流服务中心按照隆尧县教师工资标准出具，由县教育局人事股审核。</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640" w:firstLineChars="200"/>
        <w:jc w:val="left"/>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项目资金按照年度结合教师工资标准制定预算，按照教师工资标准、人事局出具社会保险申报表按月由县教育局人事股进行审核，县教育局财务股复核后，进行拨付。</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640" w:firstLineChars="200"/>
        <w:jc w:val="left"/>
        <w:textAlignment w:val="baseline"/>
        <w:rPr>
          <w:rFonts w:hint="eastAsia" w:ascii="仿宋_GB2312" w:hAnsi="仿宋_GB2312" w:eastAsia="仿宋_GB2312" w:cs="仿宋_GB2312"/>
          <w:sz w:val="32"/>
          <w:szCs w:val="40"/>
        </w:rPr>
      </w:pPr>
      <w:r>
        <w:rPr>
          <w:rFonts w:hint="eastAsia" w:ascii="仿宋_GB2312" w:eastAsia="仿宋_GB2312"/>
          <w:b w:val="0"/>
          <w:i w:val="0"/>
          <w:caps w:val="0"/>
          <w:color w:val="000000"/>
          <w:spacing w:val="0"/>
          <w:w w:val="100"/>
          <w:sz w:val="32"/>
          <w:szCs w:val="32"/>
        </w:rPr>
        <w:t>我校对项目资金的使用，严格按照财务管理制度规范、安全运行，严格按照程序进行支出。</w:t>
      </w:r>
    </w:p>
    <w:bookmarkEnd w:id="39"/>
    <w:bookmarkEnd w:id="40"/>
    <w:bookmarkEnd w:id="41"/>
    <w:bookmarkEnd w:id="42"/>
    <w:bookmarkEnd w:id="43"/>
    <w:bookmarkEnd w:id="44"/>
    <w:bookmarkEnd w:id="45"/>
    <w:bookmarkEnd w:id="46"/>
    <w:bookmarkEnd w:id="47"/>
    <w:bookmarkEnd w:id="48"/>
    <w:p>
      <w:pPr>
        <w:keepNext w:val="0"/>
        <w:keepLines w:val="0"/>
        <w:pageBreakBefore w:val="0"/>
        <w:widowControl w:val="0"/>
        <w:kinsoku/>
        <w:wordWrap/>
        <w:overflowPunct/>
        <w:topLinePunct w:val="0"/>
        <w:autoSpaceDE/>
        <w:autoSpaceDN/>
        <w:bidi w:val="0"/>
        <w:adjustRightInd/>
        <w:snapToGrid/>
        <w:spacing w:line="480" w:lineRule="exact"/>
        <w:ind w:firstLine="643" w:firstLineChars="200"/>
        <w:outlineLvl w:val="0"/>
        <w:rPr>
          <w:rFonts w:ascii="仿宋_GB2312" w:hAnsi="仿宋_GB2312" w:eastAsia="仿宋_GB2312" w:cs="仿宋_GB2312"/>
          <w:b/>
          <w:bCs/>
          <w:sz w:val="32"/>
          <w:szCs w:val="40"/>
        </w:rPr>
      </w:pPr>
      <w:bookmarkStart w:id="49" w:name="_Toc5317"/>
      <w:bookmarkStart w:id="50" w:name="_Toc12150"/>
      <w:bookmarkStart w:id="51" w:name="_Toc26855"/>
      <w:bookmarkStart w:id="52" w:name="_Toc21501"/>
      <w:bookmarkStart w:id="53" w:name="_Toc6451"/>
      <w:bookmarkStart w:id="54" w:name="_Toc20904"/>
      <w:bookmarkStart w:id="55" w:name="_Toc18915"/>
      <w:bookmarkStart w:id="56" w:name="_Toc5215"/>
      <w:bookmarkStart w:id="57" w:name="_Toc29800"/>
      <w:bookmarkStart w:id="58" w:name="_Toc10651"/>
      <w:r>
        <w:rPr>
          <w:rFonts w:hint="eastAsia" w:ascii="仿宋_GB2312" w:hAnsi="仿宋_GB2312" w:eastAsia="仿宋_GB2312" w:cs="仿宋_GB2312"/>
          <w:b/>
          <w:bCs/>
          <w:sz w:val="32"/>
          <w:szCs w:val="40"/>
        </w:rPr>
        <w:t>三、绩效评价工作情况</w:t>
      </w:r>
      <w:bookmarkEnd w:id="49"/>
      <w:bookmarkEnd w:id="50"/>
      <w:bookmarkEnd w:id="51"/>
      <w:bookmarkEnd w:id="52"/>
      <w:bookmarkEnd w:id="53"/>
      <w:bookmarkEnd w:id="54"/>
      <w:bookmarkEnd w:id="55"/>
      <w:bookmarkEnd w:id="56"/>
      <w:bookmarkEnd w:id="57"/>
      <w:bookmarkEnd w:id="58"/>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outlineLvl w:val="1"/>
        <w:rPr>
          <w:rFonts w:hint="eastAsia" w:ascii="仿宋_GB2312" w:hAnsi="仿宋_GB2312" w:eastAsia="仿宋_GB2312" w:cs="仿宋_GB2312"/>
          <w:sz w:val="32"/>
          <w:szCs w:val="40"/>
        </w:rPr>
      </w:pPr>
      <w:bookmarkStart w:id="59" w:name="_Toc17355"/>
      <w:bookmarkStart w:id="60" w:name="_Toc7570"/>
      <w:bookmarkStart w:id="61" w:name="_Toc22771"/>
      <w:bookmarkStart w:id="62" w:name="_Toc5105"/>
      <w:bookmarkStart w:id="63" w:name="_Toc4056"/>
      <w:bookmarkStart w:id="64" w:name="_Toc25600"/>
      <w:bookmarkStart w:id="65" w:name="_Toc23608"/>
      <w:bookmarkStart w:id="66" w:name="_Toc14742"/>
      <w:bookmarkStart w:id="67" w:name="_Toc15730"/>
      <w:bookmarkStart w:id="68" w:name="_Toc8077"/>
      <w:r>
        <w:rPr>
          <w:rFonts w:hint="eastAsia" w:ascii="仿宋_GB2312" w:hAnsi="仿宋_GB2312" w:eastAsia="仿宋_GB2312" w:cs="仿宋_GB2312"/>
          <w:sz w:val="32"/>
          <w:szCs w:val="40"/>
        </w:rPr>
        <w:t>（一）评价目的</w:t>
      </w:r>
      <w:bookmarkEnd w:id="59"/>
      <w:bookmarkEnd w:id="60"/>
      <w:bookmarkEnd w:id="61"/>
      <w:bookmarkEnd w:id="62"/>
      <w:bookmarkEnd w:id="63"/>
      <w:bookmarkEnd w:id="64"/>
      <w:bookmarkEnd w:id="65"/>
      <w:bookmarkEnd w:id="66"/>
      <w:bookmarkEnd w:id="67"/>
      <w:bookmarkEnd w:id="68"/>
    </w:p>
    <w:p>
      <w:pPr>
        <w:pStyle w:val="2"/>
        <w:keepNext w:val="0"/>
        <w:keepLines w:val="0"/>
        <w:pageBreakBefore w:val="0"/>
        <w:widowControl w:val="0"/>
        <w:kinsoku/>
        <w:wordWrap/>
        <w:overflowPunct/>
        <w:topLinePunct w:val="0"/>
        <w:autoSpaceDE/>
        <w:autoSpaceDN/>
        <w:bidi w:val="0"/>
        <w:adjustRightInd/>
        <w:snapToGrid/>
        <w:spacing w:line="480" w:lineRule="exact"/>
      </w:pPr>
      <w:r>
        <w:rPr>
          <w:rFonts w:hint="eastAsia" w:ascii="仿宋_GB2312" w:eastAsia="仿宋_GB2312"/>
          <w:b w:val="0"/>
          <w:i w:val="0"/>
          <w:caps w:val="0"/>
          <w:color w:val="000000"/>
          <w:spacing w:val="0"/>
          <w:w w:val="100"/>
          <w:sz w:val="32"/>
          <w:szCs w:val="32"/>
        </w:rPr>
        <w:t>根据教育项目的行业特点和个性绩效指标，我们积极寻找绩效目标与指标的相关性，</w:t>
      </w:r>
      <w:r>
        <w:rPr>
          <w:rFonts w:hint="eastAsia" w:hAnsi="宋体" w:eastAsia="仿宋_GB2312" w:cs="宋体"/>
          <w:b w:val="0"/>
          <w:i w:val="0"/>
          <w:caps w:val="0"/>
          <w:color w:val="000000"/>
          <w:spacing w:val="0"/>
          <w:w w:val="100"/>
          <w:kern w:val="0"/>
          <w:sz w:val="32"/>
          <w:szCs w:val="32"/>
        </w:rPr>
        <w:t>增强评价指标反映项目绩效水平和绩效目标实现程度的全面性。</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640" w:firstLineChars="200"/>
        <w:outlineLvl w:val="1"/>
        <w:rPr>
          <w:rFonts w:hint="eastAsia" w:ascii="仿宋_GB2312" w:hAnsi="仿宋_GB2312" w:eastAsia="仿宋_GB2312" w:cs="仿宋_GB2312"/>
          <w:sz w:val="32"/>
          <w:szCs w:val="40"/>
        </w:rPr>
      </w:pPr>
      <w:bookmarkStart w:id="69" w:name="_Toc8288"/>
      <w:bookmarkStart w:id="70" w:name="_Toc16121"/>
      <w:bookmarkStart w:id="71" w:name="_Toc27199"/>
      <w:bookmarkStart w:id="72" w:name="_Toc27346"/>
      <w:bookmarkStart w:id="73" w:name="_Toc3910"/>
      <w:bookmarkStart w:id="74" w:name="_Toc16971"/>
      <w:bookmarkStart w:id="75" w:name="_Toc25746"/>
      <w:bookmarkStart w:id="76" w:name="_Toc30351"/>
      <w:bookmarkStart w:id="77" w:name="_Toc22727"/>
      <w:bookmarkStart w:id="78" w:name="_Toc18502"/>
      <w:r>
        <w:rPr>
          <w:rFonts w:hint="eastAsia" w:ascii="仿宋_GB2312" w:hAnsi="仿宋_GB2312" w:eastAsia="仿宋_GB2312" w:cs="仿宋_GB2312"/>
          <w:sz w:val="32"/>
          <w:szCs w:val="40"/>
        </w:rPr>
        <w:t>评价指标</w:t>
      </w:r>
      <w:bookmarkEnd w:id="69"/>
      <w:bookmarkEnd w:id="70"/>
      <w:bookmarkEnd w:id="71"/>
      <w:bookmarkEnd w:id="72"/>
      <w:bookmarkEnd w:id="73"/>
      <w:bookmarkEnd w:id="74"/>
      <w:bookmarkEnd w:id="75"/>
      <w:bookmarkEnd w:id="76"/>
      <w:bookmarkEnd w:id="77"/>
      <w:bookmarkEnd w:id="78"/>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rPr>
          <w:rFonts w:hint="eastAsia" w:ascii="仿宋_GB2312" w:eastAsia="仿宋_GB2312"/>
          <w:color w:val="000000"/>
          <w:sz w:val="32"/>
          <w:szCs w:val="32"/>
        </w:rPr>
      </w:pPr>
      <w:r>
        <w:rPr>
          <w:rFonts w:hint="eastAsia" w:ascii="仿宋_GB2312" w:eastAsia="仿宋_GB2312"/>
          <w:color w:val="000000"/>
          <w:sz w:val="32"/>
          <w:szCs w:val="32"/>
        </w:rPr>
        <w:t>依据绩效目标设定的绩效</w:t>
      </w:r>
      <w:r>
        <w:rPr>
          <w:rFonts w:hint="eastAsia" w:ascii="仿宋_GB2312" w:eastAsia="仿宋_GB2312"/>
          <w:color w:val="000000"/>
          <w:sz w:val="32"/>
          <w:szCs w:val="32"/>
          <w:lang w:val="en-US" w:eastAsia="zh-CN"/>
        </w:rPr>
        <w:t>评价</w:t>
      </w:r>
      <w:r>
        <w:rPr>
          <w:rFonts w:hint="eastAsia" w:ascii="仿宋_GB2312" w:eastAsia="仿宋_GB2312"/>
          <w:color w:val="000000"/>
          <w:sz w:val="32"/>
          <w:szCs w:val="32"/>
        </w:rPr>
        <w:t>指标清晰、细化、可衡量：主要表现在一是将项目绩效目标细化分解为具体的绩效</w:t>
      </w:r>
      <w:r>
        <w:rPr>
          <w:rFonts w:hint="eastAsia" w:ascii="仿宋_GB2312" w:eastAsia="仿宋_GB2312"/>
          <w:color w:val="000000"/>
          <w:sz w:val="32"/>
          <w:szCs w:val="32"/>
          <w:lang w:val="en-US" w:eastAsia="zh-CN"/>
        </w:rPr>
        <w:t>评价</w:t>
      </w:r>
      <w:r>
        <w:rPr>
          <w:rFonts w:hint="eastAsia" w:ascii="仿宋_GB2312" w:eastAsia="仿宋_GB2312"/>
          <w:color w:val="000000"/>
          <w:sz w:val="32"/>
          <w:szCs w:val="32"/>
        </w:rPr>
        <w:t>指标；二是通过清晰、可衡量的指标值予以体现。</w:t>
      </w:r>
    </w:p>
    <w:p>
      <w:pPr>
        <w:pStyle w:val="2"/>
        <w:keepNext w:val="0"/>
        <w:keepLines w:val="0"/>
        <w:pageBreakBefore w:val="0"/>
        <w:widowControl w:val="0"/>
        <w:kinsoku/>
        <w:wordWrap/>
        <w:overflowPunct/>
        <w:topLinePunct w:val="0"/>
        <w:autoSpaceDE/>
        <w:autoSpaceDN/>
        <w:bidi w:val="0"/>
        <w:adjustRightInd/>
        <w:snapToGrid/>
        <w:spacing w:line="480" w:lineRule="exac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产出指标：通过数据指标中设置清晰、可衡量的学校关键数据教师人数、学生人数，设置预期指标。质量指标以教师工资、绩效、奖励全年12个月发放月数为指标进行发放。时效指标，项目时间，进程按月进行支付，2022年12月前全部支付完成。成本指标按照公办教师工资、待遇标准进行执行。</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宋体" w:eastAsia="仿宋_GB2312" w:cs="Times New Roman"/>
          <w:color w:val="000000"/>
          <w:kern w:val="2"/>
          <w:sz w:val="32"/>
          <w:szCs w:val="32"/>
          <w:lang w:val="en-US" w:eastAsia="zh-CN" w:bidi="ar-SA"/>
        </w:rPr>
      </w:pPr>
      <w:r>
        <w:rPr>
          <w:rFonts w:hint="eastAsia" w:ascii="仿宋_GB2312" w:hAnsi="宋体" w:eastAsia="仿宋_GB2312" w:cs="Times New Roman"/>
          <w:color w:val="000000"/>
          <w:kern w:val="2"/>
          <w:sz w:val="32"/>
          <w:szCs w:val="32"/>
          <w:lang w:val="en-US" w:eastAsia="zh-CN" w:bidi="ar-SA"/>
        </w:rPr>
        <w:t>效益指标，通过经济效益指标中增加就业岗位，，刺激本地消费，带来经济效益。社会效益指标，通过高中学位数，解决初三毕业生读高中压力。生态效益指标，增加普通高中数量，与现有高中形成竞争，共创良好教育生态环境。可持续发展指标，学校的教师人数和所产生学位数都是可持续发展的。</w:t>
      </w:r>
    </w:p>
    <w:p>
      <w:pPr>
        <w:pStyle w:val="2"/>
        <w:keepNext w:val="0"/>
        <w:keepLines w:val="0"/>
        <w:pageBreakBefore w:val="0"/>
        <w:widowControl w:val="0"/>
        <w:kinsoku/>
        <w:wordWrap/>
        <w:overflowPunct/>
        <w:topLinePunct w:val="0"/>
        <w:autoSpaceDE/>
        <w:autoSpaceDN/>
        <w:bidi w:val="0"/>
        <w:adjustRightInd/>
        <w:snapToGrid/>
        <w:spacing w:line="480" w:lineRule="exact"/>
        <w:rPr>
          <w:rFonts w:hint="default"/>
          <w:lang w:val="en-US" w:eastAsia="zh-CN"/>
        </w:rPr>
      </w:pPr>
      <w:r>
        <w:rPr>
          <w:rFonts w:hint="eastAsia" w:ascii="仿宋_GB2312" w:eastAsia="仿宋_GB2312" w:cs="Times New Roman"/>
          <w:color w:val="000000"/>
          <w:kern w:val="2"/>
          <w:sz w:val="32"/>
          <w:szCs w:val="32"/>
          <w:lang w:val="en-US" w:eastAsia="zh-CN" w:bidi="ar-SA"/>
        </w:rPr>
        <w:t>满意度指标，通过师生的满意度调查进行评价，对满意度指标进行衡量。</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640" w:firstLineChars="200"/>
        <w:outlineLvl w:val="1"/>
        <w:rPr>
          <w:rFonts w:hint="eastAsia" w:ascii="仿宋_GB2312" w:hAnsi="仿宋_GB2312" w:eastAsia="仿宋_GB2312" w:cs="仿宋_GB2312"/>
          <w:sz w:val="32"/>
          <w:szCs w:val="40"/>
        </w:rPr>
      </w:pPr>
      <w:bookmarkStart w:id="79" w:name="_Toc5304"/>
      <w:bookmarkStart w:id="80" w:name="_Toc5587"/>
      <w:bookmarkStart w:id="81" w:name="_Toc11684"/>
      <w:bookmarkStart w:id="82" w:name="_Toc32306"/>
      <w:bookmarkStart w:id="83" w:name="_Toc12572"/>
      <w:bookmarkStart w:id="84" w:name="_Toc23270"/>
      <w:bookmarkStart w:id="85" w:name="_Toc19068"/>
      <w:bookmarkStart w:id="86" w:name="_Toc32241"/>
      <w:bookmarkStart w:id="87" w:name="_Toc19154"/>
      <w:bookmarkStart w:id="88" w:name="_Toc25343"/>
      <w:r>
        <w:rPr>
          <w:rFonts w:hint="eastAsia" w:ascii="仿宋_GB2312" w:hAnsi="仿宋_GB2312" w:eastAsia="仿宋_GB2312" w:cs="仿宋_GB2312"/>
          <w:sz w:val="32"/>
          <w:szCs w:val="40"/>
        </w:rPr>
        <w:t>评价依据</w:t>
      </w:r>
      <w:bookmarkEnd w:id="79"/>
      <w:bookmarkEnd w:id="80"/>
      <w:bookmarkEnd w:id="81"/>
      <w:bookmarkEnd w:id="82"/>
      <w:bookmarkEnd w:id="83"/>
      <w:bookmarkEnd w:id="84"/>
      <w:bookmarkEnd w:id="85"/>
      <w:bookmarkEnd w:id="86"/>
      <w:bookmarkEnd w:id="87"/>
      <w:bookmarkEnd w:id="88"/>
    </w:p>
    <w:p>
      <w:pPr>
        <w:pStyle w:val="2"/>
        <w:keepNext w:val="0"/>
        <w:keepLines w:val="0"/>
        <w:pageBreakBefore w:val="0"/>
        <w:widowControl w:val="0"/>
        <w:kinsoku/>
        <w:wordWrap/>
        <w:overflowPunct/>
        <w:topLinePunct w:val="0"/>
        <w:autoSpaceDE/>
        <w:autoSpaceDN/>
        <w:bidi w:val="0"/>
        <w:adjustRightInd/>
        <w:snapToGrid/>
        <w:spacing w:line="480" w:lineRule="exac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产出指标：数据指标通过，教师人数、学生人数，设置预期指标，与实际数据进行对比作为评价依据。质量指标以教师工资、绩效、奖励全年12个月发放月数为指标进行发放，以发放情况作为评价依据。时效指标，项目时间，进程按月进行支付，2022年12月前全部支付完成。成本指标按照公办教师工资、待遇标准执行情况进行评价。</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宋体" w:eastAsia="仿宋_GB2312" w:cs="Times New Roman"/>
          <w:color w:val="000000"/>
          <w:kern w:val="2"/>
          <w:sz w:val="32"/>
          <w:szCs w:val="32"/>
          <w:lang w:val="en-US" w:eastAsia="zh-CN" w:bidi="ar-SA"/>
        </w:rPr>
      </w:pPr>
      <w:r>
        <w:rPr>
          <w:rFonts w:hint="eastAsia" w:ascii="仿宋_GB2312" w:hAnsi="宋体" w:eastAsia="仿宋_GB2312" w:cs="Times New Roman"/>
          <w:color w:val="000000"/>
          <w:kern w:val="2"/>
          <w:sz w:val="32"/>
          <w:szCs w:val="32"/>
          <w:lang w:val="en-US" w:eastAsia="zh-CN" w:bidi="ar-SA"/>
        </w:rPr>
        <w:t>效益指标，通过经济效益指标中增加就业岗位数量，进行评价。社会效益指标，通过高中学位数量，进行评价。生态效益指标，增加普通高中数量，与现有高中形成竞争，共创良好教育生态环境情况进行评价。可持续发展指标，学校的教师人数和所产生学位数，随着每年毕业和招生的持续性作为评价依据。</w:t>
      </w:r>
    </w:p>
    <w:p>
      <w:pPr>
        <w:pStyle w:val="2"/>
        <w:keepNext w:val="0"/>
        <w:keepLines w:val="0"/>
        <w:pageBreakBefore w:val="0"/>
        <w:widowControl w:val="0"/>
        <w:kinsoku/>
        <w:wordWrap/>
        <w:overflowPunct/>
        <w:topLinePunct w:val="0"/>
        <w:autoSpaceDE/>
        <w:autoSpaceDN/>
        <w:bidi w:val="0"/>
        <w:adjustRightInd/>
        <w:snapToGrid/>
        <w:spacing w:line="480" w:lineRule="exact"/>
        <w:rPr>
          <w:rFonts w:hint="eastAsia" w:eastAsia="宋体"/>
          <w:lang w:val="en-US" w:eastAsia="zh-CN"/>
        </w:rPr>
      </w:pPr>
      <w:r>
        <w:rPr>
          <w:rFonts w:hint="eastAsia" w:ascii="仿宋_GB2312" w:eastAsia="仿宋_GB2312" w:cs="Times New Roman"/>
          <w:color w:val="000000"/>
          <w:kern w:val="2"/>
          <w:sz w:val="32"/>
          <w:szCs w:val="32"/>
          <w:lang w:val="en-US" w:eastAsia="zh-CN" w:bidi="ar-SA"/>
        </w:rPr>
        <w:t>满意度指标，通过师生的满意度调查进行评价，师生满意度情况作为评价依据。</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640" w:firstLineChars="200"/>
        <w:outlineLvl w:val="1"/>
        <w:rPr>
          <w:rFonts w:hint="eastAsia" w:ascii="仿宋_GB2312" w:eastAsia="仿宋_GB2312"/>
          <w:color w:val="000000"/>
          <w:sz w:val="32"/>
          <w:szCs w:val="32"/>
        </w:rPr>
      </w:pPr>
      <w:bookmarkStart w:id="89" w:name="_Toc11243"/>
      <w:bookmarkStart w:id="90" w:name="_Toc26780"/>
      <w:bookmarkStart w:id="91" w:name="_Toc12940"/>
      <w:bookmarkStart w:id="92" w:name="_Toc13179"/>
      <w:bookmarkStart w:id="93" w:name="_Toc22038"/>
      <w:bookmarkStart w:id="94" w:name="_Toc6747"/>
      <w:bookmarkStart w:id="95" w:name="_Toc24302"/>
      <w:bookmarkStart w:id="96" w:name="_Toc7393"/>
      <w:bookmarkStart w:id="97" w:name="_Toc1868"/>
      <w:bookmarkStart w:id="98" w:name="_Toc9401"/>
      <w:r>
        <w:rPr>
          <w:rFonts w:hint="eastAsia" w:ascii="仿宋_GB2312" w:hAnsi="仿宋_GB2312" w:eastAsia="仿宋_GB2312" w:cs="仿宋_GB2312"/>
          <w:sz w:val="32"/>
          <w:szCs w:val="40"/>
        </w:rPr>
        <w:t>评价的主要方法及等级设定</w:t>
      </w:r>
      <w:bookmarkEnd w:id="89"/>
      <w:bookmarkEnd w:id="90"/>
      <w:bookmarkEnd w:id="91"/>
      <w:bookmarkEnd w:id="92"/>
      <w:bookmarkEnd w:id="93"/>
      <w:bookmarkEnd w:id="94"/>
      <w:bookmarkEnd w:id="95"/>
      <w:bookmarkEnd w:id="96"/>
      <w:bookmarkEnd w:id="97"/>
      <w:bookmarkEnd w:id="98"/>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rPr>
          <w:rFonts w:hint="eastAsia" w:ascii="仿宋_GB2312" w:hAnsi="宋体" w:eastAsia="仿宋_GB2312" w:cs="宋体"/>
          <w:color w:val="000000"/>
          <w:kern w:val="0"/>
          <w:sz w:val="32"/>
          <w:szCs w:val="32"/>
        </w:rPr>
      </w:pPr>
      <w:r>
        <w:rPr>
          <w:rFonts w:hint="eastAsia" w:ascii="仿宋_GB2312" w:eastAsia="仿宋_GB2312"/>
          <w:color w:val="000000"/>
          <w:sz w:val="32"/>
          <w:szCs w:val="32"/>
        </w:rPr>
        <w:t>部门财政支出绩效评价是政府部门绩效考核的一项重要内容，是提高财政资金使用绩效的有力工具。我校十分重视，认真落实文件要求，积极组织和实施绩效自评工作，成立绩效自评小组，落实了专人负责绩效自评工作。</w:t>
      </w:r>
      <w:r>
        <w:rPr>
          <w:rFonts w:hint="eastAsia" w:hAnsi="宋体" w:eastAsia="仿宋_GB2312" w:cs="宋体"/>
          <w:color w:val="000000"/>
          <w:kern w:val="0"/>
          <w:sz w:val="32"/>
          <w:szCs w:val="32"/>
        </w:rPr>
        <w:t>认真撰写自评报告，</w:t>
      </w:r>
      <w:r>
        <w:rPr>
          <w:rFonts w:hint="eastAsia" w:ascii="仿宋_GB2312" w:hAnsi="宋体" w:eastAsia="仿宋_GB2312" w:cs="宋体"/>
          <w:color w:val="000000"/>
          <w:kern w:val="0"/>
          <w:sz w:val="32"/>
          <w:szCs w:val="32"/>
        </w:rPr>
        <w:t>严格按统一格式和要求撰写，完整、清晰、具体地反映项目资金、项目实施及绩效情况。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640" w:firstLineChars="200"/>
        <w:textAlignment w:val="center"/>
        <w:rPr>
          <w:rFonts w:hint="eastAsia" w:hAnsi="宋体" w:eastAsia="仿宋_GB2312" w:cs="宋体"/>
          <w:color w:val="000000"/>
          <w:kern w:val="0"/>
          <w:sz w:val="32"/>
          <w:szCs w:val="32"/>
        </w:rPr>
      </w:pPr>
      <w:r>
        <w:rPr>
          <w:rFonts w:hint="eastAsia" w:ascii="仿宋_GB2312" w:eastAsia="仿宋_GB2312"/>
          <w:color w:val="000000"/>
          <w:sz w:val="32"/>
          <w:szCs w:val="32"/>
        </w:rPr>
        <w:t>根据教育项目的行业特点和个性绩效指标，我们积极寻找绩效目标与指标的相关性，</w:t>
      </w:r>
      <w:r>
        <w:rPr>
          <w:rFonts w:hint="eastAsia" w:hAnsi="宋体" w:eastAsia="仿宋_GB2312" w:cs="宋体"/>
          <w:color w:val="000000"/>
          <w:kern w:val="0"/>
          <w:sz w:val="32"/>
          <w:szCs w:val="32"/>
        </w:rPr>
        <w:t>增强评价指标反映项目绩效水平和绩效目标实现程度的全面性。</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pPr>
      <w:r>
        <w:rPr>
          <w:rFonts w:hint="eastAsia" w:hAnsi="宋体" w:eastAsia="仿宋_GB2312" w:cs="宋体"/>
          <w:color w:val="000000"/>
          <w:kern w:val="0"/>
          <w:sz w:val="32"/>
          <w:szCs w:val="32"/>
          <w:lang w:val="en-US" w:eastAsia="zh-CN"/>
        </w:rPr>
        <w:t>评价等级设置为：优秀85分以上（含85分）、良好75分-85分（含75分）、合格60分-75分（含60分）、不合格（60分以下）四个等级。</w:t>
      </w:r>
    </w:p>
    <w:p>
      <w:pPr>
        <w:rPr>
          <w:rFonts w:hint="eastAsia"/>
        </w:rPr>
      </w:pP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pPr>
      <w:r>
        <w:rPr>
          <w:rFonts w:hint="eastAsia" w:hAnsi="宋体" w:eastAsia="仿宋_GB2312" w:cs="宋体"/>
          <w:color w:val="000000"/>
          <w:kern w:val="0"/>
          <w:sz w:val="32"/>
          <w:szCs w:val="32"/>
          <w:lang w:val="en-US" w:eastAsia="zh-CN"/>
        </w:rPr>
        <w:t>评价等级为优秀，得分93.6分。</w:t>
      </w:r>
    </w:p>
    <w:p>
      <w:pPr>
        <w:spacing w:line="580" w:lineRule="exact"/>
        <w:ind w:firstLine="643" w:firstLineChars="200"/>
        <w:outlineLvl w:val="0"/>
        <w:rPr>
          <w:rFonts w:hint="eastAsia" w:ascii="仿宋_GB2312" w:hAnsi="仿宋_GB2312" w:eastAsia="仿宋_GB2312" w:cs="仿宋_GB2312"/>
          <w:b/>
          <w:bCs/>
          <w:sz w:val="32"/>
          <w:szCs w:val="40"/>
        </w:rPr>
      </w:pPr>
      <w:bookmarkStart w:id="99" w:name="_Toc20748"/>
      <w:bookmarkStart w:id="100" w:name="_Toc18842"/>
      <w:bookmarkStart w:id="101" w:name="_Toc5623"/>
      <w:bookmarkStart w:id="102" w:name="_Toc28621"/>
      <w:bookmarkStart w:id="103" w:name="_Toc17025"/>
      <w:bookmarkStart w:id="104" w:name="_Toc10113"/>
      <w:bookmarkStart w:id="105" w:name="_Toc22222"/>
      <w:bookmarkStart w:id="106" w:name="_Toc6105"/>
      <w:bookmarkStart w:id="107" w:name="_Toc30508"/>
      <w:bookmarkStart w:id="108" w:name="_Toc21014"/>
    </w:p>
    <w:p>
      <w:pPr>
        <w:spacing w:line="580" w:lineRule="exact"/>
        <w:ind w:firstLine="643" w:firstLineChars="200"/>
        <w:outlineLvl w:val="0"/>
        <w:rPr>
          <w:rFonts w:hint="eastAsia" w:ascii="仿宋_GB2312" w:hAnsi="仿宋_GB2312" w:eastAsia="仿宋_GB2312" w:cs="仿宋_GB2312"/>
          <w:b/>
          <w:bCs/>
          <w:sz w:val="32"/>
          <w:szCs w:val="40"/>
        </w:rPr>
      </w:pPr>
    </w:p>
    <w:p>
      <w:pPr>
        <w:spacing w:line="580" w:lineRule="exact"/>
        <w:ind w:firstLine="643" w:firstLineChars="200"/>
        <w:outlineLvl w:val="0"/>
        <w:rPr>
          <w:rFonts w:ascii="仿宋_GB2312" w:hAnsi="仿宋_GB2312" w:eastAsia="仿宋_GB2312" w:cs="仿宋_GB2312"/>
        </w:rPr>
      </w:pPr>
      <w:r>
        <w:rPr>
          <w:rFonts w:hint="eastAsia" w:ascii="仿宋_GB2312" w:hAnsi="仿宋_GB2312" w:eastAsia="仿宋_GB2312" w:cs="仿宋_GB2312"/>
          <w:b/>
          <w:bCs/>
          <w:sz w:val="32"/>
          <w:szCs w:val="40"/>
        </w:rPr>
        <w:t>四、绩效评价指标体系及得分情况</w:t>
      </w:r>
      <w:bookmarkEnd w:id="99"/>
      <w:bookmarkEnd w:id="100"/>
      <w:bookmarkEnd w:id="101"/>
      <w:bookmarkEnd w:id="102"/>
      <w:bookmarkEnd w:id="103"/>
      <w:bookmarkEnd w:id="104"/>
      <w:bookmarkEnd w:id="105"/>
      <w:bookmarkEnd w:id="106"/>
      <w:bookmarkEnd w:id="107"/>
      <w:bookmarkEnd w:id="108"/>
    </w:p>
    <w:p>
      <w:pPr>
        <w:ind w:firstLine="2080" w:firstLineChars="740"/>
      </w:pPr>
      <w:r>
        <w:rPr>
          <w:rFonts w:hint="eastAsia" w:ascii="仿宋_GB2312" w:hAnsi="仿宋_GB2312" w:eastAsia="仿宋_GB2312" w:cs="仿宋_GB2312"/>
          <w:b/>
          <w:color w:val="000000"/>
          <w:kern w:val="0"/>
          <w:sz w:val="28"/>
          <w:szCs w:val="28"/>
          <w:lang w:val="en-US" w:eastAsia="zh-CN"/>
        </w:rPr>
        <w:t>唐尧中学</w:t>
      </w:r>
      <w:r>
        <w:rPr>
          <w:rFonts w:hint="eastAsia" w:ascii="仿宋_GB2312" w:hAnsi="仿宋_GB2312" w:eastAsia="仿宋_GB2312" w:cs="仿宋_GB2312"/>
          <w:b/>
          <w:color w:val="000000"/>
          <w:kern w:val="0"/>
          <w:sz w:val="28"/>
          <w:szCs w:val="28"/>
        </w:rPr>
        <w:t>项目重点绩效评价指标表</w:t>
      </w:r>
    </w:p>
    <w:tbl>
      <w:tblPr>
        <w:tblStyle w:val="7"/>
        <w:tblW w:w="9098" w:type="dxa"/>
        <w:tblInd w:w="-130" w:type="dxa"/>
        <w:tblLayout w:type="fixed"/>
        <w:tblCellMar>
          <w:top w:w="0" w:type="dxa"/>
          <w:left w:w="0" w:type="dxa"/>
          <w:bottom w:w="0" w:type="dxa"/>
          <w:right w:w="0" w:type="dxa"/>
        </w:tblCellMar>
      </w:tblPr>
      <w:tblGrid>
        <w:gridCol w:w="1276"/>
        <w:gridCol w:w="491"/>
        <w:gridCol w:w="2498"/>
        <w:gridCol w:w="426"/>
        <w:gridCol w:w="3696"/>
        <w:gridCol w:w="711"/>
      </w:tblGrid>
      <w:tr>
        <w:tblPrEx>
          <w:tblCellMar>
            <w:top w:w="0" w:type="dxa"/>
            <w:left w:w="0" w:type="dxa"/>
            <w:bottom w:w="0" w:type="dxa"/>
            <w:right w:w="0" w:type="dxa"/>
          </w:tblCellMar>
        </w:tblPrEx>
        <w:trPr>
          <w:trHeight w:val="590" w:hRule="atLeast"/>
        </w:trPr>
        <w:tc>
          <w:tcPr>
            <w:tcW w:w="1276"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一级指标  </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二级指标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 三级指标</w:t>
            </w:r>
          </w:p>
        </w:tc>
        <w:tc>
          <w:tcPr>
            <w:tcW w:w="426" w:type="dxa"/>
            <w:vMerge w:val="restart"/>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分值</w:t>
            </w:r>
          </w:p>
        </w:tc>
        <w:tc>
          <w:tcPr>
            <w:tcW w:w="369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指标说明</w:t>
            </w:r>
          </w:p>
        </w:tc>
        <w:tc>
          <w:tcPr>
            <w:tcW w:w="71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得分</w:t>
            </w:r>
          </w:p>
        </w:tc>
      </w:tr>
      <w:tr>
        <w:tblPrEx>
          <w:tblCellMar>
            <w:top w:w="0" w:type="dxa"/>
            <w:left w:w="0" w:type="dxa"/>
            <w:bottom w:w="0" w:type="dxa"/>
            <w:right w:w="0" w:type="dxa"/>
          </w:tblCellMar>
        </w:tblPrEx>
        <w:trPr>
          <w:trHeight w:val="34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26" w:type="dxa"/>
            <w:vMerge w:val="continue"/>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369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71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b/>
                <w:color w:val="000000"/>
                <w:sz w:val="24"/>
              </w:rPr>
            </w:pPr>
          </w:p>
        </w:tc>
      </w:tr>
      <w:tr>
        <w:tblPrEx>
          <w:tblCellMar>
            <w:top w:w="0" w:type="dxa"/>
            <w:left w:w="0" w:type="dxa"/>
            <w:bottom w:w="0" w:type="dxa"/>
            <w:right w:w="0" w:type="dxa"/>
          </w:tblCellMar>
        </w:tblPrEx>
        <w:trPr>
          <w:trHeight w:val="666"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“工作活动”设置（</w:t>
            </w:r>
            <w:r>
              <w:rPr>
                <w:rFonts w:hint="eastAsia" w:ascii="仿宋_GB2312" w:hAnsi="仿宋_GB2312" w:eastAsia="仿宋_GB2312" w:cs="仿宋_GB2312"/>
                <w:color w:val="000000"/>
                <w:kern w:val="0"/>
                <w:sz w:val="22"/>
                <w:szCs w:val="22"/>
                <w:lang w:val="en-US" w:eastAsia="zh-CN"/>
              </w:rPr>
              <w:t>30</w:t>
            </w:r>
            <w:r>
              <w:rPr>
                <w:rFonts w:hint="eastAsia" w:ascii="仿宋_GB2312" w:hAnsi="仿宋_GB2312" w:eastAsia="仿宋_GB2312" w:cs="仿宋_GB2312"/>
                <w:color w:val="000000"/>
                <w:kern w:val="0"/>
                <w:sz w:val="22"/>
                <w:szCs w:val="22"/>
              </w:rPr>
              <w:t>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项目立项情况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是否符合政府经济和社会总体发展规划</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10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有政府相关政策、规划、任务等文件得</w:t>
            </w:r>
            <w:r>
              <w:rPr>
                <w:rFonts w:hint="eastAsia" w:ascii="仿宋_GB2312" w:hAnsi="仿宋_GB2312" w:eastAsia="仿宋_GB2312" w:cs="仿宋_GB2312"/>
                <w:color w:val="000000"/>
                <w:kern w:val="0"/>
                <w:sz w:val="22"/>
                <w:szCs w:val="22"/>
                <w:lang w:val="en-US" w:eastAsia="zh-CN"/>
              </w:rPr>
              <w:t>10</w:t>
            </w:r>
            <w:r>
              <w:rPr>
                <w:rFonts w:hint="eastAsia" w:ascii="仿宋_GB2312" w:hAnsi="仿宋_GB2312" w:eastAsia="仿宋_GB2312" w:cs="仿宋_GB2312"/>
                <w:color w:val="000000"/>
                <w:kern w:val="0"/>
                <w:sz w:val="22"/>
                <w:szCs w:val="22"/>
              </w:rPr>
              <w:t>分；无不得分。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10</w:t>
            </w:r>
          </w:p>
        </w:tc>
      </w:tr>
      <w:tr>
        <w:tblPrEx>
          <w:tblCellMar>
            <w:top w:w="0" w:type="dxa"/>
            <w:left w:w="0" w:type="dxa"/>
            <w:bottom w:w="0" w:type="dxa"/>
            <w:right w:w="0" w:type="dxa"/>
          </w:tblCellMar>
        </w:tblPrEx>
        <w:trPr>
          <w:trHeight w:val="1174"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项目活动与职责相关性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工作活动与部门职责、工作规划和重点工作相关，工作活动项下确定的预算项目合理，与工作活动密切相关，工作活动和项目预算安排合理，得</w:t>
            </w:r>
            <w:r>
              <w:rPr>
                <w:rFonts w:hint="eastAsia" w:ascii="仿宋_GB2312" w:hAnsi="仿宋_GB2312" w:eastAsia="仿宋_GB2312" w:cs="仿宋_GB2312"/>
                <w:color w:val="000000"/>
                <w:kern w:val="0"/>
                <w:sz w:val="22"/>
                <w:szCs w:val="22"/>
                <w:lang w:val="en-US" w:eastAsia="zh-CN"/>
              </w:rPr>
              <w:t>5</w:t>
            </w:r>
            <w:r>
              <w:rPr>
                <w:rFonts w:hint="eastAsia" w:ascii="仿宋_GB2312" w:hAnsi="仿宋_GB2312" w:eastAsia="仿宋_GB2312" w:cs="仿宋_GB2312"/>
                <w:color w:val="000000"/>
                <w:kern w:val="0"/>
                <w:sz w:val="22"/>
                <w:szCs w:val="22"/>
              </w:rPr>
              <w:t>分；否则不得分。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r>
      <w:tr>
        <w:tblPrEx>
          <w:tblCellMar>
            <w:top w:w="0" w:type="dxa"/>
            <w:left w:w="0" w:type="dxa"/>
            <w:bottom w:w="0" w:type="dxa"/>
            <w:right w:w="0" w:type="dxa"/>
          </w:tblCellMar>
        </w:tblPrEx>
        <w:trPr>
          <w:trHeight w:val="569"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绩效自评情况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项目设立绩效目标合理性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8</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②是否通过清晰、可衡量的指标值予以体现；</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③是否与项目年度任务数或计划数相对应；</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④是否与预算确定的项目投资额或资金量相匹配。</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缺少一项扣</w:t>
            </w:r>
            <w:r>
              <w:rPr>
                <w:rFonts w:hint="eastAsia" w:ascii="仿宋_GB2312" w:hAnsi="仿宋_GB2312" w:eastAsia="仿宋_GB2312" w:cs="仿宋_GB2312"/>
                <w:color w:val="000000"/>
                <w:kern w:val="0"/>
                <w:sz w:val="22"/>
                <w:szCs w:val="22"/>
                <w:lang w:val="en-US" w:eastAsia="zh-CN"/>
              </w:rPr>
              <w:t>2</w:t>
            </w:r>
            <w:r>
              <w:rPr>
                <w:rFonts w:hint="eastAsia" w:ascii="仿宋_GB2312" w:hAnsi="仿宋_GB2312" w:eastAsia="仿宋_GB2312" w:cs="仿宋_GB2312"/>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6</w:t>
            </w:r>
          </w:p>
        </w:tc>
      </w:tr>
      <w:tr>
        <w:tblPrEx>
          <w:tblCellMar>
            <w:top w:w="0" w:type="dxa"/>
            <w:left w:w="0" w:type="dxa"/>
            <w:bottom w:w="0" w:type="dxa"/>
            <w:right w:w="0" w:type="dxa"/>
          </w:tblCellMar>
        </w:tblPrEx>
        <w:trPr>
          <w:trHeight w:val="147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自评报告情况</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7</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是否有绩效评价报告，报告是否依据充分、内容真实完整；数据准确、分析透彻。每存在一项问题扣</w:t>
            </w:r>
            <w:r>
              <w:rPr>
                <w:rFonts w:hint="eastAsia" w:ascii="仿宋_GB2312" w:hAnsi="仿宋_GB2312" w:eastAsia="仿宋_GB2312" w:cs="仿宋_GB2312"/>
                <w:color w:val="000000"/>
                <w:kern w:val="0"/>
                <w:sz w:val="22"/>
                <w:szCs w:val="22"/>
                <w:lang w:val="en-US" w:eastAsia="zh-CN"/>
              </w:rPr>
              <w:t>1</w:t>
            </w:r>
            <w:r>
              <w:rPr>
                <w:rFonts w:hint="eastAsia" w:ascii="仿宋_GB2312" w:hAnsi="仿宋_GB2312" w:eastAsia="仿宋_GB2312" w:cs="仿宋_GB2312"/>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r>
      <w:tr>
        <w:tblPrEx>
          <w:tblCellMar>
            <w:top w:w="0" w:type="dxa"/>
            <w:left w:w="0" w:type="dxa"/>
            <w:bottom w:w="0" w:type="dxa"/>
            <w:right w:w="0" w:type="dxa"/>
          </w:tblCellMar>
        </w:tblPrEx>
        <w:trPr>
          <w:trHeight w:val="1029"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“工作活动”管理（</w:t>
            </w:r>
            <w:r>
              <w:rPr>
                <w:rFonts w:hint="eastAsia" w:ascii="仿宋_GB2312" w:hAnsi="仿宋_GB2312" w:eastAsia="仿宋_GB2312" w:cs="仿宋_GB2312"/>
                <w:color w:val="000000"/>
                <w:kern w:val="0"/>
                <w:sz w:val="22"/>
                <w:szCs w:val="22"/>
                <w:lang w:val="en-US" w:eastAsia="zh-CN"/>
              </w:rPr>
              <w:t>30</w:t>
            </w:r>
            <w:r>
              <w:rPr>
                <w:rFonts w:hint="eastAsia" w:ascii="仿宋_GB2312" w:hAnsi="仿宋_GB2312" w:eastAsia="仿宋_GB2312" w:cs="仿宋_GB2312"/>
                <w:color w:val="000000"/>
                <w:kern w:val="0"/>
                <w:sz w:val="22"/>
                <w:szCs w:val="22"/>
              </w:rPr>
              <w:t>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预算调整率=（预算调整数/预算数）×100%。预算调整率每大于1%扣</w:t>
            </w:r>
            <w:r>
              <w:rPr>
                <w:rFonts w:hint="eastAsia" w:ascii="仿宋_GB2312" w:hAnsi="仿宋_GB2312" w:eastAsia="仿宋_GB2312" w:cs="仿宋_GB2312"/>
                <w:color w:val="000000"/>
                <w:kern w:val="0"/>
                <w:sz w:val="22"/>
                <w:szCs w:val="22"/>
                <w:lang w:val="en-US" w:eastAsia="zh-CN"/>
              </w:rPr>
              <w:t>1</w:t>
            </w:r>
            <w:r>
              <w:rPr>
                <w:rFonts w:hint="eastAsia" w:ascii="仿宋_GB2312" w:hAnsi="仿宋_GB2312" w:eastAsia="仿宋_GB2312" w:cs="仿宋_GB2312"/>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r>
      <w:tr>
        <w:tblPrEx>
          <w:tblCellMar>
            <w:top w:w="0" w:type="dxa"/>
            <w:left w:w="0" w:type="dxa"/>
            <w:bottom w:w="0" w:type="dxa"/>
            <w:right w:w="0" w:type="dxa"/>
          </w:tblCellMar>
        </w:tblPrEx>
        <w:trPr>
          <w:trHeight w:val="1029" w:hRule="atLeast"/>
        </w:trPr>
        <w:tc>
          <w:tcPr>
            <w:tcW w:w="1276" w:type="dxa"/>
            <w:vMerge w:val="continue"/>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资金使用合规性</w:t>
            </w: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10</w:t>
            </w:r>
          </w:p>
        </w:tc>
        <w:tc>
          <w:tcPr>
            <w:tcW w:w="3696"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项目资金使用是否符合国家财经法规及相关的财务管理制度规定，资金支出程序是否规范,报账手续是否齐全。每存在一项不合规问题扣</w:t>
            </w:r>
            <w:r>
              <w:rPr>
                <w:rFonts w:hint="eastAsia" w:ascii="仿宋_GB2312" w:hAnsi="仿宋_GB2312" w:eastAsia="仿宋_GB2312" w:cs="仿宋_GB2312"/>
                <w:color w:val="000000"/>
                <w:kern w:val="0"/>
                <w:sz w:val="22"/>
                <w:szCs w:val="22"/>
                <w:lang w:val="en-US" w:eastAsia="zh-CN"/>
              </w:rPr>
              <w:t>1</w:t>
            </w:r>
            <w:r>
              <w:rPr>
                <w:rFonts w:hint="eastAsia" w:ascii="仿宋_GB2312" w:hAnsi="仿宋_GB2312" w:eastAsia="仿宋_GB2312" w:cs="仿宋_GB2312"/>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10</w:t>
            </w:r>
          </w:p>
        </w:tc>
      </w:tr>
      <w:tr>
        <w:tblPrEx>
          <w:tblCellMar>
            <w:top w:w="0" w:type="dxa"/>
            <w:left w:w="0" w:type="dxa"/>
            <w:bottom w:w="0" w:type="dxa"/>
            <w:right w:w="0" w:type="dxa"/>
          </w:tblCellMar>
        </w:tblPrEx>
        <w:trPr>
          <w:trHeight w:val="836"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会计核算规范性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会计核算是否符合《会计法》、《政府会计制度》、《会计基础工作规范》等法律法规和相关制度规定。每存在一项不合规问题扣</w:t>
            </w:r>
            <w:r>
              <w:rPr>
                <w:rFonts w:hint="eastAsia" w:ascii="仿宋_GB2312" w:hAnsi="仿宋_GB2312" w:eastAsia="仿宋_GB2312" w:cs="仿宋_GB2312"/>
                <w:color w:val="000000"/>
                <w:kern w:val="0"/>
                <w:sz w:val="22"/>
                <w:szCs w:val="22"/>
                <w:lang w:val="en-US" w:eastAsia="zh-CN"/>
              </w:rPr>
              <w:t>1</w:t>
            </w:r>
            <w:r>
              <w:rPr>
                <w:rFonts w:hint="eastAsia" w:ascii="仿宋_GB2312" w:hAnsi="仿宋_GB2312" w:eastAsia="仿宋_GB2312" w:cs="仿宋_GB2312"/>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r>
      <w:tr>
        <w:tblPrEx>
          <w:tblCellMar>
            <w:top w:w="0" w:type="dxa"/>
            <w:left w:w="0" w:type="dxa"/>
            <w:bottom w:w="0" w:type="dxa"/>
            <w:right w:w="0" w:type="dxa"/>
          </w:tblCellMar>
        </w:tblPrEx>
        <w:trPr>
          <w:trHeight w:val="1755"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项目责任机制是否健全</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是否建立责任机制，项目管理和责任落实到有关人。每存在一项问题扣</w:t>
            </w:r>
            <w:r>
              <w:rPr>
                <w:rFonts w:hint="eastAsia" w:ascii="仿宋_GB2312" w:hAnsi="仿宋_GB2312" w:eastAsia="仿宋_GB2312" w:cs="仿宋_GB2312"/>
                <w:color w:val="000000"/>
                <w:kern w:val="0"/>
                <w:sz w:val="22"/>
                <w:szCs w:val="22"/>
                <w:lang w:val="en-US" w:eastAsia="zh-CN"/>
              </w:rPr>
              <w:t>1</w:t>
            </w:r>
            <w:r>
              <w:rPr>
                <w:rFonts w:hint="eastAsia" w:ascii="仿宋_GB2312" w:hAnsi="仿宋_GB2312" w:eastAsia="仿宋_GB2312" w:cs="仿宋_GB2312"/>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r>
      <w:tr>
        <w:tblPrEx>
          <w:tblCellMar>
            <w:top w:w="0" w:type="dxa"/>
            <w:left w:w="0" w:type="dxa"/>
            <w:bottom w:w="0" w:type="dxa"/>
            <w:right w:w="0" w:type="dxa"/>
          </w:tblCellMar>
        </w:tblPrEx>
        <w:trPr>
          <w:trHeight w:val="762"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管理制度健全性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制定管理制度和措施（包括财务制度）是否明确、清晰、具有可操作性，能否保障工作活动顺利实施。每缺少一项制度扣</w:t>
            </w:r>
            <w:r>
              <w:rPr>
                <w:rFonts w:hint="eastAsia" w:ascii="仿宋_GB2312" w:hAnsi="仿宋_GB2312" w:eastAsia="仿宋_GB2312" w:cs="仿宋_GB2312"/>
                <w:color w:val="000000"/>
                <w:kern w:val="0"/>
                <w:sz w:val="22"/>
                <w:szCs w:val="22"/>
                <w:lang w:val="en-US" w:eastAsia="zh-CN"/>
              </w:rPr>
              <w:t>1</w:t>
            </w:r>
            <w:r>
              <w:rPr>
                <w:rFonts w:hint="eastAsia" w:ascii="仿宋_GB2312" w:hAnsi="仿宋_GB2312" w:eastAsia="仿宋_GB2312" w:cs="仿宋_GB2312"/>
                <w:color w:val="000000"/>
                <w:kern w:val="0"/>
                <w:sz w:val="22"/>
                <w:szCs w:val="22"/>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r>
      <w:tr>
        <w:tblPrEx>
          <w:tblCellMar>
            <w:top w:w="0" w:type="dxa"/>
            <w:left w:w="0" w:type="dxa"/>
            <w:bottom w:w="0" w:type="dxa"/>
            <w:right w:w="0" w:type="dxa"/>
          </w:tblCellMar>
        </w:tblPrEx>
        <w:trPr>
          <w:trHeight w:val="501" w:hRule="atLeast"/>
        </w:trPr>
        <w:tc>
          <w:tcPr>
            <w:tcW w:w="1276" w:type="dxa"/>
            <w:vMerge w:val="restart"/>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“工作活动”产出（</w:t>
            </w:r>
            <w:r>
              <w:rPr>
                <w:rFonts w:hint="eastAsia" w:ascii="仿宋_GB2312" w:hAnsi="仿宋_GB2312" w:eastAsia="仿宋_GB2312" w:cs="仿宋_GB2312"/>
                <w:color w:val="000000"/>
                <w:kern w:val="0"/>
                <w:sz w:val="22"/>
                <w:szCs w:val="22"/>
                <w:lang w:val="en-US" w:eastAsia="zh-CN"/>
              </w:rPr>
              <w:t>30</w:t>
            </w:r>
            <w:r>
              <w:rPr>
                <w:rFonts w:hint="eastAsia" w:ascii="仿宋_GB2312" w:hAnsi="仿宋_GB2312" w:eastAsia="仿宋_GB2312" w:cs="仿宋_GB2312"/>
                <w:color w:val="000000"/>
                <w:kern w:val="0"/>
                <w:sz w:val="22"/>
                <w:szCs w:val="22"/>
              </w:rPr>
              <w:t>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数量指标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ascii="仿宋_GB2312" w:hAnsi="仿宋_GB2312" w:eastAsia="仿宋_GB2312" w:cs="仿宋_GB2312"/>
                <w:color w:val="000000"/>
                <w:sz w:val="22"/>
                <w:szCs w:val="22"/>
              </w:rPr>
            </w:pPr>
            <w:r>
              <w:rPr>
                <w:rFonts w:hint="eastAsia" w:ascii="宋体" w:hAnsi="宋体" w:eastAsia="宋体" w:cs="宋体"/>
                <w:i w:val="0"/>
                <w:iCs w:val="0"/>
                <w:color w:val="000000"/>
                <w:kern w:val="0"/>
                <w:sz w:val="18"/>
                <w:szCs w:val="18"/>
                <w:u w:val="none"/>
                <w:lang w:val="en-US" w:eastAsia="zh-CN" w:bidi="ar"/>
              </w:rPr>
              <w:t>教师人数</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人事代理教师在职人数，年末在职教师人数/年初在职教师人数</w:t>
            </w:r>
            <w:r>
              <w:rPr>
                <w:rFonts w:hint="eastAsia" w:ascii="仿宋_GB2312" w:hAnsi="仿宋_GB2312" w:eastAsia="仿宋_GB2312" w:cs="仿宋_GB2312"/>
                <w:color w:val="000000"/>
                <w:kern w:val="0"/>
                <w:sz w:val="22"/>
                <w:szCs w:val="22"/>
              </w:rPr>
              <w:t>×</w:t>
            </w:r>
            <w:r>
              <w:rPr>
                <w:rFonts w:hint="eastAsia" w:ascii="仿宋_GB2312" w:hAnsi="仿宋_GB2312" w:eastAsia="仿宋_GB2312" w:cs="仿宋_GB2312"/>
                <w:color w:val="000000"/>
                <w:kern w:val="0"/>
                <w:sz w:val="22"/>
                <w:szCs w:val="22"/>
                <w:lang w:val="en-US" w:eastAsia="zh-CN"/>
              </w:rPr>
              <w:t>5为所得分数。</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4.6</w:t>
            </w:r>
          </w:p>
        </w:tc>
      </w:tr>
      <w:tr>
        <w:tblPrEx>
          <w:tblCellMar>
            <w:top w:w="0" w:type="dxa"/>
            <w:left w:w="0" w:type="dxa"/>
            <w:bottom w:w="0" w:type="dxa"/>
            <w:right w:w="0" w:type="dxa"/>
          </w:tblCellMar>
        </w:tblPrEx>
        <w:trPr>
          <w:trHeight w:val="573"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ascii="仿宋_GB2312" w:hAnsi="仿宋_GB2312" w:eastAsia="仿宋_GB2312" w:cs="仿宋_GB2312"/>
                <w:color w:val="000000"/>
                <w:sz w:val="22"/>
                <w:szCs w:val="22"/>
              </w:rPr>
            </w:pPr>
            <w:r>
              <w:rPr>
                <w:rFonts w:hint="eastAsia" w:ascii="宋体" w:hAnsi="宋体" w:eastAsia="宋体" w:cs="宋体"/>
                <w:i w:val="0"/>
                <w:iCs w:val="0"/>
                <w:color w:val="000000"/>
                <w:kern w:val="0"/>
                <w:sz w:val="18"/>
                <w:szCs w:val="18"/>
                <w:u w:val="none"/>
                <w:lang w:val="en-US" w:eastAsia="zh-CN" w:bidi="ar"/>
              </w:rPr>
              <w:t>学生人数</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按照人事代理教师人数按照1:12.5的师生比例，计算高中学生人数，学生数每少100人，扣1分，扣完为止。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r>
      <w:tr>
        <w:tblPrEx>
          <w:tblCellMar>
            <w:top w:w="0" w:type="dxa"/>
            <w:left w:w="0" w:type="dxa"/>
            <w:bottom w:w="0" w:type="dxa"/>
            <w:right w:w="0" w:type="dxa"/>
          </w:tblCellMar>
        </w:tblPrEx>
        <w:trPr>
          <w:trHeight w:val="647"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质量指标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工资、奖励、绩效发放到位</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10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教师工资、奖励、绩效按月发放，严格按照教育、人事部门审批文件执行，每存在一项问题扣1分，扣完为止。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10</w:t>
            </w:r>
          </w:p>
        </w:tc>
      </w:tr>
      <w:tr>
        <w:tblPrEx>
          <w:tblCellMar>
            <w:top w:w="0" w:type="dxa"/>
            <w:left w:w="0" w:type="dxa"/>
            <w:bottom w:w="0" w:type="dxa"/>
            <w:right w:w="0" w:type="dxa"/>
          </w:tblCellMar>
        </w:tblPrEx>
        <w:trPr>
          <w:trHeight w:val="591"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时效指标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项目时间</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10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严格按照项目截止日期，在2022年12月31日前完成支付项目，每延迟一个月扣2分，扣完为止。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10</w:t>
            </w:r>
          </w:p>
        </w:tc>
      </w:tr>
      <w:tr>
        <w:tblPrEx>
          <w:tblCellMar>
            <w:top w:w="0" w:type="dxa"/>
            <w:left w:w="0" w:type="dxa"/>
            <w:bottom w:w="0" w:type="dxa"/>
            <w:right w:w="0" w:type="dxa"/>
          </w:tblCellMar>
        </w:tblPrEx>
        <w:trPr>
          <w:trHeight w:val="408" w:hRule="atLeast"/>
        </w:trPr>
        <w:tc>
          <w:tcPr>
            <w:tcW w:w="1276"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“工作活动”效果（</w:t>
            </w:r>
            <w:r>
              <w:rPr>
                <w:rFonts w:hint="eastAsia" w:ascii="仿宋_GB2312" w:hAnsi="仿宋_GB2312" w:eastAsia="仿宋_GB2312" w:cs="仿宋_GB2312"/>
                <w:color w:val="000000"/>
                <w:kern w:val="0"/>
                <w:sz w:val="22"/>
                <w:szCs w:val="22"/>
                <w:lang w:val="en-US" w:eastAsia="zh-CN"/>
              </w:rPr>
              <w:t>10</w:t>
            </w:r>
            <w:r>
              <w:rPr>
                <w:rFonts w:hint="eastAsia" w:ascii="仿宋_GB2312" w:hAnsi="仿宋_GB2312" w:eastAsia="仿宋_GB2312" w:cs="仿宋_GB2312"/>
                <w:color w:val="000000"/>
                <w:sz w:val="22"/>
                <w:szCs w:val="22"/>
              </w:rPr>
              <w:t>分）</w:t>
            </w:r>
          </w:p>
        </w:tc>
        <w:tc>
          <w:tcPr>
            <w:tcW w:w="491"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rPr>
            </w:pPr>
            <w:r>
              <w:rPr>
                <w:rFonts w:hint="eastAsia" w:ascii="仿宋_GB2312" w:hAnsi="仿宋_GB2312" w:eastAsia="仿宋_GB2312" w:cs="仿宋_GB2312"/>
              </w:rPr>
              <w:t>满意度</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ascii="仿宋_GB2312" w:hAnsi="仿宋_GB2312" w:eastAsia="仿宋_GB2312" w:cs="仿宋_GB2312"/>
                <w:color w:val="000000"/>
                <w:kern w:val="0"/>
                <w:sz w:val="22"/>
                <w:szCs w:val="22"/>
              </w:rPr>
            </w:pPr>
            <w:r>
              <w:rPr>
                <w:rFonts w:hint="eastAsia" w:ascii="宋体" w:hAnsi="宋体" w:eastAsia="宋体" w:cs="宋体"/>
                <w:i w:val="0"/>
                <w:iCs w:val="0"/>
                <w:color w:val="000000"/>
                <w:kern w:val="0"/>
                <w:sz w:val="18"/>
                <w:szCs w:val="18"/>
                <w:u w:val="none"/>
                <w:lang w:val="en-US" w:eastAsia="zh-CN" w:bidi="ar"/>
              </w:rPr>
              <w:t>教师满意度</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hint="default"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对教师进行满意度调查，95%以上为满分，每低1%，扣1分，扣完为止。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4</w:t>
            </w:r>
          </w:p>
        </w:tc>
      </w:tr>
      <w:tr>
        <w:tblPrEx>
          <w:tblCellMar>
            <w:top w:w="0" w:type="dxa"/>
            <w:left w:w="0" w:type="dxa"/>
            <w:bottom w:w="0" w:type="dxa"/>
            <w:right w:w="0" w:type="dxa"/>
          </w:tblCellMar>
        </w:tblPrEx>
        <w:trPr>
          <w:trHeight w:val="408" w:hRule="atLeast"/>
        </w:trPr>
        <w:tc>
          <w:tcPr>
            <w:tcW w:w="1276"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ascii="仿宋_GB2312" w:hAnsi="仿宋_GB2312" w:eastAsia="仿宋_GB2312" w:cs="仿宋_GB2312"/>
                <w:color w:val="000000"/>
                <w:kern w:val="0"/>
                <w:sz w:val="22"/>
                <w:szCs w:val="22"/>
              </w:rPr>
            </w:pPr>
            <w:r>
              <w:rPr>
                <w:rFonts w:hint="eastAsia" w:ascii="宋体" w:hAnsi="宋体" w:eastAsia="宋体" w:cs="宋体"/>
                <w:i w:val="0"/>
                <w:iCs w:val="0"/>
                <w:color w:val="000000"/>
                <w:kern w:val="0"/>
                <w:sz w:val="18"/>
                <w:szCs w:val="18"/>
                <w:u w:val="none"/>
                <w:lang w:val="en-US" w:eastAsia="zh-CN" w:bidi="ar"/>
              </w:rPr>
              <w:t>学生满意度</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lang w:val="en-US" w:eastAsia="zh-CN"/>
              </w:rPr>
              <w:t>对教师进行满意度调查，95%以上为满分，每低1%，扣1分，扣完为止。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4</w:t>
            </w:r>
          </w:p>
        </w:tc>
      </w:tr>
      <w:tr>
        <w:tblPrEx>
          <w:tblCellMar>
            <w:top w:w="0" w:type="dxa"/>
            <w:left w:w="0" w:type="dxa"/>
            <w:bottom w:w="0" w:type="dxa"/>
            <w:right w:w="0" w:type="dxa"/>
          </w:tblCellMar>
        </w:tblPrEx>
        <w:trPr>
          <w:trHeight w:val="40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ind w:firstLine="220" w:firstLineChars="100"/>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合计</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93.6</w:t>
            </w:r>
          </w:p>
        </w:tc>
      </w:tr>
    </w:tbl>
    <w:p>
      <w:pPr>
        <w:pStyle w:val="2"/>
        <w:spacing w:line="560" w:lineRule="exact"/>
        <w:ind w:left="420" w:leftChars="200" w:firstLine="321" w:firstLineChars="100"/>
        <w:outlineLvl w:val="0"/>
        <w:rPr>
          <w:rFonts w:ascii="仿宋_GB2312" w:hAnsi="仿宋_GB2312" w:eastAsia="仿宋_GB2312" w:cs="仿宋_GB2312"/>
          <w:b/>
          <w:bCs/>
          <w:color w:val="000000"/>
          <w:sz w:val="32"/>
          <w:szCs w:val="32"/>
        </w:rPr>
      </w:pPr>
      <w:bookmarkStart w:id="109" w:name="_Toc2634_WPSOffice_Level1"/>
      <w:r>
        <w:rPr>
          <w:rFonts w:hint="eastAsia" w:ascii="仿宋_GB2312" w:hAnsi="仿宋_GB2312" w:eastAsia="仿宋_GB2312" w:cs="仿宋_GB2312"/>
          <w:b/>
          <w:bCs/>
          <w:color w:val="000000"/>
          <w:sz w:val="32"/>
          <w:szCs w:val="32"/>
        </w:rPr>
        <w:t>五、评价分析</w:t>
      </w:r>
      <w:bookmarkEnd w:id="109"/>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outlineLvl w:val="1"/>
        <w:rPr>
          <w:rFonts w:ascii="仿宋_GB2312" w:hAnsi="仿宋_GB2312" w:eastAsia="仿宋_GB2312" w:cs="仿宋_GB2312"/>
          <w:color w:val="000000"/>
          <w:sz w:val="32"/>
          <w:szCs w:val="40"/>
        </w:rPr>
      </w:pPr>
      <w:bookmarkStart w:id="110" w:name="_Toc18513_WPSOffice_Level2"/>
      <w:r>
        <w:rPr>
          <w:rFonts w:hint="eastAsia" w:ascii="仿宋_GB2312" w:hAnsi="仿宋_GB2312" w:eastAsia="仿宋_GB2312" w:cs="仿宋_GB2312"/>
          <w:color w:val="000000"/>
          <w:sz w:val="32"/>
          <w:szCs w:val="40"/>
        </w:rPr>
        <w:t>（一）主要扣分事项及原因分析</w:t>
      </w:r>
      <w:bookmarkEnd w:id="110"/>
    </w:p>
    <w:p>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420" w:firstLineChars="200"/>
        <w:jc w:val="both"/>
        <w:textAlignment w:val="baseline"/>
        <w:rPr>
          <w:rFonts w:ascii="仿宋" w:hAnsi="仿宋" w:eastAsia="仿宋" w:cs="宋体"/>
          <w:b w:val="0"/>
          <w:i w:val="0"/>
          <w:caps w:val="0"/>
          <w:spacing w:val="0"/>
          <w:w w:val="100"/>
          <w:sz w:val="32"/>
          <w:szCs w:val="32"/>
        </w:rPr>
      </w:pPr>
      <w:r>
        <w:rPr>
          <w:rFonts w:hint="eastAsia"/>
        </w:rPr>
        <w:t xml:space="preserve"> </w:t>
      </w:r>
      <w:r>
        <w:rPr>
          <w:rFonts w:hint="eastAsia" w:ascii="仿宋" w:hAnsi="仿宋" w:eastAsia="仿宋"/>
          <w:b w:val="0"/>
          <w:i w:val="0"/>
          <w:caps w:val="0"/>
          <w:spacing w:val="0"/>
          <w:w w:val="100"/>
          <w:sz w:val="32"/>
          <w:szCs w:val="32"/>
        </w:rPr>
        <w:t>我校虽然在项目的申请、资金下达、项目实施等方面严格按照规定的程序，使该项目能够按时完成，但在今后的工作中还要再精益求精，狠抓细节管理，提高资金的使用效率，让教育经费更好的服务于教学，从而提升教学水平，使学生、家长、教职工以及社会对我校的教学工作更加满意。</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640" w:firstLineChars="200"/>
        <w:jc w:val="both"/>
        <w:textAlignment w:val="baseline"/>
      </w:pPr>
      <w:r>
        <w:rPr>
          <w:rFonts w:hint="eastAsia" w:ascii="仿宋" w:hAnsi="仿宋" w:eastAsia="仿宋" w:cs="宋体"/>
          <w:b w:val="0"/>
          <w:i w:val="0"/>
          <w:caps w:val="0"/>
          <w:spacing w:val="0"/>
          <w:w w:val="100"/>
          <w:sz w:val="32"/>
          <w:szCs w:val="32"/>
          <w:lang w:val="en-US" w:eastAsia="zh-CN"/>
        </w:rPr>
        <w:t>本年度</w:t>
      </w:r>
      <w:r>
        <w:rPr>
          <w:rFonts w:hint="eastAsia" w:ascii="仿宋" w:hAnsi="仿宋" w:eastAsia="仿宋" w:cs="宋体"/>
          <w:b w:val="0"/>
          <w:i w:val="0"/>
          <w:caps w:val="0"/>
          <w:spacing w:val="0"/>
          <w:w w:val="100"/>
          <w:sz w:val="32"/>
          <w:szCs w:val="32"/>
        </w:rPr>
        <w:t>我校取得了</w:t>
      </w:r>
      <w:r>
        <w:rPr>
          <w:rFonts w:hint="eastAsia" w:ascii="仿宋" w:hAnsi="仿宋" w:eastAsia="仿宋" w:cs="宋体"/>
          <w:b w:val="0"/>
          <w:i w:val="0"/>
          <w:caps w:val="0"/>
          <w:spacing w:val="0"/>
          <w:w w:val="100"/>
          <w:sz w:val="32"/>
          <w:szCs w:val="32"/>
          <w:lang w:val="en-US" w:eastAsia="zh-CN"/>
        </w:rPr>
        <w:t>一定的</w:t>
      </w:r>
      <w:r>
        <w:rPr>
          <w:rFonts w:hint="eastAsia" w:ascii="仿宋" w:hAnsi="仿宋" w:eastAsia="仿宋" w:cs="宋体"/>
          <w:b w:val="0"/>
          <w:i w:val="0"/>
          <w:caps w:val="0"/>
          <w:spacing w:val="0"/>
          <w:w w:val="100"/>
          <w:sz w:val="32"/>
          <w:szCs w:val="32"/>
        </w:rPr>
        <w:t>成绩，但离上级领导的要求和群众的期盼还有很大差距。在新的一年里，我们要更加积极努力，勇于担当，团结广大教职工，求真务实，开拓进取，教育教学管理再细化，干事创业的精气神再提升，为隆尧教育振兴做出自己应有的贡献。</w:t>
      </w:r>
    </w:p>
    <w:p>
      <w:pPr>
        <w:pStyle w:val="2"/>
        <w:spacing w:line="560" w:lineRule="exact"/>
        <w:ind w:left="420" w:leftChars="200" w:firstLine="321" w:firstLineChars="100"/>
        <w:outlineLvl w:val="0"/>
        <w:rPr>
          <w:rFonts w:ascii="仿宋_GB2312" w:hAnsi="仿宋_GB2312" w:eastAsia="仿宋_GB2312" w:cs="仿宋_GB2312"/>
          <w:b/>
          <w:bCs/>
          <w:color w:val="000000"/>
          <w:sz w:val="32"/>
          <w:szCs w:val="32"/>
        </w:rPr>
      </w:pPr>
      <w:bookmarkStart w:id="111" w:name="_Toc11279_WPSOffice_Level1"/>
      <w:r>
        <w:rPr>
          <w:rFonts w:hint="eastAsia" w:ascii="仿宋_GB2312" w:hAnsi="仿宋_GB2312" w:eastAsia="仿宋_GB2312" w:cs="仿宋_GB2312"/>
          <w:b/>
          <w:bCs/>
          <w:color w:val="000000"/>
          <w:sz w:val="32"/>
          <w:szCs w:val="32"/>
        </w:rPr>
        <w:t>六、意见及建议</w:t>
      </w:r>
      <w:bookmarkEnd w:id="111"/>
    </w:p>
    <w:p>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640" w:firstLineChars="200"/>
        <w:jc w:val="both"/>
        <w:textAlignment w:val="baseline"/>
        <w:rPr>
          <w:rFonts w:hint="eastAsia" w:ascii="仿宋" w:hAnsi="仿宋" w:eastAsia="仿宋" w:cs="宋体"/>
          <w:b w:val="0"/>
          <w:i w:val="0"/>
          <w:caps w:val="0"/>
          <w:spacing w:val="0"/>
          <w:w w:val="100"/>
          <w:sz w:val="32"/>
          <w:szCs w:val="32"/>
          <w:lang w:val="en-US" w:eastAsia="zh-CN"/>
        </w:rPr>
      </w:pPr>
      <w:r>
        <w:rPr>
          <w:rFonts w:hint="eastAsia" w:ascii="仿宋" w:hAnsi="仿宋" w:eastAsia="仿宋" w:cs="宋体"/>
          <w:b w:val="0"/>
          <w:i w:val="0"/>
          <w:caps w:val="0"/>
          <w:spacing w:val="0"/>
          <w:w w:val="100"/>
          <w:sz w:val="32"/>
          <w:szCs w:val="32"/>
          <w:lang w:val="en-US" w:eastAsia="zh-CN"/>
        </w:rPr>
        <w:t>随着初三年级毕业人数的逐年增加，隆尧县原有高中资源受硬件设施和师资力量的有限，进一步提高高中教育入学率，大力发展非义务教育阶段高中教育，吸引大量优质教育资源和教师充实隆尧教育力量，改善教学环境，提高教学质量。</w:t>
      </w: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pPr>
        <w:pStyle w:val="2"/>
        <w:spacing w:line="560" w:lineRule="exact"/>
        <w:ind w:left="420" w:leftChars="200" w:firstLine="4960" w:firstLineChars="1550"/>
        <w:outlineLvl w:val="0"/>
        <w:rPr>
          <w:rFonts w:hint="default" w:ascii="仿宋_GB2312" w:hAnsi="仿宋_GB2312" w:eastAsia="仿宋_GB2312" w:cs="仿宋_GB2312"/>
          <w:color w:val="000000"/>
          <w:sz w:val="32"/>
          <w:szCs w:val="32"/>
          <w:lang w:val="en-US" w:eastAsia="zh-CN"/>
        </w:rPr>
      </w:pPr>
      <w:bookmarkStart w:id="112" w:name="_GoBack"/>
      <w:bookmarkEnd w:id="112"/>
      <w:r>
        <w:rPr>
          <w:rFonts w:hint="eastAsia" w:ascii="仿宋_GB2312" w:hAnsi="仿宋_GB2312" w:eastAsia="仿宋_GB2312" w:cs="仿宋_GB2312"/>
          <w:color w:val="000000"/>
          <w:sz w:val="32"/>
          <w:szCs w:val="32"/>
          <w:lang w:val="en-US" w:eastAsia="zh-CN"/>
        </w:rPr>
        <w:t>隆尧县唐尧中学</w:t>
      </w: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2023</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03</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14</w:t>
      </w:r>
      <w:r>
        <w:rPr>
          <w:rFonts w:hint="eastAsia" w:ascii="仿宋_GB2312" w:hAnsi="仿宋_GB2312" w:eastAsia="仿宋_GB2312" w:cs="仿宋_GB2312"/>
          <w:color w:val="000000"/>
          <w:sz w:val="32"/>
          <w:szCs w:val="32"/>
        </w:rPr>
        <w:t>日</w:t>
      </w:r>
    </w:p>
    <w:p>
      <w:pPr>
        <w:rPr>
          <w:rFonts w:ascii="仿宋_GB2312" w:hAnsi="仿宋_GB2312" w:eastAsia="仿宋_GB2312" w:cs="仿宋_GB2312"/>
        </w:rPr>
      </w:pPr>
    </w:p>
    <w:sectPr>
      <w:footerReference r:id="rId3" w:type="default"/>
      <w:pgSz w:w="11906" w:h="16838"/>
      <w:pgMar w:top="1984" w:right="1474" w:bottom="1417"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E1D049"/>
    <w:multiLevelType w:val="singleLevel"/>
    <w:tmpl w:val="42E1D04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kNzJmMjQ1ZTYwNWU5ZWVjMGI5YTJiOGI0MTUzMGYifQ=="/>
    <w:docVar w:name="KSO_WPS_MARK_KEY" w:val="5ab57145-e4e5-4cbb-a78a-71bd4755d0c9"/>
  </w:docVars>
  <w:rsids>
    <w:rsidRoot w:val="07CC499B"/>
    <w:rsid w:val="00092B14"/>
    <w:rsid w:val="000D47D0"/>
    <w:rsid w:val="001373BE"/>
    <w:rsid w:val="001F3212"/>
    <w:rsid w:val="002707C6"/>
    <w:rsid w:val="00280F82"/>
    <w:rsid w:val="003170CE"/>
    <w:rsid w:val="003C4354"/>
    <w:rsid w:val="00645DBC"/>
    <w:rsid w:val="007812E3"/>
    <w:rsid w:val="00814E39"/>
    <w:rsid w:val="008C7CF4"/>
    <w:rsid w:val="00A02C66"/>
    <w:rsid w:val="00AB413B"/>
    <w:rsid w:val="00B60E03"/>
    <w:rsid w:val="00D25A69"/>
    <w:rsid w:val="00D25CC3"/>
    <w:rsid w:val="00D3165F"/>
    <w:rsid w:val="00D471F4"/>
    <w:rsid w:val="00D5394A"/>
    <w:rsid w:val="00DB6DF3"/>
    <w:rsid w:val="00E30CAE"/>
    <w:rsid w:val="00E310A2"/>
    <w:rsid w:val="00EF2BA5"/>
    <w:rsid w:val="00EF6DA3"/>
    <w:rsid w:val="00FA340E"/>
    <w:rsid w:val="01B67D1F"/>
    <w:rsid w:val="01CA2AF2"/>
    <w:rsid w:val="03274687"/>
    <w:rsid w:val="04064A0C"/>
    <w:rsid w:val="04321BCD"/>
    <w:rsid w:val="04FF4482"/>
    <w:rsid w:val="057A0A50"/>
    <w:rsid w:val="064C4C17"/>
    <w:rsid w:val="076C3175"/>
    <w:rsid w:val="07CC499B"/>
    <w:rsid w:val="0815567D"/>
    <w:rsid w:val="0909607F"/>
    <w:rsid w:val="09A64785"/>
    <w:rsid w:val="0A3B4E4B"/>
    <w:rsid w:val="0B601B06"/>
    <w:rsid w:val="0BEB58BF"/>
    <w:rsid w:val="0C15027B"/>
    <w:rsid w:val="0C3B2A49"/>
    <w:rsid w:val="0DAA4EE9"/>
    <w:rsid w:val="0E3117D9"/>
    <w:rsid w:val="102B0836"/>
    <w:rsid w:val="1064155D"/>
    <w:rsid w:val="1156122B"/>
    <w:rsid w:val="11F11891"/>
    <w:rsid w:val="12C35BB4"/>
    <w:rsid w:val="140849FA"/>
    <w:rsid w:val="14583EA3"/>
    <w:rsid w:val="151D09B5"/>
    <w:rsid w:val="16832BBD"/>
    <w:rsid w:val="1689469A"/>
    <w:rsid w:val="16DB1E7D"/>
    <w:rsid w:val="178C6C5A"/>
    <w:rsid w:val="17CD646A"/>
    <w:rsid w:val="184F3049"/>
    <w:rsid w:val="1B3F225B"/>
    <w:rsid w:val="1B4269FF"/>
    <w:rsid w:val="1D4B3C83"/>
    <w:rsid w:val="1DBD7AB3"/>
    <w:rsid w:val="1E0B387E"/>
    <w:rsid w:val="2061501E"/>
    <w:rsid w:val="21460607"/>
    <w:rsid w:val="21FF1E9B"/>
    <w:rsid w:val="23C1122C"/>
    <w:rsid w:val="243D751D"/>
    <w:rsid w:val="24522B03"/>
    <w:rsid w:val="25ED2FD4"/>
    <w:rsid w:val="264A346A"/>
    <w:rsid w:val="270A41B9"/>
    <w:rsid w:val="274B3C4E"/>
    <w:rsid w:val="285356FD"/>
    <w:rsid w:val="288E37E0"/>
    <w:rsid w:val="290243B4"/>
    <w:rsid w:val="2A5C748F"/>
    <w:rsid w:val="2B10000E"/>
    <w:rsid w:val="2B2D56DA"/>
    <w:rsid w:val="2D391E20"/>
    <w:rsid w:val="30785FD3"/>
    <w:rsid w:val="31702E0D"/>
    <w:rsid w:val="33C32B3C"/>
    <w:rsid w:val="34E52524"/>
    <w:rsid w:val="35CA4ECD"/>
    <w:rsid w:val="35CE5164"/>
    <w:rsid w:val="35F07825"/>
    <w:rsid w:val="360C2FBA"/>
    <w:rsid w:val="363913FE"/>
    <w:rsid w:val="36D6548C"/>
    <w:rsid w:val="376918C7"/>
    <w:rsid w:val="37832AC7"/>
    <w:rsid w:val="37956FEE"/>
    <w:rsid w:val="38195BED"/>
    <w:rsid w:val="39B23A02"/>
    <w:rsid w:val="3A4766ED"/>
    <w:rsid w:val="3A713A3B"/>
    <w:rsid w:val="3AAB2217"/>
    <w:rsid w:val="3CAE49E3"/>
    <w:rsid w:val="3DAE40CB"/>
    <w:rsid w:val="3E7103A9"/>
    <w:rsid w:val="3E7E746E"/>
    <w:rsid w:val="3EBE2184"/>
    <w:rsid w:val="3F5912F8"/>
    <w:rsid w:val="3F9B4FC0"/>
    <w:rsid w:val="41B74B09"/>
    <w:rsid w:val="43DC781A"/>
    <w:rsid w:val="441C7555"/>
    <w:rsid w:val="450A0AA4"/>
    <w:rsid w:val="45236574"/>
    <w:rsid w:val="46434BE2"/>
    <w:rsid w:val="46AA6AA7"/>
    <w:rsid w:val="478E0E32"/>
    <w:rsid w:val="48A2447B"/>
    <w:rsid w:val="49430BD9"/>
    <w:rsid w:val="494625CA"/>
    <w:rsid w:val="4BD23ED8"/>
    <w:rsid w:val="4C2846CD"/>
    <w:rsid w:val="4C7A4C55"/>
    <w:rsid w:val="4F6A54EE"/>
    <w:rsid w:val="4FDF6ED1"/>
    <w:rsid w:val="514C0EC5"/>
    <w:rsid w:val="51F50157"/>
    <w:rsid w:val="52866F20"/>
    <w:rsid w:val="52EE7A8B"/>
    <w:rsid w:val="535B290E"/>
    <w:rsid w:val="53F1208F"/>
    <w:rsid w:val="54DE5250"/>
    <w:rsid w:val="55495194"/>
    <w:rsid w:val="56115CEE"/>
    <w:rsid w:val="56D42516"/>
    <w:rsid w:val="56FE5044"/>
    <w:rsid w:val="57E03285"/>
    <w:rsid w:val="5AE71036"/>
    <w:rsid w:val="5B5F30DA"/>
    <w:rsid w:val="5BAF6F84"/>
    <w:rsid w:val="5BE03A0F"/>
    <w:rsid w:val="5D5C7CBD"/>
    <w:rsid w:val="5DF86B3F"/>
    <w:rsid w:val="5F1C1ADB"/>
    <w:rsid w:val="60134031"/>
    <w:rsid w:val="60C120AA"/>
    <w:rsid w:val="6304094B"/>
    <w:rsid w:val="63870B40"/>
    <w:rsid w:val="64165E4C"/>
    <w:rsid w:val="6536013A"/>
    <w:rsid w:val="68AF4E26"/>
    <w:rsid w:val="68DA698B"/>
    <w:rsid w:val="6A3E1F45"/>
    <w:rsid w:val="6CCC6D4C"/>
    <w:rsid w:val="6D5F4EC3"/>
    <w:rsid w:val="6E3F5A2C"/>
    <w:rsid w:val="7008088F"/>
    <w:rsid w:val="712634CC"/>
    <w:rsid w:val="71A3781D"/>
    <w:rsid w:val="724E698E"/>
    <w:rsid w:val="72CF7CB4"/>
    <w:rsid w:val="756501CF"/>
    <w:rsid w:val="778F438E"/>
    <w:rsid w:val="7A055146"/>
    <w:rsid w:val="7A757A3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WPSOffice手动目录 1"/>
    <w:qFormat/>
    <w:uiPriority w:val="0"/>
    <w:rPr>
      <w:rFonts w:ascii="Times New Roman" w:hAnsi="Times New Roman" w:eastAsia="宋体" w:cs="Times New Roman"/>
      <w:lang w:val="en-US" w:eastAsia="zh-CN" w:bidi="ar-SA"/>
    </w:rPr>
  </w:style>
  <w:style w:type="paragraph" w:customStyle="1" w:styleId="1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1">
    <w:name w:val="页眉 Char"/>
    <w:basedOn w:val="8"/>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204</Words>
  <Characters>1166</Characters>
  <Lines>9</Lines>
  <Paragraphs>2</Paragraphs>
  <TotalTime>1</TotalTime>
  <ScaleCrop>false</ScaleCrop>
  <LinksUpToDate>false</LinksUpToDate>
  <CharactersWithSpaces>1368</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a潇遥卓儿</cp:lastModifiedBy>
  <dcterms:modified xsi:type="dcterms:W3CDTF">2023-03-22T08:41:53Z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777729234F344720921D35AD51F2DFCB</vt:lpwstr>
  </property>
</Properties>
</file>