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A6" w:rsidRDefault="001556C6">
      <w:pPr>
        <w:spacing w:line="580" w:lineRule="exact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附件</w:t>
      </w:r>
      <w:r>
        <w:rPr>
          <w:rFonts w:ascii="仿宋_GB2312" w:eastAsia="仿宋_GB2312" w:hAnsi="仿宋_GB2312" w:cs="仿宋_GB2312" w:hint="eastAsia"/>
          <w:color w:val="000000"/>
          <w:sz w:val="24"/>
        </w:rPr>
        <w:t>5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：</w:t>
      </w:r>
    </w:p>
    <w:p w:rsidR="007D7EA6" w:rsidRDefault="007D7EA6">
      <w:pPr>
        <w:spacing w:line="580" w:lineRule="exact"/>
        <w:ind w:firstLineChars="199" w:firstLine="720"/>
        <w:rPr>
          <w:rFonts w:ascii="仿宋_GB2312" w:eastAsia="仿宋_GB2312" w:hAnsi="仿宋_GB2312" w:cs="仿宋_GB2312"/>
          <w:b/>
          <w:bCs/>
          <w:spacing w:val="-20"/>
          <w:sz w:val="40"/>
          <w:szCs w:val="48"/>
        </w:rPr>
      </w:pPr>
    </w:p>
    <w:p w:rsidR="007D7EA6" w:rsidRDefault="001556C6">
      <w:pPr>
        <w:spacing w:line="580" w:lineRule="exact"/>
        <w:ind w:firstLineChars="199" w:firstLine="720"/>
        <w:jc w:val="center"/>
        <w:rPr>
          <w:rFonts w:ascii="仿宋_GB2312" w:eastAsia="仿宋_GB2312" w:hAnsi="仿宋_GB2312" w:cs="仿宋_GB2312"/>
          <w:b/>
          <w:bCs/>
          <w:spacing w:val="-20"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pacing w:val="-20"/>
          <w:sz w:val="40"/>
          <w:szCs w:val="48"/>
        </w:rPr>
        <w:t>隆尧县</w:t>
      </w:r>
      <w:r>
        <w:rPr>
          <w:rFonts w:ascii="仿宋_GB2312" w:eastAsia="仿宋_GB2312" w:hAnsi="仿宋_GB2312" w:cs="仿宋_GB2312" w:hint="eastAsia"/>
          <w:b/>
          <w:bCs/>
          <w:spacing w:val="-20"/>
          <w:sz w:val="40"/>
          <w:szCs w:val="48"/>
        </w:rPr>
        <w:t>教育局</w:t>
      </w:r>
    </w:p>
    <w:p w:rsidR="007D7EA6" w:rsidRDefault="001556C6">
      <w:pPr>
        <w:spacing w:line="580" w:lineRule="exact"/>
        <w:ind w:firstLineChars="199" w:firstLine="720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pacing w:val="-20"/>
          <w:sz w:val="40"/>
          <w:szCs w:val="48"/>
        </w:rPr>
        <w:t>营养改善计划</w:t>
      </w: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项目重点自评绩效报告</w:t>
      </w:r>
    </w:p>
    <w:p w:rsidR="007D7EA6" w:rsidRDefault="007D7EA6">
      <w:pPr>
        <w:rPr>
          <w:rFonts w:ascii="仿宋_GB2312" w:eastAsia="仿宋_GB2312" w:hAnsi="仿宋_GB2312" w:cs="仿宋_GB2312"/>
        </w:rPr>
      </w:pPr>
    </w:p>
    <w:p w:rsidR="007D7EA6" w:rsidRDefault="007D7EA6">
      <w:pPr>
        <w:rPr>
          <w:rFonts w:ascii="仿宋_GB2312" w:eastAsia="仿宋_GB2312" w:hAnsi="仿宋_GB2312" w:cs="仿宋_GB2312"/>
        </w:rPr>
      </w:pPr>
    </w:p>
    <w:p w:rsidR="007D7EA6" w:rsidRDefault="007D7EA6">
      <w:pPr>
        <w:rPr>
          <w:rFonts w:ascii="仿宋_GB2312" w:eastAsia="仿宋_GB2312" w:hAnsi="仿宋_GB2312" w:cs="仿宋_GB2312"/>
        </w:rPr>
      </w:pPr>
    </w:p>
    <w:p w:rsidR="007D7EA6" w:rsidRDefault="007D7EA6">
      <w:pPr>
        <w:rPr>
          <w:rFonts w:ascii="仿宋_GB2312" w:eastAsia="仿宋_GB2312" w:hAnsi="仿宋_GB2312" w:cs="仿宋_GB2312"/>
        </w:rPr>
      </w:pPr>
    </w:p>
    <w:p w:rsidR="007D7EA6" w:rsidRDefault="007D7EA6">
      <w:pPr>
        <w:rPr>
          <w:rFonts w:ascii="仿宋_GB2312" w:eastAsia="仿宋_GB2312" w:hAnsi="仿宋_GB2312" w:cs="仿宋_GB2312"/>
        </w:rPr>
      </w:pPr>
    </w:p>
    <w:p w:rsidR="007D7EA6" w:rsidRDefault="007D7EA6">
      <w:pPr>
        <w:rPr>
          <w:rFonts w:ascii="仿宋_GB2312" w:eastAsia="仿宋_GB2312" w:hAnsi="仿宋_GB2312" w:cs="仿宋_GB2312"/>
        </w:rPr>
      </w:pPr>
    </w:p>
    <w:p w:rsidR="007D7EA6" w:rsidRDefault="007D7EA6">
      <w:pPr>
        <w:rPr>
          <w:rFonts w:ascii="仿宋_GB2312" w:eastAsia="仿宋_GB2312" w:hAnsi="仿宋_GB2312" w:cs="仿宋_GB2312"/>
        </w:rPr>
      </w:pPr>
    </w:p>
    <w:p w:rsidR="007D7EA6" w:rsidRDefault="007D7EA6">
      <w:pPr>
        <w:rPr>
          <w:rFonts w:ascii="仿宋_GB2312" w:eastAsia="仿宋_GB2312" w:hAnsi="仿宋_GB2312" w:cs="仿宋_GB2312"/>
        </w:rPr>
      </w:pPr>
    </w:p>
    <w:p w:rsidR="007D7EA6" w:rsidRDefault="007D7EA6">
      <w:pPr>
        <w:pStyle w:val="2"/>
        <w:ind w:firstLine="560"/>
      </w:pPr>
    </w:p>
    <w:p w:rsidR="007D7EA6" w:rsidRDefault="007D7EA6"/>
    <w:p w:rsidR="007D7EA6" w:rsidRDefault="007D7EA6">
      <w:pPr>
        <w:pStyle w:val="2"/>
        <w:ind w:firstLine="560"/>
      </w:pPr>
    </w:p>
    <w:p w:rsidR="007D7EA6" w:rsidRDefault="007D7EA6"/>
    <w:p w:rsidR="007D7EA6" w:rsidRDefault="007D7EA6">
      <w:pPr>
        <w:pStyle w:val="2"/>
        <w:ind w:firstLine="560"/>
      </w:pPr>
    </w:p>
    <w:p w:rsidR="007D7EA6" w:rsidRDefault="001556C6">
      <w:pPr>
        <w:spacing w:line="760" w:lineRule="exact"/>
        <w:rPr>
          <w:rFonts w:ascii="仿宋_GB2312" w:eastAsia="仿宋_GB2312" w:hAnsi="仿宋_GB2312" w:cs="仿宋_GB2312"/>
          <w:spacing w:val="-20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项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目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名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称：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>隆尧县农村小学营养改善计划</w:t>
      </w:r>
    </w:p>
    <w:p w:rsidR="007D7EA6" w:rsidRDefault="001556C6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项目实施单位：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隆尧县教育局</w:t>
      </w:r>
    </w:p>
    <w:p w:rsidR="007D7EA6" w:rsidRDefault="001556C6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项目总金额：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886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万元</w:t>
      </w:r>
    </w:p>
    <w:p w:rsidR="007D7EA6" w:rsidRDefault="001556C6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评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价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度：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2022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年度</w:t>
      </w:r>
    </w:p>
    <w:p w:rsidR="007D7EA6" w:rsidRDefault="001556C6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评价组组长：</w:t>
      </w:r>
      <w:r w:rsidR="002E17AA">
        <w:rPr>
          <w:rFonts w:ascii="仿宋_GB2312" w:eastAsia="仿宋_GB2312" w:hAnsi="仿宋_GB2312" w:cs="仿宋_GB2312" w:hint="eastAsia"/>
          <w:spacing w:val="28"/>
          <w:sz w:val="28"/>
          <w:szCs w:val="28"/>
        </w:rPr>
        <w:t>殷树峰</w:t>
      </w:r>
    </w:p>
    <w:p w:rsidR="007D7EA6" w:rsidRDefault="001556C6">
      <w:pPr>
        <w:spacing w:line="760" w:lineRule="exact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评价组成员：</w:t>
      </w:r>
      <w:r w:rsidR="002E17AA">
        <w:rPr>
          <w:rFonts w:ascii="仿宋_GB2312" w:eastAsia="仿宋_GB2312" w:hAnsi="仿宋_GB2312" w:cs="仿宋_GB2312" w:hint="eastAsia"/>
          <w:spacing w:val="28"/>
          <w:sz w:val="28"/>
          <w:szCs w:val="28"/>
        </w:rPr>
        <w:t xml:space="preserve">贾冰 程占波 李建锋 </w:t>
      </w:r>
      <w:r w:rsidR="00E77F25">
        <w:rPr>
          <w:rFonts w:ascii="仿宋_GB2312" w:eastAsia="仿宋_GB2312" w:hAnsi="仿宋_GB2312" w:cs="仿宋_GB2312" w:hint="eastAsia"/>
          <w:spacing w:val="28"/>
          <w:sz w:val="28"/>
          <w:szCs w:val="28"/>
        </w:rPr>
        <w:t>冉 真</w:t>
      </w:r>
    </w:p>
    <w:p w:rsidR="007D7EA6" w:rsidRDefault="007D7EA6">
      <w:pPr>
        <w:rPr>
          <w:rFonts w:ascii="仿宋_GB2312" w:eastAsia="仿宋_GB2312" w:hAnsi="仿宋_GB2312" w:cs="仿宋_GB2312"/>
        </w:rPr>
      </w:pPr>
      <w:bookmarkStart w:id="0" w:name="_Toc7470_WPSOffice_Level1"/>
      <w:bookmarkStart w:id="1" w:name="_Toc5909_WPSOffice_Level1"/>
    </w:p>
    <w:p w:rsidR="007D7EA6" w:rsidRPr="002E17AA" w:rsidRDefault="007D7EA6">
      <w:pPr>
        <w:spacing w:line="580" w:lineRule="exact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2" w:name="_Toc4013"/>
      <w:bookmarkStart w:id="3" w:name="_Toc23411"/>
      <w:bookmarkStart w:id="4" w:name="_Toc18334"/>
      <w:bookmarkStart w:id="5" w:name="_Toc9525"/>
      <w:bookmarkStart w:id="6" w:name="_Toc11301"/>
      <w:bookmarkStart w:id="7" w:name="_Toc13153"/>
      <w:bookmarkStart w:id="8" w:name="_Toc16913"/>
      <w:bookmarkStart w:id="9" w:name="_Toc2245"/>
      <w:bookmarkStart w:id="10" w:name="_Toc6314"/>
      <w:bookmarkStart w:id="11" w:name="_Toc30335"/>
      <w:bookmarkEnd w:id="0"/>
      <w:bookmarkEnd w:id="1"/>
    </w:p>
    <w:p w:rsidR="007D7EA6" w:rsidRDefault="001556C6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lastRenderedPageBreak/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7D7EA6" w:rsidRDefault="001556C6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12" w:name="_Toc19963"/>
      <w:bookmarkStart w:id="13" w:name="_Toc32742"/>
      <w:bookmarkStart w:id="14" w:name="_Toc24784"/>
      <w:bookmarkStart w:id="15" w:name="_Toc937"/>
      <w:bookmarkStart w:id="16" w:name="_Toc19370"/>
      <w:bookmarkStart w:id="17" w:name="_Toc23957"/>
      <w:bookmarkStart w:id="18" w:name="_Toc30895"/>
      <w:bookmarkStart w:id="19" w:name="_Toc22453"/>
      <w:bookmarkStart w:id="20" w:name="_Toc22285"/>
      <w:bookmarkStart w:id="21" w:name="_Toc15831"/>
      <w:r>
        <w:rPr>
          <w:rFonts w:ascii="仿宋_GB2312" w:eastAsia="仿宋_GB2312" w:hAnsi="仿宋_GB2312" w:cs="仿宋_GB2312" w:hint="eastAsia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877E36" w:rsidRDefault="001556C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bookmarkStart w:id="22" w:name="_Toc8843"/>
      <w:bookmarkStart w:id="23" w:name="_Toc29308"/>
      <w:bookmarkStart w:id="24" w:name="_Toc15167"/>
      <w:r>
        <w:rPr>
          <w:rFonts w:ascii="仿宋_GB2312" w:eastAsia="仿宋_GB2312" w:hAnsi="仿宋_GB2312" w:cs="仿宋_GB2312" w:hint="eastAsia"/>
          <w:sz w:val="32"/>
          <w:szCs w:val="40"/>
        </w:rPr>
        <w:t>单位名称</w:t>
      </w:r>
      <w:r>
        <w:rPr>
          <w:rFonts w:ascii="仿宋_GB2312" w:eastAsia="仿宋_GB2312" w:hAnsi="仿宋_GB2312" w:cs="仿宋_GB2312" w:hint="eastAsia"/>
          <w:sz w:val="32"/>
          <w:szCs w:val="40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隆尧县教育局</w:t>
      </w:r>
    </w:p>
    <w:p w:rsidR="00877E36" w:rsidRDefault="001556C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地</w:t>
      </w:r>
      <w:r w:rsidR="00877E36">
        <w:rPr>
          <w:rFonts w:ascii="仿宋_GB2312" w:eastAsia="仿宋_GB2312" w:hAnsi="仿宋_GB2312" w:cs="仿宋_GB2312" w:hint="eastAsia"/>
          <w:sz w:val="32"/>
          <w:szCs w:val="40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40"/>
        </w:rPr>
        <w:t>址</w:t>
      </w:r>
      <w:r>
        <w:rPr>
          <w:rFonts w:ascii="仿宋_GB2312" w:eastAsia="仿宋_GB2312" w:hAnsi="仿宋_GB2312" w:cs="仿宋_GB2312" w:hint="eastAsia"/>
          <w:sz w:val="32"/>
          <w:szCs w:val="40"/>
        </w:rPr>
        <w:t>：</w:t>
      </w:r>
      <w:r w:rsidR="00C871E1">
        <w:rPr>
          <w:rFonts w:ascii="仿宋_GB2312" w:eastAsia="仿宋_GB2312" w:hAnsi="仿宋_GB2312" w:cs="仿宋_GB2312" w:hint="eastAsia"/>
          <w:sz w:val="32"/>
          <w:szCs w:val="40"/>
        </w:rPr>
        <w:t>现位于隆尧县义丰街与丰中路交汇处附近东</w:t>
      </w:r>
    </w:p>
    <w:p w:rsidR="00877E36" w:rsidRDefault="001556C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 w:hint="eastAsia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性</w:t>
      </w:r>
      <w:r w:rsidR="00C871E1">
        <w:rPr>
          <w:rFonts w:ascii="仿宋_GB2312" w:eastAsia="仿宋_GB2312" w:hAnsi="仿宋_GB2312" w:cs="仿宋_GB2312" w:hint="eastAsia"/>
          <w:sz w:val="32"/>
          <w:szCs w:val="40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40"/>
        </w:rPr>
        <w:t>质</w:t>
      </w:r>
      <w:r w:rsidR="00877E36">
        <w:rPr>
          <w:rFonts w:ascii="仿宋_GB2312" w:eastAsia="仿宋_GB2312" w:hAnsi="仿宋_GB2312" w:cs="仿宋_GB2312" w:hint="eastAsia"/>
          <w:sz w:val="32"/>
          <w:szCs w:val="40"/>
        </w:rPr>
        <w:t>：</w:t>
      </w:r>
      <w:r w:rsidR="00C871E1">
        <w:rPr>
          <w:rFonts w:ascii="仿宋_GB2312" w:eastAsia="仿宋_GB2312" w:hAnsi="仿宋_GB2312" w:cs="仿宋_GB2312" w:hint="eastAsia"/>
          <w:sz w:val="32"/>
          <w:szCs w:val="40"/>
        </w:rPr>
        <w:t>行政</w:t>
      </w:r>
      <w:r w:rsidR="00877E36">
        <w:rPr>
          <w:rFonts w:ascii="仿宋_GB2312" w:eastAsia="仿宋_GB2312" w:hAnsi="仿宋_GB2312" w:cs="仿宋_GB2312" w:hint="eastAsia"/>
          <w:sz w:val="32"/>
          <w:szCs w:val="40"/>
        </w:rPr>
        <w:t>单位</w:t>
      </w:r>
    </w:p>
    <w:p w:rsidR="00877E36" w:rsidRPr="00877E36" w:rsidRDefault="001556C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承担的业务</w:t>
      </w:r>
      <w:r>
        <w:rPr>
          <w:rFonts w:ascii="仿宋_GB2312" w:eastAsia="仿宋_GB2312" w:hAnsi="仿宋_GB2312" w:cs="仿宋_GB2312" w:hint="eastAsia"/>
          <w:sz w:val="32"/>
          <w:szCs w:val="40"/>
        </w:rPr>
        <w:t>：</w:t>
      </w:r>
      <w:r w:rsidR="00877E36" w:rsidRPr="00877E36">
        <w:rPr>
          <w:rFonts w:ascii="仿宋_GB2312" w:eastAsia="仿宋_GB2312" w:hAnsi="仿宋_GB2312" w:cs="仿宋_GB2312"/>
          <w:sz w:val="32"/>
          <w:szCs w:val="40"/>
        </w:rPr>
        <w:t>隆尧县教育局的主要职责是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1.负责教育系统党的政治建设、思想建设、组织建设、作风建设、纪律建设和制度建设。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2.承担所属学校基层党组织和党员队伍建设工作。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3.指导全县各级各类学习意识形态和党的宣传教育工作，指导和督促党的统一战线方针政策在各级各类学校的贯彻落实。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4.按照干部管理权限，负责县教育局所属单位领导班子建设、干部队伍建设、干部选任和日常教育管理工作。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5.负责全县教师工作。贯彻落实各级各类教师资格标准，负责中小学幼儿园和中等职业学校教师资格认定实施工作，组织实施各级各类教师资格证制度。负责全县教师教育工作，负责教学成果奖评审奖励工作。会同有关部门组织实施教育系统职称评聘、表彰奖励等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6.统筹管理教育系统人次工作。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7.参与拟订中专院校毕业生就业政策，指导职业院校开展学生就业创业工作。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lastRenderedPageBreak/>
        <w:t>8.负责本系统教育经费的统筹管理和内部审计，参与拟订教育经费筹措、教育拨款、教育基建投资等政策，负责统计全县教育经费投入情况。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9.拟订全县教育改革与发展的政策和规划并组织实施。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10.负责全县各级各类教育的统筹规划和协调管理，会同有关部门组织实施各级各类学校的设置标准，负责教育基本信息的统计、分析和发布。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11.规划、组织并指导全县教育、教学科学研究工作。指导教育信息化工作。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12. 负责基础教育管理工作。负责义务教育的协调指导推进义务教育均衡发展和促进教育公平。指呈普通高中教育、幼儿教育、特殊教育。研究制定基础教育教学政策，推进素质教育。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13.负责各级各类学校学生和教师的思想政治工作，指导全县学校思想政治工作队伍建设，指导中小学德育课程教育教学。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14.指导各级各类学校的德育、体育、卫生、艺术、劳动、国防教育和心理健康教育工作。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15.会同有关部门指导职业教育的发展与改革，拟订中等职业教育教学指导政策和教学评估标准，负责中等职业教育的地方教材建设和职业指导工作。负责成人教育和社区教育的指导工作。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16.指导各级各类学校抓好家校共建工作。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lastRenderedPageBreak/>
        <w:t>17.负责民办教育的统筹规划、综合协调和指导管理完善政策措施，规范办学秩序，促进民办教育事业健康发展。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18.统筹指导少数民族教育工作，协调对少数民族和少数民族学校的教育援助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19.负责全县老年教育工作。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20.负责中高等学历教育招生考试。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21.负责教育系统安全稳定和校园及周边综合治理工作。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22.负责全县教育督导工作，组织实施对乡镇政府履行教育职责评价，组织开展全县各级各类教育的督导评估、检查验收、质量监测等工作，承担县人民政府教育督导委员会交办的其他事项。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23.负责全县语言文字工作，组织协调并监督检查汉语文字规范及标准的实施，推广和普及普通话。</w:t>
      </w:r>
    </w:p>
    <w:p w:rsidR="00877E36" w:rsidRPr="00877E36" w:rsidRDefault="00877E36" w:rsidP="00877E3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40"/>
        </w:rPr>
      </w:pPr>
      <w:r w:rsidRPr="00877E36">
        <w:rPr>
          <w:rFonts w:ascii="仿宋_GB2312" w:eastAsia="仿宋_GB2312" w:hAnsi="仿宋_GB2312" w:cs="仿宋_GB2312"/>
          <w:sz w:val="32"/>
          <w:szCs w:val="40"/>
        </w:rPr>
        <w:t>24.承办县委、县政府交办的其它事项。</w:t>
      </w:r>
    </w:p>
    <w:p w:rsidR="007D7EA6" w:rsidRDefault="001556C6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（二）项目基本情况</w:t>
      </w:r>
      <w:bookmarkEnd w:id="22"/>
      <w:bookmarkEnd w:id="23"/>
      <w:bookmarkEnd w:id="24"/>
    </w:p>
    <w:p w:rsidR="000915A6" w:rsidRDefault="000915A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bookmarkStart w:id="25" w:name="_Toc27552"/>
      <w:bookmarkStart w:id="26" w:name="_Toc24191"/>
      <w:bookmarkStart w:id="27" w:name="_Toc26594"/>
      <w:bookmarkStart w:id="28" w:name="_Toc32656"/>
      <w:r>
        <w:rPr>
          <w:rFonts w:ascii="仿宋_GB2312" w:eastAsia="仿宋_GB2312" w:hAnsi="仿宋_GB2312" w:cs="仿宋_GB2312" w:hint="eastAsia"/>
          <w:sz w:val="32"/>
          <w:szCs w:val="32"/>
        </w:rPr>
        <w:t>项目资金数：2022年度隆尧县农村小学营养改善计划，</w:t>
      </w:r>
      <w:r w:rsidR="00B81323">
        <w:rPr>
          <w:rFonts w:ascii="仿宋_GB2312" w:eastAsia="仿宋_GB2312" w:hAnsi="仿宋_GB2312" w:cs="仿宋_GB2312" w:hint="eastAsia"/>
          <w:sz w:val="32"/>
          <w:szCs w:val="32"/>
        </w:rPr>
        <w:t>县级配套资金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预算安排886万元。</w:t>
      </w:r>
    </w:p>
    <w:p w:rsidR="000915A6" w:rsidRDefault="000915A6">
      <w:pPr>
        <w:shd w:val="clear" w:color="auto" w:fill="FFFCFC"/>
        <w:spacing w:line="600" w:lineRule="exact"/>
        <w:ind w:firstLine="640"/>
        <w:rPr>
          <w:rFonts w:ascii="仿宋_GB2312" w:eastAsia="仿宋_GB2312" w:hAnsi="仿宋" w:cs="宋体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项目数量：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实施范围为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全县农村小学112所(包括民办学校)，2022年约36200余名学生。</w:t>
      </w:r>
    </w:p>
    <w:p w:rsidR="000915A6" w:rsidRDefault="000915A6">
      <w:pPr>
        <w:shd w:val="clear" w:color="auto" w:fill="FFFCFC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工程量与支付资金情况：项目实施周期为2022年度学生在校</w:t>
      </w:r>
      <w:r w:rsidR="0015537D">
        <w:rPr>
          <w:rFonts w:ascii="仿宋_GB2312" w:eastAsia="仿宋_GB2312" w:hAnsi="仿宋_GB2312" w:cs="仿宋_GB2312" w:hint="eastAsia"/>
          <w:sz w:val="32"/>
          <w:szCs w:val="32"/>
        </w:rPr>
        <w:t>200天</w:t>
      </w:r>
      <w:r>
        <w:rPr>
          <w:rFonts w:ascii="仿宋_GB2312" w:eastAsia="仿宋_GB2312" w:hAnsi="仿宋_GB2312" w:cs="仿宋_GB2312" w:hint="eastAsia"/>
          <w:sz w:val="32"/>
          <w:szCs w:val="32"/>
        </w:rPr>
        <w:t>，省级预算安排资金支付支付590.76万元。</w:t>
      </w:r>
    </w:p>
    <w:p w:rsidR="007D7EA6" w:rsidRDefault="000915A6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29" w:name="_Toc7839"/>
      <w:bookmarkStart w:id="30" w:name="_Toc14644"/>
      <w:bookmarkStart w:id="31" w:name="_Toc2988"/>
      <w:bookmarkStart w:id="32" w:name="_Toc18992"/>
      <w:bookmarkStart w:id="33" w:name="_Toc6781"/>
      <w:bookmarkStart w:id="34" w:name="_Toc17782"/>
      <w:bookmarkStart w:id="35" w:name="_Toc26109"/>
      <w:bookmarkStart w:id="36" w:name="_Toc28908"/>
      <w:bookmarkStart w:id="37" w:name="_Toc4859"/>
      <w:bookmarkStart w:id="38" w:name="_Toc12860"/>
      <w:bookmarkEnd w:id="25"/>
      <w:bookmarkEnd w:id="26"/>
      <w:bookmarkEnd w:id="27"/>
      <w:bookmarkEnd w:id="28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lastRenderedPageBreak/>
        <w:t>二、项目实施情况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7D7EA6" w:rsidRDefault="001556C6">
      <w:pPr>
        <w:overflowPunct w:val="0"/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实施范围：按照省教育、财政、发改、农业农村四部门联合印发的《关于在全省农村小学生中实施营养改善计划地方试点的实施方案》中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在全县农村小学生</w:t>
      </w: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包括民办学校学生，不含在县政府驻地学校就读学生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纳入试点范围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的规定，结合隆人社〔</w:t>
      </w:r>
      <w:r>
        <w:rPr>
          <w:rFonts w:ascii="Times New Roman" w:eastAsia="仿宋_GB2312" w:hAnsi="Times New Roman"/>
          <w:sz w:val="32"/>
          <w:szCs w:val="32"/>
        </w:rPr>
        <w:t>2015</w:t>
      </w:r>
      <w:r>
        <w:rPr>
          <w:rFonts w:ascii="Times New Roman" w:eastAsia="仿宋_GB2312" w:hAnsi="Times New Roman"/>
          <w:sz w:val="32"/>
          <w:szCs w:val="32"/>
        </w:rPr>
        <w:t>〕</w:t>
      </w:r>
      <w:r>
        <w:rPr>
          <w:rFonts w:ascii="Times New Roman" w:eastAsia="仿宋_GB2312" w:hAnsi="Times New Roman"/>
          <w:sz w:val="32"/>
          <w:szCs w:val="32"/>
        </w:rPr>
        <w:t>12</w:t>
      </w:r>
      <w:r>
        <w:rPr>
          <w:rFonts w:ascii="Times New Roman" w:eastAsia="仿宋_GB2312" w:hAnsi="Times New Roman"/>
          <w:sz w:val="32"/>
          <w:szCs w:val="32"/>
        </w:rPr>
        <w:t>号文件要求，划定不享受营养改善计划的学校为：实验小学、第二实验小学、义丰小学、南关小学、南甫小学、东甫小学、东关小学、东河小学、成龙六一实验小学、树人实验小学共</w:t>
      </w:r>
      <w:r>
        <w:rPr>
          <w:rFonts w:ascii="Times New Roman" w:eastAsia="仿宋_GB2312" w:hAnsi="Times New Roman"/>
          <w:sz w:val="32"/>
          <w:szCs w:val="32"/>
        </w:rPr>
        <w:t>10</w:t>
      </w:r>
      <w:r>
        <w:rPr>
          <w:rFonts w:ascii="Times New Roman" w:eastAsia="仿宋_GB2312" w:hAnsi="Times New Roman"/>
          <w:sz w:val="32"/>
          <w:szCs w:val="32"/>
        </w:rPr>
        <w:t>所小学。除以上小学外，其他校区小学、直属小学均享受营养改善计划</w:t>
      </w:r>
      <w:r>
        <w:rPr>
          <w:rFonts w:ascii="Times New Roman" w:eastAsia="仿宋_GB2312" w:hAnsi="Times New Roman" w:hint="eastAsia"/>
          <w:sz w:val="32"/>
          <w:szCs w:val="32"/>
        </w:rPr>
        <w:t>。以后新建小学参照本相关规定和要求执行。</w:t>
      </w:r>
    </w:p>
    <w:p w:rsidR="007D7EA6" w:rsidRDefault="001556C6" w:rsidP="00757819">
      <w:pPr>
        <w:shd w:val="clear" w:color="auto" w:fill="FFFCFC"/>
        <w:spacing w:line="60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供餐模式：</w:t>
      </w:r>
      <w:r w:rsidR="00757819">
        <w:rPr>
          <w:rFonts w:ascii="仿宋_GB2312" w:eastAsia="仿宋_GB2312" w:hAnsi="仿宋" w:cs="宋体" w:hint="eastAsia"/>
          <w:color w:val="000000"/>
          <w:sz w:val="32"/>
          <w:szCs w:val="32"/>
        </w:rPr>
        <w:t>享受营养餐的学校补助标准为每生每天</w:t>
      </w:r>
      <w:r w:rsidR="00757819">
        <w:rPr>
          <w:rFonts w:ascii="Times New Roman" w:eastAsia="仿宋_GB2312" w:hAnsi="Times New Roman" w:hint="eastAsia"/>
          <w:color w:val="000000"/>
          <w:sz w:val="32"/>
          <w:szCs w:val="32"/>
        </w:rPr>
        <w:t>2.5</w:t>
      </w:r>
      <w:r w:rsidR="00757819">
        <w:rPr>
          <w:rFonts w:ascii="仿宋_GB2312" w:eastAsia="仿宋_GB2312" w:hAnsi="仿宋" w:cs="宋体" w:hint="eastAsia"/>
          <w:color w:val="000000"/>
          <w:sz w:val="32"/>
          <w:szCs w:val="32"/>
        </w:rPr>
        <w:t>元，按照学生全年在校时间（除法定节假日、寒暑假外）</w:t>
      </w:r>
      <w:r w:rsidR="00757819">
        <w:rPr>
          <w:rFonts w:ascii="Times New Roman" w:eastAsia="仿宋_GB2312" w:hAnsi="Times New Roman" w:hint="eastAsia"/>
          <w:color w:val="000000"/>
          <w:sz w:val="32"/>
          <w:szCs w:val="32"/>
        </w:rPr>
        <w:t>200</w:t>
      </w:r>
      <w:r w:rsidR="00757819">
        <w:rPr>
          <w:rFonts w:ascii="仿宋_GB2312" w:eastAsia="仿宋_GB2312" w:hAnsi="仿宋" w:cs="宋体" w:hint="eastAsia"/>
          <w:color w:val="000000"/>
          <w:sz w:val="32"/>
          <w:szCs w:val="32"/>
        </w:rPr>
        <w:t>天计算，每生每年补</w:t>
      </w:r>
      <w:r w:rsidR="00757819">
        <w:rPr>
          <w:rFonts w:ascii="Times New Roman" w:eastAsia="仿宋_GB2312" w:hAnsi="Times New Roman" w:hint="eastAsia"/>
          <w:color w:val="000000"/>
          <w:sz w:val="32"/>
          <w:szCs w:val="32"/>
        </w:rPr>
        <w:t>助</w:t>
      </w:r>
      <w:r w:rsidR="00757819">
        <w:rPr>
          <w:rFonts w:ascii="Times New Roman" w:eastAsia="仿宋_GB2312" w:hAnsi="Times New Roman" w:hint="eastAsia"/>
          <w:color w:val="000000"/>
          <w:sz w:val="32"/>
          <w:szCs w:val="32"/>
        </w:rPr>
        <w:t>500</w:t>
      </w:r>
      <w:r w:rsidR="00757819">
        <w:rPr>
          <w:rFonts w:ascii="仿宋_GB2312" w:eastAsia="仿宋_GB2312" w:hAnsi="仿宋" w:cs="宋体" w:hint="eastAsia"/>
          <w:color w:val="000000"/>
          <w:sz w:val="32"/>
          <w:szCs w:val="32"/>
        </w:rPr>
        <w:t>元，</w:t>
      </w:r>
      <w:r>
        <w:rPr>
          <w:rFonts w:ascii="Times New Roman" w:eastAsia="仿宋_GB2312" w:hAnsi="Times New Roman"/>
          <w:sz w:val="32"/>
          <w:szCs w:val="32"/>
        </w:rPr>
        <w:t>采取课间加餐模式，为学生提供一盒学生饮用牛奶、一个鸡蛋。</w:t>
      </w:r>
    </w:p>
    <w:p w:rsidR="00757819" w:rsidRPr="00F72BC5" w:rsidRDefault="001556C6" w:rsidP="00757819">
      <w:pPr>
        <w:shd w:val="clear" w:color="auto" w:fill="FFFCFC"/>
        <w:spacing w:line="60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财务管理情况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 w:rsidR="00757819" w:rsidRPr="00F72BC5">
        <w:rPr>
          <w:rFonts w:ascii="Times New Roman" w:eastAsia="仿宋_GB2312" w:hAnsi="Times New Roman"/>
          <w:sz w:val="32"/>
          <w:szCs w:val="32"/>
        </w:rPr>
        <w:t>县教育局健全财务管理制度，对项目资金的使用，严格按照财务管理制度规范、安全运行。</w:t>
      </w:r>
      <w:r w:rsidR="00B81323">
        <w:rPr>
          <w:rFonts w:ascii="Times New Roman" w:eastAsia="仿宋_GB2312" w:hAnsi="Times New Roman"/>
          <w:sz w:val="32"/>
          <w:szCs w:val="32"/>
        </w:rPr>
        <w:t>后勤保障中心按月汇总学校用餐情况，负责与供货商核对数据，取得合法票据，组织报销手续，按照审批流程完成审批与资金拨付，</w:t>
      </w:r>
      <w:r w:rsidR="00B81323" w:rsidRPr="00F72BC5">
        <w:rPr>
          <w:rFonts w:ascii="Times New Roman" w:eastAsia="仿宋_GB2312" w:hAnsi="Times New Roman"/>
          <w:sz w:val="32"/>
          <w:szCs w:val="32"/>
        </w:rPr>
        <w:t>项目资金到位</w:t>
      </w:r>
      <w:r w:rsidR="00B81323">
        <w:rPr>
          <w:rFonts w:ascii="Times New Roman" w:eastAsia="仿宋_GB2312" w:hAnsi="Times New Roman"/>
          <w:sz w:val="32"/>
          <w:szCs w:val="32"/>
        </w:rPr>
        <w:t>后，及时、严格按照程序进行支付。</w:t>
      </w:r>
    </w:p>
    <w:p w:rsidR="007D7EA6" w:rsidRDefault="001556C6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39" w:name="_Toc18915"/>
      <w:bookmarkStart w:id="40" w:name="_Toc10651"/>
      <w:bookmarkStart w:id="41" w:name="_Toc12150"/>
      <w:bookmarkStart w:id="42" w:name="_Toc5215"/>
      <w:bookmarkStart w:id="43" w:name="_Toc6451"/>
      <w:bookmarkStart w:id="44" w:name="_Toc21501"/>
      <w:bookmarkStart w:id="45" w:name="_Toc20904"/>
      <w:bookmarkStart w:id="46" w:name="_Toc29800"/>
      <w:bookmarkStart w:id="47" w:name="_Toc5317"/>
      <w:bookmarkStart w:id="48" w:name="_Toc26855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三、绩效评价工作情况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7D7EA6" w:rsidRDefault="001556C6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49" w:name="_Toc4056"/>
      <w:bookmarkStart w:id="50" w:name="_Toc5105"/>
      <w:bookmarkStart w:id="51" w:name="_Toc15730"/>
      <w:bookmarkStart w:id="52" w:name="_Toc17355"/>
      <w:bookmarkStart w:id="53" w:name="_Toc7570"/>
      <w:bookmarkStart w:id="54" w:name="_Toc25600"/>
      <w:bookmarkStart w:id="55" w:name="_Toc23608"/>
      <w:bookmarkStart w:id="56" w:name="_Toc8077"/>
      <w:bookmarkStart w:id="57" w:name="_Toc22771"/>
      <w:bookmarkStart w:id="58" w:name="_Toc14742"/>
      <w:r>
        <w:rPr>
          <w:rFonts w:ascii="仿宋_GB2312" w:eastAsia="仿宋_GB2312" w:hAnsi="仿宋_GB2312" w:cs="仿宋_GB2312" w:hint="eastAsia"/>
          <w:sz w:val="32"/>
          <w:szCs w:val="40"/>
        </w:rPr>
        <w:t>（一）评价目的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7D7EA6" w:rsidRDefault="001556C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通过对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年“</w:t>
      </w:r>
      <w:r>
        <w:rPr>
          <w:rFonts w:ascii="仿宋_GB2312" w:eastAsia="仿宋_GB2312" w:hAnsi="宋体" w:cs="宋体" w:hint="eastAsia"/>
          <w:bCs/>
          <w:sz w:val="32"/>
          <w:szCs w:val="32"/>
        </w:rPr>
        <w:t>营养改善计划”</w:t>
      </w:r>
      <w:r>
        <w:rPr>
          <w:rFonts w:ascii="仿宋_GB2312" w:eastAsia="仿宋_GB2312" w:hint="eastAsia"/>
          <w:sz w:val="32"/>
          <w:szCs w:val="32"/>
        </w:rPr>
        <w:t>项目资金进行绩效评价，了解和掌握项目的决策情况、具体实施情况、采取的工作措施等，提出加项目资金支出管理建议，促进财政资金使用绩效。</w:t>
      </w:r>
    </w:p>
    <w:p w:rsidR="007D7EA6" w:rsidRDefault="001556C6">
      <w:pPr>
        <w:spacing w:line="580" w:lineRule="exact"/>
        <w:ind w:firstLineChars="200" w:firstLine="640"/>
        <w:jc w:val="left"/>
      </w:pPr>
      <w:r>
        <w:rPr>
          <w:rFonts w:ascii="仿宋_GB2312" w:eastAsia="仿宋_GB2312" w:hint="eastAsia"/>
          <w:sz w:val="32"/>
          <w:szCs w:val="32"/>
        </w:rPr>
        <w:t>促使项目单位根据绩效评价中发现的问题，认真整改，及时调整和完善单位工作计划和绩效目标并加强项目管理，同时为项目后续资金投入、分配和管理提供决策依据。</w:t>
      </w:r>
    </w:p>
    <w:p w:rsidR="007D7EA6" w:rsidRDefault="001556C6">
      <w:pPr>
        <w:numPr>
          <w:ilvl w:val="0"/>
          <w:numId w:val="1"/>
        </w:num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59" w:name="_Toc18502"/>
      <w:bookmarkStart w:id="60" w:name="_Toc25746"/>
      <w:bookmarkStart w:id="61" w:name="_Toc27199"/>
      <w:bookmarkStart w:id="62" w:name="_Toc30351"/>
      <w:bookmarkStart w:id="63" w:name="_Toc8288"/>
      <w:bookmarkStart w:id="64" w:name="_Toc22727"/>
      <w:bookmarkStart w:id="65" w:name="_Toc3910"/>
      <w:bookmarkStart w:id="66" w:name="_Toc27346"/>
      <w:bookmarkStart w:id="67" w:name="_Toc16971"/>
      <w:bookmarkStart w:id="68" w:name="_Toc16121"/>
      <w:r>
        <w:rPr>
          <w:rFonts w:ascii="仿宋_GB2312" w:eastAsia="仿宋_GB2312" w:hAnsi="仿宋_GB2312" w:cs="仿宋_GB2312" w:hint="eastAsia"/>
          <w:sz w:val="32"/>
          <w:szCs w:val="40"/>
        </w:rPr>
        <w:t>评价指标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7D7EA6" w:rsidRDefault="001556C6" w:rsidP="0057235C">
      <w:pPr>
        <w:pStyle w:val="2"/>
        <w:ind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color w:val="auto"/>
          <w:sz w:val="32"/>
          <w:szCs w:val="32"/>
        </w:rPr>
        <w:t>设定隆尧县农村小学营养改善计划项目重点绩效评价指标表，如下表。</w:t>
      </w:r>
    </w:p>
    <w:p w:rsidR="007D7EA6" w:rsidRDefault="001556C6">
      <w:pPr>
        <w:numPr>
          <w:ilvl w:val="0"/>
          <w:numId w:val="1"/>
        </w:num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69" w:name="_Toc12572"/>
      <w:bookmarkStart w:id="70" w:name="_Toc5587"/>
      <w:bookmarkStart w:id="71" w:name="_Toc25343"/>
      <w:bookmarkStart w:id="72" w:name="_Toc19154"/>
      <w:bookmarkStart w:id="73" w:name="_Toc32241"/>
      <w:bookmarkStart w:id="74" w:name="_Toc19068"/>
      <w:bookmarkStart w:id="75" w:name="_Toc11684"/>
      <w:bookmarkStart w:id="76" w:name="_Toc23270"/>
      <w:bookmarkStart w:id="77" w:name="_Toc5304"/>
      <w:bookmarkStart w:id="78" w:name="_Toc32306"/>
      <w:r>
        <w:rPr>
          <w:rFonts w:ascii="仿宋_GB2312" w:eastAsia="仿宋_GB2312" w:hAnsi="仿宋_GB2312" w:cs="仿宋_GB2312" w:hint="eastAsia"/>
          <w:sz w:val="32"/>
          <w:szCs w:val="40"/>
        </w:rPr>
        <w:t>评价依据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7D7EA6" w:rsidRDefault="001556C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《中华人民共和国预算法》</w:t>
      </w:r>
    </w:p>
    <w:p w:rsidR="007D7EA6" w:rsidRDefault="001556C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《中华人民共和国会计法》</w:t>
      </w:r>
    </w:p>
    <w:p w:rsidR="007D7EA6" w:rsidRDefault="001556C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《中华人民共和国教育法》</w:t>
      </w:r>
    </w:p>
    <w:p w:rsidR="007D7EA6" w:rsidRDefault="001556C6">
      <w:pPr>
        <w:widowControl/>
        <w:spacing w:line="58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4.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《财政检查工作办法》（财政部令〔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2006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〕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32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号）</w:t>
      </w:r>
    </w:p>
    <w:p w:rsidR="007D7EA6" w:rsidRDefault="001556C6">
      <w:pPr>
        <w:spacing w:line="580" w:lineRule="exact"/>
        <w:ind w:firstLineChars="200" w:firstLine="640"/>
        <w:rPr>
          <w:rFonts w:ascii="仿宋_GB2312" w:eastAsia="仿宋_GB2312" w:hAnsi="宋体" w:cs="宋体"/>
          <w:sz w:val="32"/>
          <w:szCs w:val="32"/>
          <w:lang w:val="zh-CN"/>
        </w:rPr>
      </w:pPr>
      <w:r>
        <w:rPr>
          <w:rFonts w:ascii="仿宋_GB2312" w:eastAsia="仿宋_GB2312" w:hAnsi="宋体" w:cs="宋体" w:hint="eastAsia"/>
          <w:sz w:val="32"/>
          <w:szCs w:val="32"/>
        </w:rPr>
        <w:t>5.</w:t>
      </w:r>
      <w:r>
        <w:rPr>
          <w:rFonts w:ascii="仿宋_GB2312" w:eastAsia="仿宋_GB2312" w:hAnsi="宋体" w:cs="宋体" w:hint="eastAsia"/>
          <w:sz w:val="32"/>
          <w:szCs w:val="32"/>
          <w:lang w:val="zh-CN"/>
        </w:rPr>
        <w:t>《</w:t>
      </w:r>
      <w:r>
        <w:rPr>
          <w:rFonts w:ascii="仿宋_GB2312" w:eastAsia="仿宋_GB2312" w:hAnsi="宋体" w:cs="宋体" w:hint="eastAsia"/>
          <w:sz w:val="32"/>
          <w:szCs w:val="32"/>
        </w:rPr>
        <w:t>财政部关于印发</w:t>
      </w:r>
      <w:r>
        <w:rPr>
          <w:rFonts w:ascii="仿宋_GB2312" w:eastAsia="仿宋_GB2312" w:hAnsi="宋体" w:cs="宋体"/>
          <w:sz w:val="32"/>
          <w:szCs w:val="32"/>
        </w:rPr>
        <w:t>&lt;</w:t>
      </w:r>
      <w:r>
        <w:rPr>
          <w:rFonts w:ascii="仿宋_GB2312" w:eastAsia="仿宋_GB2312" w:hAnsi="宋体" w:cs="宋体" w:hint="eastAsia"/>
          <w:sz w:val="32"/>
          <w:szCs w:val="32"/>
        </w:rPr>
        <w:t>项目支出绩效评价管理办法</w:t>
      </w:r>
      <w:r>
        <w:rPr>
          <w:rFonts w:ascii="仿宋_GB2312" w:eastAsia="仿宋_GB2312" w:hAnsi="宋体" w:cs="宋体"/>
          <w:sz w:val="32"/>
          <w:szCs w:val="32"/>
        </w:rPr>
        <w:t>&gt;</w:t>
      </w:r>
      <w:r>
        <w:rPr>
          <w:rFonts w:ascii="仿宋_GB2312" w:eastAsia="仿宋_GB2312" w:hAnsi="宋体" w:cs="宋体" w:hint="eastAsia"/>
          <w:sz w:val="32"/>
          <w:szCs w:val="32"/>
        </w:rPr>
        <w:t>的通知</w:t>
      </w:r>
      <w:r>
        <w:rPr>
          <w:rFonts w:ascii="仿宋_GB2312" w:eastAsia="仿宋_GB2312" w:hAnsi="宋体" w:cs="宋体" w:hint="eastAsia"/>
          <w:sz w:val="32"/>
          <w:szCs w:val="32"/>
          <w:lang w:val="zh-CN"/>
        </w:rPr>
        <w:t>》（</w:t>
      </w:r>
      <w:r>
        <w:rPr>
          <w:rFonts w:ascii="仿宋_GB2312" w:eastAsia="仿宋_GB2312" w:hAnsi="宋体" w:cs="宋体" w:hint="eastAsia"/>
          <w:sz w:val="32"/>
          <w:szCs w:val="32"/>
        </w:rPr>
        <w:t>财预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〔</w:t>
      </w:r>
      <w:r>
        <w:rPr>
          <w:rFonts w:ascii="仿宋_GB2312" w:eastAsia="仿宋_GB2312" w:hAnsi="宋体" w:cs="宋体"/>
          <w:sz w:val="32"/>
          <w:szCs w:val="32"/>
          <w:lang w:val="zh-CN"/>
        </w:rPr>
        <w:t>20</w:t>
      </w:r>
      <w:r>
        <w:rPr>
          <w:rFonts w:ascii="仿宋_GB2312" w:eastAsia="仿宋_GB2312" w:hAnsi="宋体" w:cs="宋体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〕</w:t>
      </w:r>
      <w:r>
        <w:rPr>
          <w:rFonts w:ascii="仿宋_GB2312" w:eastAsia="仿宋_GB2312" w:hAnsi="宋体" w:cs="宋体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  <w:lang w:val="zh-CN"/>
        </w:rPr>
        <w:t>号）</w:t>
      </w:r>
    </w:p>
    <w:p w:rsidR="007D7EA6" w:rsidRDefault="001556C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6.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《中共隆尧县委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隆尧县人民政府关于全面落实预算绩效管理的实施意见》（隆</w:t>
      </w:r>
      <w:r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t>发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2019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t>5</w:t>
      </w:r>
      <w:r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t>号）</w:t>
      </w:r>
    </w:p>
    <w:p w:rsidR="007D7EA6" w:rsidRDefault="001556C6">
      <w:pPr>
        <w:widowControl/>
        <w:spacing w:line="580" w:lineRule="exact"/>
        <w:ind w:firstLineChars="200" w:firstLine="640"/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7.</w:t>
      </w:r>
      <w:r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t>《隆尧县县级预算绩效重点评价管理办法》（隆财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20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t>43</w:t>
      </w:r>
      <w:r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t>号）</w:t>
      </w:r>
    </w:p>
    <w:p w:rsidR="009D5B99" w:rsidRDefault="009D5B99" w:rsidP="009D5B99">
      <w:pPr>
        <w:widowControl/>
        <w:spacing w:line="580" w:lineRule="exact"/>
        <w:ind w:firstLineChars="200" w:firstLine="640"/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</w:pPr>
      <w:r w:rsidRPr="009D5B99"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t>8.</w:t>
      </w:r>
      <w:r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t>《</w:t>
      </w:r>
      <w:r w:rsidRPr="009D5B99"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t>营养改善计划实施方案</w:t>
      </w:r>
      <w:r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t>》</w:t>
      </w:r>
    </w:p>
    <w:p w:rsidR="009D5B99" w:rsidRPr="009D5B99" w:rsidRDefault="009D5B99" w:rsidP="009D5B99">
      <w:pPr>
        <w:widowControl/>
        <w:spacing w:line="580" w:lineRule="exact"/>
        <w:ind w:firstLineChars="200" w:firstLine="640"/>
        <w:rPr>
          <w:rFonts w:ascii="仿宋_GB2312" w:eastAsia="仿宋_GB2312" w:cs="仿宋_GB2312"/>
          <w:color w:val="000000"/>
          <w:sz w:val="32"/>
          <w:szCs w:val="32"/>
          <w:lang w:val="zh-CN"/>
        </w:rPr>
      </w:pPr>
      <w:r w:rsidRPr="009D5B99">
        <w:rPr>
          <w:rFonts w:ascii="仿宋_GB2312" w:eastAsia="仿宋_GB2312" w:cs="仿宋_GB2312" w:hint="eastAsia"/>
          <w:color w:val="000000"/>
          <w:sz w:val="32"/>
          <w:szCs w:val="32"/>
          <w:lang w:val="zh-CN"/>
        </w:rPr>
        <w:lastRenderedPageBreak/>
        <w:t>9.《食品安全国家标准预包装食品标签通则》</w:t>
      </w:r>
    </w:p>
    <w:p w:rsidR="007D7EA6" w:rsidRDefault="001556C6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 w:hint="eastAsia"/>
          <w:sz w:val="32"/>
          <w:szCs w:val="40"/>
        </w:rPr>
      </w:pPr>
      <w:bookmarkStart w:id="79" w:name="_Toc7393"/>
      <w:bookmarkStart w:id="80" w:name="_Toc1868"/>
      <w:bookmarkStart w:id="81" w:name="_Toc24302"/>
      <w:bookmarkStart w:id="82" w:name="_Toc13179"/>
      <w:bookmarkStart w:id="83" w:name="_Toc22038"/>
      <w:bookmarkStart w:id="84" w:name="_Toc9401"/>
      <w:bookmarkStart w:id="85" w:name="_Toc12940"/>
      <w:bookmarkStart w:id="86" w:name="_Toc11243"/>
      <w:bookmarkStart w:id="87" w:name="_Toc6747"/>
      <w:bookmarkStart w:id="88" w:name="_Toc26780"/>
      <w:r>
        <w:rPr>
          <w:rFonts w:ascii="仿宋_GB2312" w:eastAsia="仿宋_GB2312" w:hAnsi="仿宋_GB2312" w:cs="仿宋_GB2312" w:hint="eastAsia"/>
          <w:sz w:val="32"/>
          <w:szCs w:val="40"/>
        </w:rPr>
        <w:t>（四）评价的主要方法及等级设定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7D7EA6" w:rsidRDefault="001556C6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/>
        </w:rPr>
      </w:pPr>
      <w:r>
        <w:rPr>
          <w:rStyle w:val="a7"/>
          <w:rFonts w:ascii="仿宋_GB2312" w:eastAsia="仿宋_GB2312" w:hAnsi="宋体" w:cs="仿宋_GB2312" w:hint="eastAsia"/>
          <w:b w:val="0"/>
          <w:bCs/>
          <w:sz w:val="32"/>
          <w:szCs w:val="32"/>
          <w:lang/>
        </w:rPr>
        <w:t>根据</w:t>
      </w:r>
      <w:r>
        <w:rPr>
          <w:rStyle w:val="a7"/>
          <w:rFonts w:ascii="仿宋_GB2312" w:eastAsia="仿宋_GB2312" w:hAnsi="宋体" w:cs="仿宋_GB2312" w:hint="eastAsia"/>
          <w:b w:val="0"/>
          <w:bCs/>
          <w:sz w:val="32"/>
          <w:szCs w:val="32"/>
          <w:lang/>
        </w:rPr>
        <w:t>相关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/>
        </w:rPr>
        <w:t>要求，评价工作将</w:t>
      </w:r>
      <w:r>
        <w:rPr>
          <w:rFonts w:ascii="仿宋_GB2312" w:eastAsia="仿宋_GB2312" w:hAnsi="宋体" w:cs="仿宋_GB2312" w:hint="eastAsia"/>
          <w:kern w:val="0"/>
          <w:sz w:val="32"/>
          <w:szCs w:val="32"/>
          <w:lang/>
        </w:rPr>
        <w:t>网络评价与现场评价相结合；数字资料与纸质资料评价相结合；会计资料评价与工程技术资料评价相结合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  <w:lang/>
        </w:rPr>
        <w:t>。</w:t>
      </w:r>
    </w:p>
    <w:p w:rsidR="007D7EA6" w:rsidRDefault="001556C6">
      <w:pPr>
        <w:tabs>
          <w:tab w:val="left" w:pos="420"/>
        </w:tabs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在听取隆尧县教育局后勤保障中心对项目实施情况汇报的基础上，核实相关资料的真实性、合法性、合理性，对项目资料中反映的或分析中发现的问题进行重点核查。</w:t>
      </w:r>
    </w:p>
    <w:p w:rsidR="007D7EA6" w:rsidRDefault="001556C6">
      <w:pPr>
        <w:tabs>
          <w:tab w:val="left" w:pos="420"/>
        </w:tabs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实地检查的形式：采取座谈、现场核实、走访、调查问卷、查阅资料等方式。</w:t>
      </w:r>
    </w:p>
    <w:p w:rsidR="007D7EA6" w:rsidRDefault="001556C6" w:rsidP="00E77F25">
      <w:pPr>
        <w:pStyle w:val="2"/>
        <w:ind w:firstLine="640"/>
        <w:rPr>
          <w:rFonts w:ascii="仿宋_GB2312" w:eastAsia="仿宋_GB2312" w:hAnsi="Calibri"/>
          <w:color w:val="auto"/>
          <w:sz w:val="32"/>
          <w:szCs w:val="32"/>
        </w:rPr>
      </w:pPr>
      <w:r>
        <w:rPr>
          <w:rFonts w:ascii="仿宋_GB2312" w:eastAsia="仿宋_GB2312" w:hAnsi="Calibri" w:hint="eastAsia"/>
          <w:color w:val="auto"/>
          <w:sz w:val="32"/>
          <w:szCs w:val="32"/>
        </w:rPr>
        <w:t>3.</w:t>
      </w:r>
      <w:r>
        <w:rPr>
          <w:rFonts w:ascii="仿宋_GB2312" w:eastAsia="仿宋_GB2312" w:hAnsi="Calibri" w:hint="eastAsia"/>
          <w:color w:val="auto"/>
          <w:sz w:val="32"/>
          <w:szCs w:val="32"/>
        </w:rPr>
        <w:t>综合评价。评价组在全面分析整理被评价项目的相关数据资料的基础上，总结评价情况，对照评价指标和标准，进行综合评议与打分，得出评价结论，撰写评价报告。</w:t>
      </w:r>
    </w:p>
    <w:p w:rsidR="006B6E10" w:rsidRDefault="001556C6" w:rsidP="006B6E10">
      <w:pPr>
        <w:spacing w:line="48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4.</w:t>
      </w:r>
      <w:r w:rsidR="006B6E10" w:rsidRPr="006B6E10">
        <w:rPr>
          <w:rFonts w:ascii="仿宋_GB2312" w:eastAsia="仿宋_GB2312" w:hint="eastAsia"/>
          <w:sz w:val="32"/>
          <w:szCs w:val="32"/>
        </w:rPr>
        <w:t>评价等级设置为：优秀</w:t>
      </w:r>
      <w:r w:rsidR="006B6E10">
        <w:rPr>
          <w:rFonts w:ascii="仿宋_GB2312" w:eastAsia="仿宋_GB2312" w:hint="eastAsia"/>
          <w:sz w:val="32"/>
          <w:szCs w:val="32"/>
        </w:rPr>
        <w:t>9</w:t>
      </w:r>
      <w:r w:rsidR="006B6E10" w:rsidRPr="006B6E10">
        <w:rPr>
          <w:rFonts w:ascii="仿宋_GB2312" w:eastAsia="仿宋_GB2312" w:hint="eastAsia"/>
          <w:sz w:val="32"/>
          <w:szCs w:val="32"/>
        </w:rPr>
        <w:t>5分以上（含</w:t>
      </w:r>
      <w:r w:rsidR="006B6E10">
        <w:rPr>
          <w:rFonts w:ascii="仿宋_GB2312" w:eastAsia="仿宋_GB2312" w:hint="eastAsia"/>
          <w:sz w:val="32"/>
          <w:szCs w:val="32"/>
        </w:rPr>
        <w:t>9</w:t>
      </w:r>
      <w:r w:rsidR="006B6E10" w:rsidRPr="006B6E10">
        <w:rPr>
          <w:rFonts w:ascii="仿宋_GB2312" w:eastAsia="仿宋_GB2312" w:hint="eastAsia"/>
          <w:sz w:val="32"/>
          <w:szCs w:val="32"/>
        </w:rPr>
        <w:t>5分）、良好</w:t>
      </w:r>
      <w:r w:rsidR="006B6E10">
        <w:rPr>
          <w:rFonts w:ascii="仿宋_GB2312" w:eastAsia="仿宋_GB2312" w:hint="eastAsia"/>
          <w:sz w:val="32"/>
          <w:szCs w:val="32"/>
        </w:rPr>
        <w:t>80</w:t>
      </w:r>
      <w:r w:rsidR="006B6E10" w:rsidRPr="006B6E10">
        <w:rPr>
          <w:rFonts w:ascii="仿宋_GB2312" w:eastAsia="仿宋_GB2312" w:hint="eastAsia"/>
          <w:sz w:val="32"/>
          <w:szCs w:val="32"/>
        </w:rPr>
        <w:t>分-</w:t>
      </w:r>
      <w:r w:rsidR="006B6E10">
        <w:rPr>
          <w:rFonts w:ascii="仿宋_GB2312" w:eastAsia="仿宋_GB2312" w:hint="eastAsia"/>
          <w:sz w:val="32"/>
          <w:szCs w:val="32"/>
        </w:rPr>
        <w:t>94</w:t>
      </w:r>
      <w:r w:rsidR="006B6E10" w:rsidRPr="006B6E10">
        <w:rPr>
          <w:rFonts w:ascii="仿宋_GB2312" w:eastAsia="仿宋_GB2312" w:hint="eastAsia"/>
          <w:sz w:val="32"/>
          <w:szCs w:val="32"/>
        </w:rPr>
        <w:t>分（含</w:t>
      </w:r>
      <w:r w:rsidR="00511C3B">
        <w:rPr>
          <w:rFonts w:ascii="仿宋_GB2312" w:eastAsia="仿宋_GB2312" w:hint="eastAsia"/>
          <w:sz w:val="32"/>
          <w:szCs w:val="32"/>
        </w:rPr>
        <w:t>80</w:t>
      </w:r>
      <w:r w:rsidR="006B6E10" w:rsidRPr="006B6E10">
        <w:rPr>
          <w:rFonts w:ascii="仿宋_GB2312" w:eastAsia="仿宋_GB2312" w:hint="eastAsia"/>
          <w:sz w:val="32"/>
          <w:szCs w:val="32"/>
        </w:rPr>
        <w:t>分）、合格60分-</w:t>
      </w:r>
      <w:r w:rsidR="006B6E10">
        <w:rPr>
          <w:rFonts w:ascii="仿宋_GB2312" w:eastAsia="仿宋_GB2312" w:hint="eastAsia"/>
          <w:sz w:val="32"/>
          <w:szCs w:val="32"/>
        </w:rPr>
        <w:t>79</w:t>
      </w:r>
      <w:r w:rsidR="006B6E10" w:rsidRPr="006B6E10">
        <w:rPr>
          <w:rFonts w:ascii="仿宋_GB2312" w:eastAsia="仿宋_GB2312" w:hint="eastAsia"/>
          <w:sz w:val="32"/>
          <w:szCs w:val="32"/>
        </w:rPr>
        <w:t>分（含60分）、不合格（60分以下）四个等级。</w:t>
      </w:r>
    </w:p>
    <w:p w:rsidR="007D7EA6" w:rsidRPr="006B6E10" w:rsidRDefault="00A12B32" w:rsidP="00A12B32">
      <w:pPr>
        <w:pStyle w:val="2"/>
        <w:ind w:firstLine="640"/>
        <w:rPr>
          <w:rFonts w:ascii="仿宋_GB2312" w:eastAsia="仿宋_GB2312"/>
          <w:sz w:val="32"/>
          <w:szCs w:val="32"/>
        </w:rPr>
      </w:pPr>
      <w:r w:rsidRPr="00A12B32">
        <w:rPr>
          <w:rFonts w:ascii="仿宋_GB2312" w:eastAsia="仿宋_GB2312" w:hAnsi="Calibri" w:hint="eastAsia"/>
          <w:color w:val="auto"/>
          <w:sz w:val="32"/>
          <w:szCs w:val="32"/>
        </w:rPr>
        <w:t>《隆尧县农村小学营养改善计划项目</w:t>
      </w:r>
      <w:r>
        <w:rPr>
          <w:rFonts w:ascii="仿宋_GB2312" w:eastAsia="仿宋_GB2312" w:hAnsi="Calibri" w:hint="eastAsia"/>
          <w:color w:val="auto"/>
          <w:sz w:val="32"/>
          <w:szCs w:val="32"/>
        </w:rPr>
        <w:t>》绩效自评为</w:t>
      </w:r>
      <w:r w:rsidR="00EE0355">
        <w:rPr>
          <w:rFonts w:ascii="仿宋_GB2312" w:eastAsia="仿宋_GB2312" w:hAnsi="Calibri" w:hint="eastAsia"/>
          <w:color w:val="auto"/>
          <w:sz w:val="32"/>
          <w:szCs w:val="32"/>
        </w:rPr>
        <w:t>97</w:t>
      </w:r>
      <w:r>
        <w:rPr>
          <w:rFonts w:ascii="仿宋_GB2312" w:eastAsia="仿宋_GB2312" w:hAnsi="Calibri" w:hint="eastAsia"/>
          <w:color w:val="auto"/>
          <w:sz w:val="32"/>
          <w:szCs w:val="32"/>
        </w:rPr>
        <w:t>分，自评结果为优。</w:t>
      </w:r>
    </w:p>
    <w:p w:rsidR="007D7EA6" w:rsidRDefault="001556C6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</w:rPr>
      </w:pPr>
      <w:bookmarkStart w:id="89" w:name="_Toc10113"/>
      <w:bookmarkStart w:id="90" w:name="_Toc28621"/>
      <w:bookmarkStart w:id="91" w:name="_Toc20748"/>
      <w:bookmarkStart w:id="92" w:name="_Toc6105"/>
      <w:bookmarkStart w:id="93" w:name="_Toc18842"/>
      <w:bookmarkStart w:id="94" w:name="_Toc22222"/>
      <w:bookmarkStart w:id="95" w:name="_Toc17025"/>
      <w:bookmarkStart w:id="96" w:name="_Toc5623"/>
      <w:bookmarkStart w:id="97" w:name="_Toc30508"/>
      <w:bookmarkStart w:id="98" w:name="_Toc21014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四、绩效评价指标体系及得分情况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7D7EA6" w:rsidRPr="00020C88" w:rsidRDefault="00020C88" w:rsidP="00020C88">
      <w:pPr>
        <w:jc w:val="center"/>
      </w:pPr>
      <w:r w:rsidRPr="00020C8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隆尧县农村小学营养改善计划</w:t>
      </w:r>
      <w:r w:rsidR="001556C6" w:rsidRPr="00020C88"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>项目重点绩效评价指标表</w:t>
      </w:r>
    </w:p>
    <w:tbl>
      <w:tblPr>
        <w:tblW w:w="9098" w:type="dxa"/>
        <w:tblInd w:w="-1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491"/>
        <w:gridCol w:w="2498"/>
        <w:gridCol w:w="426"/>
        <w:gridCol w:w="3696"/>
        <w:gridCol w:w="711"/>
      </w:tblGrid>
      <w:tr w:rsidR="007D7EA6">
        <w:trPr>
          <w:trHeight w:val="5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一级指标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二级指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lastRenderedPageBreak/>
              <w:t>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lastRenderedPageBreak/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得分</w:t>
            </w:r>
          </w:p>
        </w:tc>
      </w:tr>
      <w:tr w:rsidR="007D7EA6">
        <w:trPr>
          <w:trHeight w:val="34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lastRenderedPageBreak/>
              <w:t>名称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7D7EA6">
        <w:trPr>
          <w:trHeight w:val="66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“工作活动”设置（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30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有政府相关政策、规划、任务等文件得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7.5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分；无不得分。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7.5</w:t>
            </w:r>
          </w:p>
        </w:tc>
      </w:tr>
      <w:tr w:rsidR="007D7EA6">
        <w:trPr>
          <w:trHeight w:val="11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7.5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分；否则不得分。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7.5</w:t>
            </w:r>
          </w:p>
        </w:tc>
      </w:tr>
      <w:tr w:rsidR="007D7EA6">
        <w:trPr>
          <w:trHeight w:val="56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缺少一项扣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8</w:t>
            </w:r>
          </w:p>
        </w:tc>
      </w:tr>
      <w:tr w:rsidR="007D7EA6">
        <w:trPr>
          <w:trHeight w:val="14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</w:t>
            </w:r>
          </w:p>
        </w:tc>
      </w:tr>
      <w:tr w:rsidR="007D7EA6">
        <w:trPr>
          <w:trHeight w:val="102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“工作活动”管理（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30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预算调整率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=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（预算调整数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预算数）×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。预算调整率每大于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扣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0.5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7D7EA6">
        <w:trPr>
          <w:trHeight w:val="102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资金使用合规性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报账手续是否齐全。每存在一项不合规问题扣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7D7EA6">
        <w:trPr>
          <w:trHeight w:val="8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7D7EA6">
        <w:trPr>
          <w:trHeight w:val="175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7D7EA6">
        <w:trPr>
          <w:trHeight w:val="76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7D7EA6">
        <w:trPr>
          <w:trHeight w:val="50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“工作活动”产出（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30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受营养餐学生数量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按照《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营养改善计划实施方案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7D7EA6">
        <w:trPr>
          <w:trHeight w:val="573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享受营养餐学校数量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按照《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营养改善计划实施方案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7D7EA6">
        <w:trPr>
          <w:trHeight w:val="64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食品安全达标率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达到《食品安全国家标准》规定标准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7D7EA6">
        <w:trPr>
          <w:trHeight w:val="49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资金拨付率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是否到达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年度工作计划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目标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EE035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3</w:t>
            </w:r>
          </w:p>
        </w:tc>
      </w:tr>
      <w:tr w:rsidR="007D7EA6">
        <w:trPr>
          <w:trHeight w:val="59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营养改善计划周期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按照《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营养改善计划实施方案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7D7EA6">
        <w:trPr>
          <w:trHeight w:val="40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 w:rsidP="00706CE0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“工作活动”效果（</w:t>
            </w:r>
            <w:r w:rsidR="00706CE0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满意度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享受营养餐学生满意度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按照《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营养改善计划实施方案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06C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:rsidR="007D7EA6">
        <w:trPr>
          <w:trHeight w:val="40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1556C6">
            <w:pPr>
              <w:ind w:firstLineChars="100" w:firstLine="220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7D7EA6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D7EA6" w:rsidRDefault="00EE035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97</w:t>
            </w:r>
          </w:p>
        </w:tc>
      </w:tr>
    </w:tbl>
    <w:p w:rsidR="007D7EA6" w:rsidRDefault="001556C6">
      <w:pPr>
        <w:pStyle w:val="2"/>
        <w:spacing w:line="560" w:lineRule="exact"/>
        <w:ind w:leftChars="200" w:left="420" w:firstLineChars="100" w:firstLine="32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99" w:name="_Toc2634_WPSOffice_Level1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五、评价分析</w:t>
      </w:r>
      <w:bookmarkEnd w:id="99"/>
    </w:p>
    <w:p w:rsidR="007D7EA6" w:rsidRDefault="001556C6">
      <w:pPr>
        <w:spacing w:line="560" w:lineRule="exact"/>
        <w:ind w:firstLineChars="200" w:firstLine="640"/>
        <w:outlineLvl w:val="1"/>
        <w:rPr>
          <w:rFonts w:ascii="仿宋_GB2312" w:eastAsia="仿宋_GB2312" w:hAnsi="仿宋_GB2312" w:cs="仿宋_GB2312"/>
          <w:color w:val="000000"/>
          <w:sz w:val="32"/>
          <w:szCs w:val="40"/>
        </w:rPr>
      </w:pPr>
      <w:bookmarkStart w:id="100" w:name="_Toc18513_WPSOffice_Level2"/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（一）主要扣分事项及原因分析</w:t>
      </w:r>
      <w:bookmarkEnd w:id="100"/>
    </w:p>
    <w:p w:rsidR="007D7EA6" w:rsidRPr="00EE0355" w:rsidRDefault="00EE0355" w:rsidP="00EE0355">
      <w:pPr>
        <w:spacing w:line="560" w:lineRule="exact"/>
        <w:ind w:firstLineChars="200" w:firstLine="640"/>
        <w:outlineLvl w:val="1"/>
        <w:rPr>
          <w:rFonts w:ascii="仿宋_GB2312" w:eastAsia="仿宋_GB2312" w:hAnsi="仿宋_GB2312" w:cs="仿宋_GB2312"/>
          <w:color w:val="000000"/>
          <w:sz w:val="32"/>
          <w:szCs w:val="40"/>
        </w:rPr>
      </w:pPr>
      <w:r w:rsidRPr="00EE0355"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因为疫情影响，学生在校时间减少，营养餐用餐减少。下一步</w:t>
      </w:r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，继续加大营养餐配餐力度，保障学生在校时间安全用餐。</w:t>
      </w:r>
    </w:p>
    <w:p w:rsidR="007D7EA6" w:rsidRDefault="001556C6" w:rsidP="00EE0355">
      <w:pPr>
        <w:pStyle w:val="2"/>
        <w:spacing w:line="560" w:lineRule="exact"/>
        <w:ind w:leftChars="200" w:left="420" w:firstLineChars="100" w:firstLine="320"/>
        <w:outlineLvl w:val="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bookmarkStart w:id="101" w:name="_GoBack"/>
      <w:bookmarkStart w:id="102" w:name="_Toc11279_WPSOffice_Level1"/>
      <w:bookmarkEnd w:id="101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六、意见及建议</w:t>
      </w:r>
      <w:bookmarkEnd w:id="102"/>
    </w:p>
    <w:p w:rsidR="00EE0355" w:rsidRPr="00EE0355" w:rsidRDefault="00EE0355" w:rsidP="00EE0355">
      <w:pPr>
        <w:spacing w:line="560" w:lineRule="exact"/>
        <w:ind w:firstLineChars="200" w:firstLine="420"/>
        <w:outlineLvl w:val="1"/>
      </w:pPr>
      <w:r>
        <w:rPr>
          <w:rFonts w:hint="eastAsia"/>
        </w:rPr>
        <w:t xml:space="preserve">   </w:t>
      </w:r>
      <w:r w:rsidRPr="00EE0355"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丰富用餐模式，提高营养餐用餐标准，</w:t>
      </w:r>
      <w:r w:rsidR="00082457">
        <w:rPr>
          <w:rFonts w:ascii="仿宋_GB2312" w:eastAsia="仿宋_GB2312" w:hAnsi="仿宋_GB2312" w:cs="仿宋_GB2312" w:hint="eastAsia"/>
          <w:sz w:val="32"/>
          <w:szCs w:val="32"/>
        </w:rPr>
        <w:t>切实增强农村小学生的体质，提高农村小学生的健康水平。</w:t>
      </w:r>
    </w:p>
    <w:p w:rsidR="007D7EA6" w:rsidRDefault="001556C6">
      <w:pPr>
        <w:pStyle w:val="2"/>
        <w:spacing w:line="560" w:lineRule="exact"/>
        <w:ind w:firstLineChars="1900" w:firstLine="608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7D7EA6" w:rsidRDefault="007D7EA6">
      <w:pPr>
        <w:rPr>
          <w:rFonts w:ascii="仿宋_GB2312" w:eastAsia="仿宋_GB2312" w:hAnsi="仿宋_GB2312" w:cs="仿宋_GB2312"/>
        </w:rPr>
      </w:pPr>
    </w:p>
    <w:sectPr w:rsidR="007D7EA6" w:rsidSect="007D7EA6">
      <w:footerReference w:type="default" r:id="rId8"/>
      <w:pgSz w:w="11906" w:h="16838"/>
      <w:pgMar w:top="2154" w:right="1474" w:bottom="1984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6C6" w:rsidRDefault="001556C6" w:rsidP="007D7EA6">
      <w:r>
        <w:separator/>
      </w:r>
    </w:p>
  </w:endnote>
  <w:endnote w:type="continuationSeparator" w:id="1">
    <w:p w:rsidR="001556C6" w:rsidRDefault="001556C6" w:rsidP="007D7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EA6" w:rsidRDefault="007D7EA6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 filled="f" stroked="f">
          <v:textbox style="mso-fit-shape-to-text:t" inset="0,0,0,0">
            <w:txbxContent>
              <w:p w:rsidR="007D7EA6" w:rsidRDefault="007D7EA6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1556C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82457">
                  <w:rPr>
                    <w:noProof/>
                  </w:rPr>
                  <w:t>9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6C6" w:rsidRDefault="001556C6" w:rsidP="007D7EA6">
      <w:r>
        <w:separator/>
      </w:r>
    </w:p>
  </w:footnote>
  <w:footnote w:type="continuationSeparator" w:id="1">
    <w:p w:rsidR="001556C6" w:rsidRDefault="001556C6" w:rsidP="007D7E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68CA7"/>
    <w:multiLevelType w:val="singleLevel"/>
    <w:tmpl w:val="4A168CA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7CC499B"/>
    <w:rsid w:val="00020C88"/>
    <w:rsid w:val="00082457"/>
    <w:rsid w:val="000915A6"/>
    <w:rsid w:val="00092B14"/>
    <w:rsid w:val="000D47D0"/>
    <w:rsid w:val="001373BE"/>
    <w:rsid w:val="0015537D"/>
    <w:rsid w:val="001556C6"/>
    <w:rsid w:val="001F3212"/>
    <w:rsid w:val="002707C6"/>
    <w:rsid w:val="00280F82"/>
    <w:rsid w:val="002E17AA"/>
    <w:rsid w:val="003170CE"/>
    <w:rsid w:val="003C4354"/>
    <w:rsid w:val="00511C3B"/>
    <w:rsid w:val="0057235C"/>
    <w:rsid w:val="006049F2"/>
    <w:rsid w:val="00645DBC"/>
    <w:rsid w:val="006B6E10"/>
    <w:rsid w:val="00706CE0"/>
    <w:rsid w:val="00757819"/>
    <w:rsid w:val="007812E3"/>
    <w:rsid w:val="007A5483"/>
    <w:rsid w:val="007D7EA6"/>
    <w:rsid w:val="00814E39"/>
    <w:rsid w:val="00877E36"/>
    <w:rsid w:val="008C7CF4"/>
    <w:rsid w:val="009D5B99"/>
    <w:rsid w:val="00A02C66"/>
    <w:rsid w:val="00A12B32"/>
    <w:rsid w:val="00AB413B"/>
    <w:rsid w:val="00B60E03"/>
    <w:rsid w:val="00B81323"/>
    <w:rsid w:val="00C871E1"/>
    <w:rsid w:val="00D25A69"/>
    <w:rsid w:val="00D25CC3"/>
    <w:rsid w:val="00D3165F"/>
    <w:rsid w:val="00D471F4"/>
    <w:rsid w:val="00D5394A"/>
    <w:rsid w:val="00DB6DF3"/>
    <w:rsid w:val="00E30CAE"/>
    <w:rsid w:val="00E310A2"/>
    <w:rsid w:val="00E77F25"/>
    <w:rsid w:val="00E876DE"/>
    <w:rsid w:val="00EE0355"/>
    <w:rsid w:val="00EF2BA5"/>
    <w:rsid w:val="00EF6DA3"/>
    <w:rsid w:val="00FA340E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58841BD"/>
    <w:rsid w:val="16855135"/>
    <w:rsid w:val="1689469A"/>
    <w:rsid w:val="168E5BD5"/>
    <w:rsid w:val="16DB1E7D"/>
    <w:rsid w:val="178C6C5A"/>
    <w:rsid w:val="17CD646A"/>
    <w:rsid w:val="184F3049"/>
    <w:rsid w:val="1B3F225B"/>
    <w:rsid w:val="1B4269FF"/>
    <w:rsid w:val="1D4B3C83"/>
    <w:rsid w:val="1D5429F5"/>
    <w:rsid w:val="1DBD7AB3"/>
    <w:rsid w:val="1E0B387E"/>
    <w:rsid w:val="21460607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0C433E5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8E566A4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48A4FA6"/>
    <w:rsid w:val="6536013A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56501CF"/>
    <w:rsid w:val="778F438E"/>
    <w:rsid w:val="7A055146"/>
    <w:rsid w:val="7A757A3F"/>
    <w:rsid w:val="7C647BFE"/>
    <w:rsid w:val="7D9B64C3"/>
    <w:rsid w:val="7EDC5162"/>
    <w:rsid w:val="7FA8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7D7EA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7D7EA6"/>
    <w:pPr>
      <w:ind w:firstLine="420"/>
    </w:pPr>
  </w:style>
  <w:style w:type="paragraph" w:styleId="a3">
    <w:name w:val="Body Text Indent"/>
    <w:basedOn w:val="a"/>
    <w:qFormat/>
    <w:rsid w:val="007D7EA6"/>
    <w:pPr>
      <w:spacing w:line="600" w:lineRule="exact"/>
      <w:ind w:firstLineChars="200" w:firstLine="560"/>
      <w:textAlignment w:val="center"/>
    </w:pPr>
    <w:rPr>
      <w:rFonts w:ascii="宋体" w:hAnsi="宋体"/>
      <w:color w:val="FF0000"/>
      <w:sz w:val="28"/>
      <w:szCs w:val="28"/>
    </w:rPr>
  </w:style>
  <w:style w:type="paragraph" w:styleId="a4">
    <w:name w:val="footer"/>
    <w:basedOn w:val="a"/>
    <w:qFormat/>
    <w:rsid w:val="007D7E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qFormat/>
    <w:rsid w:val="007D7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7D7EA6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Strong"/>
    <w:basedOn w:val="a0"/>
    <w:qFormat/>
    <w:rsid w:val="007D7EA6"/>
    <w:rPr>
      <w:b/>
    </w:rPr>
  </w:style>
  <w:style w:type="paragraph" w:customStyle="1" w:styleId="WPSOffice1">
    <w:name w:val="WPSOffice手动目录 1"/>
    <w:qFormat/>
    <w:rsid w:val="007D7EA6"/>
  </w:style>
  <w:style w:type="paragraph" w:customStyle="1" w:styleId="WPSOffice2">
    <w:name w:val="WPSOffice手动目录 2"/>
    <w:qFormat/>
    <w:rsid w:val="007D7EA6"/>
    <w:pPr>
      <w:ind w:leftChars="200" w:left="200"/>
    </w:pPr>
  </w:style>
  <w:style w:type="character" w:customStyle="1" w:styleId="Char">
    <w:name w:val="页眉 Char"/>
    <w:basedOn w:val="a0"/>
    <w:link w:val="a5"/>
    <w:qFormat/>
    <w:rsid w:val="007D7EA6"/>
    <w:rPr>
      <w:rFonts w:ascii="Calibri" w:hAnsi="Calibri"/>
      <w:kern w:val="2"/>
      <w:sz w:val="18"/>
      <w:szCs w:val="18"/>
    </w:rPr>
  </w:style>
  <w:style w:type="paragraph" w:customStyle="1" w:styleId="-">
    <w:name w:val="插入文本样式-插入部门职责文件"/>
    <w:basedOn w:val="a"/>
    <w:qFormat/>
    <w:rsid w:val="00877E36"/>
    <w:pPr>
      <w:widowControl/>
      <w:spacing w:line="500" w:lineRule="exact"/>
      <w:ind w:firstLine="560"/>
      <w:jc w:val="left"/>
    </w:pPr>
    <w:rPr>
      <w:rFonts w:ascii="Times New Roman" w:eastAsia="方正仿宋_GBK" w:hAnsi="Times New Roman"/>
      <w:kern w:val="0"/>
      <w:sz w:val="2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9</Pages>
  <Words>603</Words>
  <Characters>3442</Characters>
  <Application>Microsoft Office Word</Application>
  <DocSecurity>0</DocSecurity>
  <Lines>28</Lines>
  <Paragraphs>8</Paragraphs>
  <ScaleCrop>false</ScaleCrop>
  <Company>Microsoft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lyjy</cp:lastModifiedBy>
  <cp:revision>31</cp:revision>
  <dcterms:created xsi:type="dcterms:W3CDTF">2021-07-20T09:00:00Z</dcterms:created>
  <dcterms:modified xsi:type="dcterms:W3CDTF">2023-03-15T08:21:00Z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