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教育局</w:t>
      </w:r>
    </w:p>
    <w:p>
      <w:pPr>
        <w:spacing w:line="580" w:lineRule="exact"/>
        <w:ind w:firstLine="720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营养改善计划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eastAsia="zh-CN"/>
        </w:rPr>
        <w:t>隆尧县农村小学营养改善计划</w:t>
      </w:r>
    </w:p>
    <w:p>
      <w:pPr>
        <w:spacing w:line="760" w:lineRule="exact"/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隆尧县教育局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946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3  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评价组组长：殷树峰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评价组成员：贾冰 程占波 李建锋 冉 真</w:t>
      </w:r>
    </w:p>
    <w:p>
      <w:pPr>
        <w:spacing w:line="760" w:lineRule="exact"/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  <w:bookmarkStart w:id="0" w:name="_Toc7470_WPSOffice_Level1"/>
      <w:bookmarkStart w:id="1" w:name="_Toc5909_WPSOffice_Level1"/>
    </w:p>
    <w:bookmarkEnd w:id="0"/>
    <w:bookmarkEnd w:id="1"/>
    <w:p>
      <w:pPr>
        <w:spacing w:line="580" w:lineRule="exact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9525"/>
      <w:bookmarkStart w:id="3" w:name="_Toc30335"/>
      <w:bookmarkStart w:id="4" w:name="_Toc6314"/>
      <w:bookmarkStart w:id="5" w:name="_Toc16913"/>
      <w:bookmarkStart w:id="6" w:name="_Toc13153"/>
      <w:bookmarkStart w:id="7" w:name="_Toc23411"/>
      <w:bookmarkStart w:id="8" w:name="_Toc11301"/>
      <w:bookmarkStart w:id="9" w:name="_Toc18334"/>
      <w:bookmarkStart w:id="10" w:name="_Toc4013"/>
      <w:bookmarkStart w:id="11" w:name="_Toc2245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32742"/>
      <w:bookmarkStart w:id="13" w:name="_Toc15831"/>
      <w:bookmarkStart w:id="14" w:name="_Toc22285"/>
      <w:bookmarkStart w:id="15" w:name="_Toc23957"/>
      <w:bookmarkStart w:id="16" w:name="_Toc30895"/>
      <w:bookmarkStart w:id="17" w:name="_Toc22453"/>
      <w:bookmarkStart w:id="18" w:name="_Toc19963"/>
      <w:bookmarkStart w:id="19" w:name="_Toc937"/>
      <w:bookmarkStart w:id="20" w:name="_Toc24784"/>
      <w:bookmarkStart w:id="21" w:name="_Toc19370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hd w:val="clear" w:color="auto" w:fill="FFFCFC"/>
        <w:spacing w:line="600" w:lineRule="exact"/>
        <w:ind w:firstLine="640"/>
        <w:rPr>
          <w:rFonts w:hint="eastAsia" w:eastAsia="仿宋_GB2312"/>
          <w:lang w:eastAsia="zh-CN"/>
        </w:rPr>
      </w:pPr>
      <w:bookmarkStart w:id="22" w:name="_Toc15167"/>
      <w:bookmarkStart w:id="23" w:name="_Toc29308"/>
      <w:bookmarkStart w:id="24" w:name="_Toc8843"/>
      <w:r>
        <w:rPr>
          <w:rFonts w:hint="eastAsia" w:ascii="仿宋_GB2312" w:hAnsi="仿宋_GB2312" w:eastAsia="仿宋_GB2312" w:cs="仿宋_GB2312"/>
          <w:sz w:val="32"/>
          <w:szCs w:val="40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隆尧县教育局，</w:t>
      </w:r>
      <w:r>
        <w:rPr>
          <w:rFonts w:hint="eastAsia" w:ascii="仿宋_GB2312" w:hAnsi="仿宋_GB2312" w:eastAsia="仿宋_GB2312" w:cs="仿宋_GB2312"/>
          <w:sz w:val="32"/>
          <w:szCs w:val="40"/>
        </w:rPr>
        <w:t>地址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隆尧县青少年活动中心，</w:t>
      </w:r>
      <w:r>
        <w:rPr>
          <w:rFonts w:hint="eastAsia" w:ascii="仿宋_GB2312" w:hAnsi="仿宋_GB2312" w:eastAsia="仿宋_GB2312" w:cs="仿宋_GB2312"/>
          <w:sz w:val="32"/>
          <w:szCs w:val="40"/>
        </w:rPr>
        <w:t>性质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：事业单位，</w:t>
      </w:r>
      <w:r>
        <w:rPr>
          <w:rFonts w:hint="eastAsia" w:ascii="仿宋_GB2312" w:hAnsi="仿宋_GB2312" w:eastAsia="仿宋_GB2312" w:cs="仿宋_GB2312"/>
          <w:sz w:val="32"/>
          <w:szCs w:val="40"/>
        </w:rPr>
        <w:t>承担的业务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隆尧县农村小学营养改善计划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shd w:val="clear" w:color="auto" w:fill="FFFCFC"/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bookmarkStart w:id="25" w:name="_Toc26594"/>
      <w:bookmarkStart w:id="26" w:name="_Toc27552"/>
      <w:bookmarkStart w:id="27" w:name="_Toc32656"/>
      <w:bookmarkStart w:id="28" w:name="_Toc2419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隆尧县农村小学营养改善计划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9463000元，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实施范围为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全县农村小学1</w:t>
      </w:r>
      <w:r>
        <w:rPr>
          <w:rFonts w:hint="eastAsia" w:ascii="仿宋_GB2312" w:hAnsi="仿宋" w:eastAsia="仿宋_GB2312" w:cs="宋体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所(包括民办学校)，202</w:t>
      </w:r>
      <w:r>
        <w:rPr>
          <w:rFonts w:hint="eastAsia" w:ascii="仿宋_GB2312" w:hAnsi="仿宋" w:eastAsia="仿宋_GB2312" w:cs="宋体"/>
          <w:color w:val="000000"/>
          <w:sz w:val="32"/>
          <w:szCs w:val="32"/>
          <w:lang w:val="en-US" w:eastAsia="zh-CN"/>
        </w:rPr>
        <w:t>2年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约</w:t>
      </w:r>
      <w:r>
        <w:rPr>
          <w:rFonts w:hint="eastAsia" w:ascii="仿宋_GB2312" w:hAnsi="仿宋" w:eastAsia="仿宋_GB2312" w:cs="宋体"/>
          <w:color w:val="000000"/>
          <w:sz w:val="32"/>
          <w:szCs w:val="32"/>
          <w:lang w:val="en-US" w:eastAsia="zh-CN"/>
        </w:rPr>
        <w:t>36200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余名学生。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工程量与支付资金情况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2022年度共支付5907558.25元。</w:t>
      </w:r>
    </w:p>
    <w:bookmarkEnd w:id="25"/>
    <w:bookmarkEnd w:id="26"/>
    <w:bookmarkEnd w:id="27"/>
    <w:bookmarkEnd w:id="2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7839"/>
      <w:bookmarkStart w:id="30" w:name="_Toc14644"/>
      <w:bookmarkStart w:id="31" w:name="_Toc2988"/>
      <w:bookmarkStart w:id="32" w:name="_Toc18992"/>
      <w:bookmarkStart w:id="33" w:name="_Toc6781"/>
      <w:bookmarkStart w:id="34" w:name="_Toc17782"/>
      <w:bookmarkStart w:id="35" w:name="_Toc26109"/>
      <w:bookmarkStart w:id="36" w:name="_Toc28908"/>
      <w:bookmarkStart w:id="37" w:name="_Toc4859"/>
      <w:bookmarkStart w:id="38" w:name="_Toc12860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spacing w:after="0" w:line="58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实施范围：按照省教育、财政、发改、农业农村四部门联合印发的《关于在全省农村小学生中实施营养改善计划地方试点的实施方案》中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在全县农村小学生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包括民办学校学生，不含在县政府驻地学校就读学生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纳入试点范围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的规定，结合隆人社〔2015〕12号文件要求，划定不享受营养改善计划的学校为：实验小学、第二实验小学、义丰小学、南关小学、南甫小学、东甫小学、东关小学、东河小学、成龙六一实验小学、树人实验小学共10所小学。除以上小学外，其他校区小学、直属小学均享受营养改善计划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。以后新建小学参照本相关规定和要求执行。</w:t>
      </w:r>
    </w:p>
    <w:p>
      <w:pPr>
        <w:overflowPunct w:val="0"/>
        <w:spacing w:after="0" w:line="58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供餐模式：采取课间加餐模式，为学生提供一盒学生饮用牛奶、一个鸡蛋。</w:t>
      </w:r>
    </w:p>
    <w:p>
      <w:pPr>
        <w:shd w:val="clear" w:color="auto" w:fill="FFFCFC"/>
        <w:spacing w:line="600" w:lineRule="exact"/>
        <w:ind w:firstLine="640"/>
      </w:pPr>
      <w:r>
        <w:rPr>
          <w:rFonts w:hint="eastAsia" w:ascii="仿宋_GB2312" w:hAnsi="仿宋" w:eastAsia="仿宋_GB2312" w:cs="宋体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财务管理情况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color w:val="000000"/>
          <w:sz w:val="32"/>
          <w:szCs w:val="32"/>
          <w:lang w:eastAsia="zh-CN"/>
        </w:rPr>
        <w:t>享受营养餐的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学校补助标准为每生每天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2.5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元，按照学生全年在校时间（除法定节假日、寒暑假外）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200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天计算，每生每年补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助500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元，所需资金分担比例，省与县按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5</w:t>
      </w:r>
      <w:r>
        <w:rPr>
          <w:rFonts w:ascii="Times New Roman" w:hAnsi="宋体" w:eastAsia="宋体" w:cs="Times New Roman"/>
          <w:color w:val="000000"/>
          <w:sz w:val="32"/>
          <w:szCs w:val="32"/>
        </w:rPr>
        <w:t>︰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5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分担。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39" w:name="_Toc18915"/>
      <w:bookmarkStart w:id="40" w:name="_Toc10651"/>
      <w:bookmarkStart w:id="41" w:name="_Toc12150"/>
      <w:bookmarkStart w:id="42" w:name="_Toc5215"/>
      <w:bookmarkStart w:id="43" w:name="_Toc6451"/>
      <w:bookmarkStart w:id="44" w:name="_Toc21501"/>
      <w:bookmarkStart w:id="45" w:name="_Toc20904"/>
      <w:bookmarkStart w:id="46" w:name="_Toc29800"/>
      <w:bookmarkStart w:id="47" w:name="_Toc5317"/>
      <w:bookmarkStart w:id="48" w:name="_Toc2685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49" w:name="_Toc4056"/>
      <w:bookmarkStart w:id="50" w:name="_Toc5105"/>
      <w:bookmarkStart w:id="51" w:name="_Toc15730"/>
      <w:bookmarkStart w:id="52" w:name="_Toc17355"/>
      <w:bookmarkStart w:id="53" w:name="_Toc7570"/>
      <w:bookmarkStart w:id="54" w:name="_Toc25600"/>
      <w:bookmarkStart w:id="55" w:name="_Toc23608"/>
      <w:bookmarkStart w:id="56" w:name="_Toc8077"/>
      <w:bookmarkStart w:id="57" w:name="_Toc22771"/>
      <w:bookmarkStart w:id="58" w:name="_Toc14742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年“</w:t>
      </w:r>
      <w:r>
        <w:rPr>
          <w:rFonts w:hint="eastAsia" w:ascii="仿宋_GB2312" w:hAnsi="宋体" w:eastAsia="仿宋_GB2312" w:cs="宋体"/>
          <w:bCs/>
          <w:sz w:val="32"/>
          <w:szCs w:val="32"/>
        </w:rPr>
        <w:t>营养改善计划”</w:t>
      </w:r>
      <w:r>
        <w:rPr>
          <w:rFonts w:hint="eastAsia" w:ascii="仿宋_GB2312" w:eastAsia="仿宋_GB2312"/>
          <w:sz w:val="32"/>
          <w:szCs w:val="32"/>
        </w:rPr>
        <w:t>项目资金进行绩效评价，了解和掌握项目的决策情况、具体实施情况、采取的工作措施等，提出加项目资金支出管理建议，促进财政资金使用绩效。</w:t>
      </w:r>
    </w:p>
    <w:p>
      <w:pPr>
        <w:spacing w:line="580" w:lineRule="exact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9" w:name="_Toc16121"/>
      <w:bookmarkStart w:id="60" w:name="_Toc16971"/>
      <w:bookmarkStart w:id="61" w:name="_Toc27346"/>
      <w:bookmarkStart w:id="62" w:name="_Toc3910"/>
      <w:bookmarkStart w:id="63" w:name="_Toc22727"/>
      <w:bookmarkStart w:id="64" w:name="_Toc8288"/>
      <w:bookmarkStart w:id="65" w:name="_Toc30351"/>
      <w:bookmarkStart w:id="66" w:name="_Toc27199"/>
      <w:bookmarkStart w:id="67" w:name="_Toc25746"/>
      <w:bookmarkStart w:id="68" w:name="_Toc18502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2"/>
        <w:numPr>
          <w:ilvl w:val="0"/>
          <w:numId w:val="0"/>
        </w:numPr>
        <w:rPr>
          <w:rFonts w:hint="default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设定隆尧县农村小学营养改善计划项目重点绩效评价指标表，如下表。</w:t>
      </w:r>
    </w:p>
    <w:p>
      <w:pPr>
        <w:numPr>
          <w:ilvl w:val="0"/>
          <w:numId w:val="1"/>
        </w:numPr>
        <w:spacing w:line="580" w:lineRule="exact"/>
        <w:ind w:left="0" w:leftChars="0"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32306"/>
      <w:bookmarkStart w:id="70" w:name="_Toc5304"/>
      <w:bookmarkStart w:id="71" w:name="_Toc23270"/>
      <w:bookmarkStart w:id="72" w:name="_Toc11684"/>
      <w:bookmarkStart w:id="73" w:name="_Toc19068"/>
      <w:bookmarkStart w:id="74" w:name="_Toc32241"/>
      <w:bookmarkStart w:id="75" w:name="_Toc19154"/>
      <w:bookmarkStart w:id="76" w:name="_Toc25343"/>
      <w:bookmarkStart w:id="77" w:name="_Toc5587"/>
      <w:bookmarkStart w:id="78" w:name="_Toc12572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《中华人民共和国预算法》</w:t>
      </w:r>
    </w:p>
    <w:p>
      <w:p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《中华人民共和国会计法》</w:t>
      </w:r>
    </w:p>
    <w:p>
      <w:p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《中华人民共和国教育法》</w:t>
      </w:r>
    </w:p>
    <w:p>
      <w:pPr>
        <w:widowControl/>
        <w:spacing w:line="58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《财政检查工作办法》（财政部令〔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32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号）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《</w:t>
      </w:r>
      <w:r>
        <w:rPr>
          <w:rFonts w:hint="eastAsia" w:ascii="仿宋_GB2312" w:hAnsi="宋体" w:eastAsia="仿宋_GB2312" w:cs="宋体"/>
          <w:sz w:val="32"/>
          <w:szCs w:val="32"/>
        </w:rPr>
        <w:t>财政部关于印发</w:t>
      </w:r>
      <w:r>
        <w:rPr>
          <w:rFonts w:ascii="仿宋_GB2312" w:hAnsi="宋体" w:eastAsia="仿宋_GB2312" w:cs="宋体"/>
          <w:sz w:val="32"/>
          <w:szCs w:val="32"/>
        </w:rPr>
        <w:t>&lt;</w:t>
      </w:r>
      <w:r>
        <w:rPr>
          <w:rFonts w:hint="eastAsia" w:ascii="仿宋_GB2312" w:hAnsi="宋体" w:eastAsia="仿宋_GB2312" w:cs="宋体"/>
          <w:sz w:val="32"/>
          <w:szCs w:val="32"/>
        </w:rPr>
        <w:t>项目支出绩效评价管理办法</w:t>
      </w:r>
      <w:r>
        <w:rPr>
          <w:rFonts w:ascii="仿宋_GB2312" w:hAnsi="宋体" w:eastAsia="仿宋_GB2312" w:cs="宋体"/>
          <w:sz w:val="32"/>
          <w:szCs w:val="32"/>
        </w:rPr>
        <w:t>&gt;</w:t>
      </w:r>
      <w:r>
        <w:rPr>
          <w:rFonts w:hint="eastAsia" w:ascii="仿宋_GB2312" w:hAnsi="宋体" w:eastAsia="仿宋_GB2312" w:cs="宋体"/>
          <w:sz w:val="32"/>
          <w:szCs w:val="32"/>
        </w:rPr>
        <w:t>的通知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》（</w:t>
      </w:r>
      <w:r>
        <w:rPr>
          <w:rFonts w:hint="eastAsia" w:ascii="仿宋_GB2312" w:hAnsi="宋体" w:eastAsia="仿宋_GB2312" w:cs="宋体"/>
          <w:sz w:val="32"/>
          <w:szCs w:val="32"/>
        </w:rPr>
        <w:t>财预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hAnsi="宋体" w:eastAsia="仿宋_GB2312" w:cs="宋体"/>
          <w:sz w:val="32"/>
          <w:szCs w:val="32"/>
          <w:lang w:val="zh-CN"/>
        </w:rPr>
        <w:t>20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号）</w:t>
      </w:r>
    </w:p>
    <w:p>
      <w:p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《中共隆尧县委 隆尧县人民政府关于全面落实预算绩效管理的实施意见》（隆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发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5号）</w:t>
      </w:r>
    </w:p>
    <w:p>
      <w:pPr>
        <w:widowControl/>
        <w:spacing w:line="580" w:lineRule="exact"/>
        <w:ind w:firstLine="640" w:firstLineChars="200"/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43号）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26780"/>
      <w:bookmarkStart w:id="80" w:name="_Toc6747"/>
      <w:bookmarkStart w:id="81" w:name="_Toc11243"/>
      <w:bookmarkStart w:id="82" w:name="_Toc12940"/>
      <w:bookmarkStart w:id="83" w:name="_Toc9401"/>
      <w:bookmarkStart w:id="84" w:name="_Toc22038"/>
      <w:bookmarkStart w:id="85" w:name="_Toc13179"/>
      <w:bookmarkStart w:id="86" w:name="_Toc24302"/>
      <w:bookmarkStart w:id="87" w:name="_Toc1868"/>
      <w:bookmarkStart w:id="88" w:name="_Toc7393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Style w:val="8"/>
          <w:rFonts w:hint="eastAsia" w:ascii="仿宋_GB2312" w:hAnsi="宋体" w:eastAsia="仿宋_GB2312" w:cs="仿宋_GB2312"/>
          <w:b w:val="0"/>
          <w:bCs/>
          <w:sz w:val="32"/>
          <w:szCs w:val="32"/>
          <w:lang w:bidi="ar"/>
        </w:rPr>
        <w:t>根据</w:t>
      </w:r>
      <w:r>
        <w:rPr>
          <w:rStyle w:val="8"/>
          <w:rFonts w:hint="eastAsia" w:ascii="仿宋_GB2312" w:hAnsi="宋体" w:eastAsia="仿宋_GB2312" w:cs="仿宋_GB2312"/>
          <w:b w:val="0"/>
          <w:bCs/>
          <w:sz w:val="32"/>
          <w:szCs w:val="32"/>
          <w:lang w:eastAsia="zh-CN" w:bidi="ar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要求，评价工作将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网络评价与现场评价相结合；数字资料与纸质资料评价相结合；会计资料评价与工程技术资料评价相结合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在听取隆尧县教育局后勤保障中心对项目实施情况汇报的基础上，核实相关资料的真实性、合法性、合理性，对项目资料中反映的或分析中发现的问题进行重点核查。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实地检查的形式：采取座谈、现场核实、走访、调查问卷、查阅资料等方式。</w:t>
      </w:r>
    </w:p>
    <w:p>
      <w:pPr>
        <w:pStyle w:val="2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4.等级设定：优、良、合格、不合格。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89" w:name="_Toc30508"/>
      <w:bookmarkStart w:id="90" w:name="_Toc21014"/>
      <w:bookmarkStart w:id="91" w:name="_Toc22222"/>
      <w:bookmarkStart w:id="92" w:name="_Toc17025"/>
      <w:bookmarkStart w:id="93" w:name="_Toc18842"/>
      <w:bookmarkStart w:id="94" w:name="_Toc20748"/>
      <w:bookmarkStart w:id="95" w:name="_Toc6105"/>
      <w:bookmarkStart w:id="96" w:name="_Toc28621"/>
      <w:bookmarkStart w:id="97" w:name="_Toc10113"/>
      <w:bookmarkStart w:id="98" w:name="_Toc5623"/>
      <w:bookmarkStart w:id="99" w:name="_Toc2634_WPSOffice_Level1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jc w:val="center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隆尧县农村小学营养改善计划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9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有政府相关政策、规划、任务等文件得7.5分；无不得分。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工作活动与部门职责、工作规划和重点工作相关，工作活动项下确定的预算项目合理，与工作活动密切相关，工作活动和项目预算安排合理，得7.5分；否则不得分。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缺少一项扣2分,扣完为止。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预算调整率=（预算调整数/预算数）×100%。预算调整率每大于1%扣0.5分，扣完为止。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资金使用合规性6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受营养餐学生数量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按照《营养改善计划实施方案》执行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享受营养餐学校数量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按照《营养改善计划实施方案》执行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食品安全达标率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达到《食品安全国家标准》规定标准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资金拨付率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是否到达年度工作计划目标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营养改善计划周期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按照《营养改善计划实施方案》执行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享受营养餐学生满意度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按照《营养改善计划实施方案》执行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97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9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因为疫情影响，学生在校时间减少，营养餐用餐减少。下一步，继续加大营养餐配餐力度，保障学生在校时间安全用餐。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100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00"/>
    </w:p>
    <w:p>
      <w:pPr>
        <w:spacing w:line="560" w:lineRule="exact"/>
        <w:ind w:firstLine="420" w:firstLineChars="200"/>
        <w:outlineLvl w:val="1"/>
      </w:pPr>
      <w:r>
        <w:rPr>
          <w:rFonts w:hint="eastAsia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丰富用餐模式，提高营养餐用餐标准，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切实增强农村小学生的体质，提高农村小学生的健康水平。</w:t>
      </w:r>
    </w:p>
    <w:p>
      <w:pPr>
        <w:pStyle w:val="2"/>
        <w:spacing w:line="560" w:lineRule="exact"/>
        <w:ind w:firstLine="6080" w:firstLineChars="19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2023年3月13日</w:t>
      </w:r>
    </w:p>
    <w:p>
      <w:pPr>
        <w:pStyle w:val="2"/>
        <w:spacing w:line="560" w:lineRule="exact"/>
        <w:ind w:left="0" w:leftChars="0" w:firstLine="6080" w:firstLineChars="19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ascii="仿宋_GB2312" w:hAnsi="仿宋_GB2312" w:eastAsia="仿宋_GB2312" w:cs="仿宋_GB2312"/>
        </w:rPr>
      </w:pPr>
      <w:bookmarkStart w:id="101" w:name="_GoBack"/>
      <w:bookmarkEnd w:id="101"/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68CA7"/>
    <w:multiLevelType w:val="singleLevel"/>
    <w:tmpl w:val="4A168C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DF773B1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58841BD"/>
    <w:rsid w:val="16855135"/>
    <w:rsid w:val="1689469A"/>
    <w:rsid w:val="168E5BD5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0C433E5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8E566A4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48A4FA6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9431D6"/>
    <w:rsid w:val="7EDC5162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204</Words>
  <Characters>1166</Characters>
  <Lines>9</Lines>
  <Paragraphs>2</Paragraphs>
  <TotalTime>0</TotalTime>
  <ScaleCrop>false</ScaleCrop>
  <LinksUpToDate>false</LinksUpToDate>
  <CharactersWithSpaces>1368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dcterms:modified xsi:type="dcterms:W3CDTF">2023-03-22T01:16:47Z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