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68150D">
      <w:pPr>
        <w:spacing w:line="580" w:lineRule="exact"/>
        <w:rPr>
          <w:rFonts w:ascii="仿宋_GB2312" w:hAnsi="仿宋_GB2312" w:eastAsia="仿宋_GB2312" w:cs="仿宋_GB2312"/>
          <w:color w:val="000000"/>
          <w:sz w:val="24"/>
        </w:rPr>
      </w:pPr>
      <w:bookmarkStart w:id="98" w:name="_GoBack"/>
      <w:bookmarkEnd w:id="98"/>
      <w:r>
        <w:rPr>
          <w:rFonts w:hint="eastAsia" w:ascii="仿宋_GB2312" w:hAnsi="仿宋_GB2312" w:eastAsia="仿宋_GB2312" w:cs="仿宋_GB2312"/>
          <w:color w:val="000000"/>
          <w:sz w:val="24"/>
        </w:rPr>
        <w:t>附件5：</w:t>
      </w:r>
    </w:p>
    <w:p w14:paraId="514CD540">
      <w:pPr>
        <w:spacing w:line="580" w:lineRule="exact"/>
        <w:ind w:firstLine="720" w:firstLineChars="199"/>
        <w:rPr>
          <w:rFonts w:ascii="仿宋_GB2312" w:hAnsi="仿宋_GB2312" w:eastAsia="仿宋_GB2312" w:cs="仿宋_GB2312"/>
          <w:b/>
          <w:bCs/>
          <w:spacing w:val="-20"/>
          <w:sz w:val="40"/>
          <w:szCs w:val="48"/>
        </w:rPr>
      </w:pPr>
    </w:p>
    <w:p w14:paraId="04072F3B">
      <w:pPr>
        <w:spacing w:line="580" w:lineRule="exact"/>
        <w:ind w:firstLine="720" w:firstLineChars="199"/>
        <w:jc w:val="center"/>
        <w:rPr>
          <w:rFonts w:ascii="仿宋_GB2312" w:hAnsi="仿宋_GB2312" w:eastAsia="仿宋_GB2312" w:cs="仿宋_GB2312"/>
          <w:b/>
          <w:bCs/>
          <w:spacing w:val="-20"/>
          <w:sz w:val="40"/>
          <w:szCs w:val="48"/>
        </w:rPr>
      </w:pPr>
      <w:r>
        <w:rPr>
          <w:rFonts w:hint="eastAsia" w:ascii="仿宋_GB2312" w:hAnsi="仿宋_GB2312" w:eastAsia="仿宋_GB2312" w:cs="仿宋_GB2312"/>
          <w:b/>
          <w:bCs/>
          <w:spacing w:val="-20"/>
          <w:sz w:val="40"/>
          <w:szCs w:val="48"/>
        </w:rPr>
        <w:t>隆尧县教育局</w:t>
      </w:r>
    </w:p>
    <w:p w14:paraId="2EF0A3FF">
      <w:pPr>
        <w:spacing w:line="580" w:lineRule="exact"/>
        <w:ind w:firstLine="799" w:firstLineChars="199"/>
        <w:jc w:val="center"/>
        <w:rPr>
          <w:rFonts w:ascii="仿宋_GB2312" w:hAnsi="仿宋_GB2312" w:eastAsia="仿宋_GB2312" w:cs="仿宋_GB2312"/>
          <w:b/>
          <w:bCs/>
          <w:sz w:val="40"/>
          <w:szCs w:val="48"/>
        </w:rPr>
      </w:pPr>
      <w:r>
        <w:rPr>
          <w:rFonts w:hint="eastAsia" w:ascii="仿宋_GB2312" w:hAnsi="仿宋_GB2312" w:eastAsia="仿宋_GB2312" w:cs="仿宋_GB2312"/>
          <w:b/>
          <w:bCs/>
          <w:sz w:val="40"/>
          <w:szCs w:val="48"/>
        </w:rPr>
        <w:t>原民办代课教师项目重点自评绩效报告</w:t>
      </w:r>
    </w:p>
    <w:p w14:paraId="3D04771D">
      <w:pPr>
        <w:rPr>
          <w:rFonts w:ascii="仿宋_GB2312" w:hAnsi="仿宋_GB2312" w:eastAsia="仿宋_GB2312" w:cs="仿宋_GB2312"/>
        </w:rPr>
      </w:pPr>
    </w:p>
    <w:p w14:paraId="5031BA8D">
      <w:pPr>
        <w:rPr>
          <w:rFonts w:ascii="仿宋_GB2312" w:hAnsi="仿宋_GB2312" w:eastAsia="仿宋_GB2312" w:cs="仿宋_GB2312"/>
        </w:rPr>
      </w:pPr>
    </w:p>
    <w:p w14:paraId="3C6B2395">
      <w:pPr>
        <w:rPr>
          <w:rFonts w:ascii="仿宋_GB2312" w:hAnsi="仿宋_GB2312" w:eastAsia="仿宋_GB2312" w:cs="仿宋_GB2312"/>
        </w:rPr>
      </w:pPr>
    </w:p>
    <w:p w14:paraId="6077A753">
      <w:pPr>
        <w:rPr>
          <w:rFonts w:ascii="仿宋_GB2312" w:hAnsi="仿宋_GB2312" w:eastAsia="仿宋_GB2312" w:cs="仿宋_GB2312"/>
        </w:rPr>
      </w:pPr>
    </w:p>
    <w:p w14:paraId="0919D1EA">
      <w:pPr>
        <w:rPr>
          <w:rFonts w:ascii="仿宋_GB2312" w:hAnsi="仿宋_GB2312" w:eastAsia="仿宋_GB2312" w:cs="仿宋_GB2312"/>
        </w:rPr>
      </w:pPr>
    </w:p>
    <w:p w14:paraId="1F077B65">
      <w:pPr>
        <w:rPr>
          <w:rFonts w:ascii="仿宋_GB2312" w:hAnsi="仿宋_GB2312" w:eastAsia="仿宋_GB2312" w:cs="仿宋_GB2312"/>
        </w:rPr>
      </w:pPr>
    </w:p>
    <w:p w14:paraId="78789202">
      <w:pPr>
        <w:rPr>
          <w:rFonts w:ascii="仿宋_GB2312" w:hAnsi="仿宋_GB2312" w:eastAsia="仿宋_GB2312" w:cs="仿宋_GB2312"/>
        </w:rPr>
      </w:pPr>
    </w:p>
    <w:p w14:paraId="0D246F65">
      <w:pPr>
        <w:rPr>
          <w:rFonts w:ascii="仿宋_GB2312" w:hAnsi="仿宋_GB2312" w:eastAsia="仿宋_GB2312" w:cs="仿宋_GB2312"/>
        </w:rPr>
      </w:pPr>
    </w:p>
    <w:p w14:paraId="078DC839">
      <w:pPr>
        <w:pStyle w:val="2"/>
        <w:ind w:firstLine="560"/>
      </w:pPr>
    </w:p>
    <w:p w14:paraId="2668E395"/>
    <w:p w14:paraId="1DDA7906">
      <w:pPr>
        <w:pStyle w:val="2"/>
        <w:ind w:firstLine="560"/>
      </w:pPr>
    </w:p>
    <w:p w14:paraId="054758EC"/>
    <w:p w14:paraId="789E83F2">
      <w:pPr>
        <w:pStyle w:val="2"/>
        <w:ind w:firstLine="560"/>
      </w:pPr>
    </w:p>
    <w:p w14:paraId="5C837A8B">
      <w:pPr>
        <w:spacing w:line="760" w:lineRule="exact"/>
        <w:rPr>
          <w:rFonts w:ascii="仿宋_GB2312" w:hAnsi="仿宋_GB2312" w:eastAsia="仿宋_GB2312" w:cs="仿宋_GB2312"/>
          <w:spacing w:val="-20"/>
          <w:sz w:val="28"/>
          <w:szCs w:val="28"/>
          <w:u w:val="single"/>
        </w:rPr>
      </w:pPr>
      <w:r>
        <w:rPr>
          <w:rFonts w:hint="eastAsia" w:ascii="仿宋_GB2312" w:hAnsi="仿宋_GB2312" w:eastAsia="仿宋_GB2312" w:cs="仿宋_GB2312"/>
          <w:spacing w:val="11"/>
          <w:sz w:val="28"/>
          <w:szCs w:val="28"/>
        </w:rPr>
        <w:t>项 目 名 称：</w:t>
      </w:r>
      <w:r>
        <w:rPr>
          <w:rFonts w:hint="eastAsia" w:ascii="仿宋_GB2312" w:hAnsi="仿宋_GB2312" w:eastAsia="仿宋_GB2312" w:cs="仿宋_GB2312"/>
          <w:kern w:val="0"/>
          <w:sz w:val="28"/>
          <w:szCs w:val="28"/>
          <w:u w:val="single"/>
        </w:rPr>
        <w:t>隆尧县原民办代课教师补助项目</w:t>
      </w:r>
    </w:p>
    <w:p w14:paraId="262E7B13">
      <w:pPr>
        <w:spacing w:line="760" w:lineRule="exact"/>
        <w:rPr>
          <w:rFonts w:ascii="仿宋_GB2312" w:hAnsi="仿宋_GB2312" w:eastAsia="仿宋_GB2312" w:cs="仿宋_GB2312"/>
          <w:sz w:val="28"/>
          <w:szCs w:val="28"/>
          <w:u w:val="single"/>
        </w:rPr>
      </w:pPr>
      <w:r>
        <w:rPr>
          <w:rFonts w:hint="eastAsia" w:ascii="仿宋_GB2312" w:hAnsi="仿宋_GB2312" w:eastAsia="仿宋_GB2312" w:cs="仿宋_GB2312"/>
          <w:sz w:val="28"/>
          <w:szCs w:val="28"/>
        </w:rPr>
        <w:t>项目实施单位：</w:t>
      </w:r>
      <w:r>
        <w:rPr>
          <w:rFonts w:hint="eastAsia" w:ascii="仿宋_GB2312" w:hAnsi="仿宋_GB2312" w:eastAsia="仿宋_GB2312" w:cs="仿宋_GB2312"/>
          <w:kern w:val="0"/>
          <w:sz w:val="28"/>
          <w:szCs w:val="28"/>
          <w:u w:val="single"/>
        </w:rPr>
        <w:t>隆尧县教育局</w:t>
      </w:r>
    </w:p>
    <w:p w14:paraId="371685E6">
      <w:pPr>
        <w:spacing w:line="760" w:lineRule="exact"/>
        <w:rPr>
          <w:rFonts w:ascii="仿宋_GB2312" w:hAnsi="仿宋_GB2312" w:eastAsia="仿宋_GB2312" w:cs="仿宋_GB2312"/>
          <w:sz w:val="28"/>
          <w:szCs w:val="28"/>
          <w:u w:val="single"/>
        </w:rPr>
      </w:pPr>
      <w:r>
        <w:rPr>
          <w:rFonts w:hint="eastAsia" w:ascii="仿宋_GB2312" w:hAnsi="仿宋_GB2312" w:eastAsia="仿宋_GB2312" w:cs="仿宋_GB2312"/>
          <w:spacing w:val="28"/>
          <w:sz w:val="28"/>
          <w:szCs w:val="28"/>
        </w:rPr>
        <w:t>项目总金额：</w:t>
      </w:r>
      <w:r>
        <w:rPr>
          <w:rFonts w:hint="eastAsia" w:ascii="仿宋_GB2312" w:hAnsi="仿宋_GB2312" w:eastAsia="仿宋_GB2312" w:cs="仿宋_GB2312"/>
          <w:kern w:val="0"/>
          <w:sz w:val="28"/>
          <w:szCs w:val="28"/>
          <w:u w:val="single"/>
        </w:rPr>
        <w:t>465.72万元</w:t>
      </w:r>
    </w:p>
    <w:p w14:paraId="20DD28C4">
      <w:pPr>
        <w:spacing w:line="760" w:lineRule="exact"/>
        <w:rPr>
          <w:rFonts w:ascii="仿宋_GB2312" w:hAnsi="仿宋_GB2312" w:eastAsia="仿宋_GB2312" w:cs="仿宋_GB2312"/>
          <w:sz w:val="28"/>
          <w:szCs w:val="28"/>
          <w:u w:val="single"/>
        </w:rPr>
      </w:pPr>
      <w:r>
        <w:rPr>
          <w:rFonts w:hint="eastAsia" w:ascii="仿宋_GB2312" w:hAnsi="仿宋_GB2312" w:eastAsia="仿宋_GB2312" w:cs="仿宋_GB2312"/>
          <w:spacing w:val="11"/>
          <w:sz w:val="28"/>
          <w:szCs w:val="28"/>
        </w:rPr>
        <w:t>评 价 年 度：</w:t>
      </w:r>
      <w:r>
        <w:rPr>
          <w:rFonts w:hint="eastAsia" w:ascii="仿宋_GB2312" w:hAnsi="仿宋_GB2312" w:eastAsia="仿宋_GB2312" w:cs="仿宋_GB2312"/>
          <w:sz w:val="28"/>
          <w:szCs w:val="28"/>
          <w:u w:val="single"/>
        </w:rPr>
        <w:t>2022年度</w:t>
      </w:r>
    </w:p>
    <w:p w14:paraId="31529AD9">
      <w:pPr>
        <w:spacing w:line="760" w:lineRule="exact"/>
        <w:rPr>
          <w:rFonts w:ascii="仿宋_GB2312" w:hAnsi="仿宋_GB2312" w:eastAsia="仿宋_GB2312" w:cs="仿宋_GB2312"/>
          <w:sz w:val="28"/>
          <w:szCs w:val="28"/>
          <w:u w:val="single"/>
        </w:rPr>
      </w:pPr>
      <w:r>
        <w:rPr>
          <w:rFonts w:hint="eastAsia" w:ascii="仿宋_GB2312" w:hAnsi="仿宋_GB2312" w:eastAsia="仿宋_GB2312" w:cs="仿宋_GB2312"/>
          <w:spacing w:val="28"/>
          <w:sz w:val="28"/>
          <w:szCs w:val="28"/>
        </w:rPr>
        <w:t>评价组组长：殷树峰</w:t>
      </w:r>
    </w:p>
    <w:p w14:paraId="13A6604E">
      <w:pPr>
        <w:spacing w:line="760" w:lineRule="exact"/>
        <w:rPr>
          <w:rFonts w:ascii="仿宋_GB2312" w:hAnsi="仿宋_GB2312" w:eastAsia="仿宋_GB2312" w:cs="仿宋_GB2312"/>
        </w:rPr>
      </w:pPr>
      <w:r>
        <w:rPr>
          <w:rFonts w:hint="eastAsia" w:ascii="仿宋_GB2312" w:hAnsi="仿宋_GB2312" w:eastAsia="仿宋_GB2312" w:cs="仿宋_GB2312"/>
          <w:spacing w:val="28"/>
          <w:sz w:val="28"/>
          <w:szCs w:val="28"/>
        </w:rPr>
        <w:t>评价组成员：商友良 程彦坤 李立坤</w:t>
      </w:r>
    </w:p>
    <w:p w14:paraId="4F6E6D86">
      <w:pPr>
        <w:rPr>
          <w:rFonts w:ascii="仿宋_GB2312" w:hAnsi="仿宋_GB2312" w:eastAsia="仿宋_GB2312" w:cs="仿宋_GB2312"/>
        </w:rPr>
      </w:pPr>
      <w:bookmarkStart w:id="0" w:name="_Toc5909_WPSOffice_Level1"/>
      <w:bookmarkStart w:id="1" w:name="_Toc7470_WPSOffice_Level1"/>
    </w:p>
    <w:bookmarkEnd w:id="0"/>
    <w:bookmarkEnd w:id="1"/>
    <w:p w14:paraId="377A9942">
      <w:pPr>
        <w:pStyle w:val="2"/>
        <w:spacing w:line="120" w:lineRule="exact"/>
        <w:ind w:firstLine="560"/>
        <w:rPr>
          <w:rFonts w:ascii="仿宋_GB2312" w:hAnsi="仿宋_GB2312" w:eastAsia="仿宋_GB2312" w:cs="仿宋_GB2312"/>
        </w:rPr>
      </w:pPr>
    </w:p>
    <w:p w14:paraId="06B9BAB3">
      <w:pPr>
        <w:spacing w:line="580" w:lineRule="exact"/>
        <w:ind w:firstLine="643" w:firstLineChars="200"/>
        <w:outlineLvl w:val="0"/>
        <w:rPr>
          <w:rFonts w:ascii="仿宋_GB2312" w:hAnsi="仿宋_GB2312" w:eastAsia="仿宋_GB2312" w:cs="仿宋_GB2312"/>
          <w:b/>
          <w:bCs/>
          <w:sz w:val="32"/>
          <w:szCs w:val="40"/>
        </w:rPr>
      </w:pPr>
      <w:bookmarkStart w:id="2" w:name="_Toc16913"/>
      <w:bookmarkStart w:id="3" w:name="_Toc13153"/>
      <w:bookmarkStart w:id="4" w:name="_Toc11301"/>
      <w:bookmarkStart w:id="5" w:name="_Toc4013"/>
      <w:bookmarkStart w:id="6" w:name="_Toc9525"/>
      <w:bookmarkStart w:id="7" w:name="_Toc18334"/>
      <w:bookmarkStart w:id="8" w:name="_Toc2245"/>
      <w:bookmarkStart w:id="9" w:name="_Toc23411"/>
      <w:bookmarkStart w:id="10" w:name="_Toc30335"/>
      <w:bookmarkStart w:id="11" w:name="_Toc6314"/>
    </w:p>
    <w:p w14:paraId="0C7F2608">
      <w:pPr>
        <w:spacing w:line="580" w:lineRule="exact"/>
        <w:ind w:firstLine="643" w:firstLineChars="200"/>
        <w:outlineLvl w:val="0"/>
        <w:rPr>
          <w:rFonts w:ascii="仿宋_GB2312" w:hAnsi="仿宋_GB2312" w:eastAsia="仿宋_GB2312" w:cs="仿宋_GB2312"/>
          <w:b/>
          <w:bCs/>
          <w:sz w:val="32"/>
          <w:szCs w:val="40"/>
        </w:rPr>
      </w:pPr>
      <w:r>
        <w:rPr>
          <w:rFonts w:hint="eastAsia" w:ascii="仿宋_GB2312" w:hAnsi="仿宋_GB2312" w:eastAsia="仿宋_GB2312" w:cs="仿宋_GB2312"/>
          <w:b/>
          <w:bCs/>
          <w:sz w:val="32"/>
          <w:szCs w:val="40"/>
        </w:rPr>
        <w:t>一、项目概况</w:t>
      </w:r>
      <w:bookmarkEnd w:id="2"/>
      <w:bookmarkEnd w:id="3"/>
      <w:bookmarkEnd w:id="4"/>
      <w:bookmarkEnd w:id="5"/>
      <w:bookmarkEnd w:id="6"/>
      <w:bookmarkEnd w:id="7"/>
      <w:bookmarkEnd w:id="8"/>
      <w:bookmarkEnd w:id="9"/>
      <w:bookmarkEnd w:id="10"/>
      <w:bookmarkEnd w:id="11"/>
    </w:p>
    <w:p w14:paraId="62A91177">
      <w:pPr>
        <w:spacing w:line="560" w:lineRule="exact"/>
        <w:ind w:firstLine="640" w:firstLineChars="200"/>
        <w:rPr>
          <w:rFonts w:ascii="仿宋_GB2312" w:hAnsi="仿宋_GB2312" w:eastAsia="仿宋_GB2312" w:cs="仿宋_GB2312"/>
          <w:sz w:val="32"/>
          <w:szCs w:val="40"/>
        </w:rPr>
      </w:pPr>
      <w:bookmarkStart w:id="12" w:name="_Toc32742"/>
      <w:bookmarkStart w:id="13" w:name="_Toc19370"/>
      <w:bookmarkStart w:id="14" w:name="_Toc24784"/>
      <w:bookmarkStart w:id="15" w:name="_Toc23957"/>
      <w:bookmarkStart w:id="16" w:name="_Toc15831"/>
      <w:bookmarkStart w:id="17" w:name="_Toc22453"/>
      <w:bookmarkStart w:id="18" w:name="_Toc937"/>
      <w:bookmarkStart w:id="19" w:name="_Toc22285"/>
      <w:bookmarkStart w:id="20" w:name="_Toc30895"/>
      <w:bookmarkStart w:id="21" w:name="_Toc19963"/>
      <w:r>
        <w:rPr>
          <w:rFonts w:hint="eastAsia" w:ascii="仿宋_GB2312" w:hAnsi="仿宋_GB2312" w:eastAsia="仿宋_GB2312" w:cs="仿宋_GB2312"/>
          <w:sz w:val="32"/>
          <w:szCs w:val="40"/>
        </w:rPr>
        <w:t>（一）项目单位基本情况</w:t>
      </w:r>
      <w:bookmarkEnd w:id="12"/>
      <w:bookmarkEnd w:id="13"/>
      <w:bookmarkEnd w:id="14"/>
      <w:bookmarkEnd w:id="15"/>
      <w:bookmarkEnd w:id="16"/>
      <w:bookmarkEnd w:id="17"/>
      <w:bookmarkEnd w:id="18"/>
      <w:bookmarkEnd w:id="19"/>
      <w:bookmarkEnd w:id="20"/>
      <w:bookmarkEnd w:id="21"/>
    </w:p>
    <w:p w14:paraId="79DC3B9F">
      <w:pPr>
        <w:spacing w:line="560" w:lineRule="exact"/>
        <w:ind w:firstLine="640" w:firstLineChars="200"/>
        <w:rPr>
          <w:rFonts w:ascii="仿宋_GB2312" w:hAnsi="仿宋_GB2312" w:eastAsia="仿宋_GB2312" w:cs="仿宋_GB2312"/>
          <w:sz w:val="32"/>
          <w:szCs w:val="40"/>
        </w:rPr>
      </w:pPr>
      <w:bookmarkStart w:id="22" w:name="_Toc29308"/>
      <w:bookmarkStart w:id="23" w:name="_Toc15167"/>
      <w:bookmarkStart w:id="24" w:name="_Toc8843"/>
      <w:r>
        <w:rPr>
          <w:rFonts w:hint="eastAsia" w:ascii="仿宋_GB2312" w:hAnsi="仿宋_GB2312" w:eastAsia="仿宋_GB2312" w:cs="仿宋_GB2312"/>
          <w:sz w:val="32"/>
          <w:szCs w:val="40"/>
        </w:rPr>
        <w:t>单位名称：隆尧县教育局</w:t>
      </w:r>
    </w:p>
    <w:p w14:paraId="10D57266">
      <w:pPr>
        <w:spacing w:line="560" w:lineRule="exact"/>
        <w:ind w:firstLine="640" w:firstLineChars="200"/>
        <w:rPr>
          <w:rFonts w:ascii="仿宋_GB2312" w:hAnsi="仿宋_GB2312" w:eastAsia="仿宋_GB2312" w:cs="仿宋_GB2312"/>
          <w:sz w:val="32"/>
          <w:szCs w:val="40"/>
        </w:rPr>
      </w:pPr>
      <w:r>
        <w:rPr>
          <w:rFonts w:hint="eastAsia" w:ascii="仿宋_GB2312" w:hAnsi="仿宋_GB2312" w:eastAsia="仿宋_GB2312" w:cs="仿宋_GB2312"/>
          <w:sz w:val="32"/>
          <w:szCs w:val="40"/>
        </w:rPr>
        <w:t>地    址：现位于隆尧县义丰街与丰中路交汇处附近东</w:t>
      </w:r>
    </w:p>
    <w:p w14:paraId="0B66E39F">
      <w:pPr>
        <w:spacing w:line="560" w:lineRule="exact"/>
        <w:ind w:firstLine="640" w:firstLineChars="200"/>
        <w:rPr>
          <w:rFonts w:ascii="仿宋_GB2312" w:hAnsi="仿宋_GB2312" w:eastAsia="仿宋_GB2312" w:cs="仿宋_GB2312"/>
          <w:sz w:val="32"/>
          <w:szCs w:val="40"/>
        </w:rPr>
      </w:pPr>
      <w:r>
        <w:rPr>
          <w:rFonts w:hint="eastAsia" w:ascii="仿宋_GB2312" w:hAnsi="仿宋_GB2312" w:eastAsia="仿宋_GB2312" w:cs="仿宋_GB2312"/>
          <w:sz w:val="32"/>
          <w:szCs w:val="40"/>
        </w:rPr>
        <w:t>性    质：行政单位</w:t>
      </w:r>
    </w:p>
    <w:p w14:paraId="1470FFF9">
      <w:pPr>
        <w:spacing w:line="560" w:lineRule="exact"/>
        <w:ind w:firstLine="640" w:firstLineChars="200"/>
        <w:rPr>
          <w:rFonts w:ascii="仿宋_GB2312" w:hAnsi="仿宋_GB2312" w:eastAsia="仿宋_GB2312" w:cs="仿宋_GB2312"/>
          <w:sz w:val="32"/>
          <w:szCs w:val="40"/>
        </w:rPr>
      </w:pPr>
      <w:r>
        <w:rPr>
          <w:rFonts w:hint="eastAsia" w:ascii="仿宋_GB2312" w:hAnsi="仿宋_GB2312" w:eastAsia="仿宋_GB2312" w:cs="仿宋_GB2312"/>
          <w:sz w:val="32"/>
          <w:szCs w:val="40"/>
        </w:rPr>
        <w:t>承担的业务：隆尧县教育局的主要职责是</w:t>
      </w:r>
    </w:p>
    <w:p w14:paraId="6ECE34B2">
      <w:pPr>
        <w:spacing w:line="560" w:lineRule="exact"/>
        <w:ind w:firstLine="640" w:firstLineChars="200"/>
        <w:rPr>
          <w:rFonts w:ascii="仿宋_GB2312" w:hAnsi="仿宋_GB2312" w:eastAsia="仿宋_GB2312" w:cs="仿宋_GB2312"/>
          <w:sz w:val="32"/>
          <w:szCs w:val="40"/>
        </w:rPr>
      </w:pPr>
      <w:r>
        <w:rPr>
          <w:rFonts w:hint="eastAsia" w:ascii="仿宋_GB2312" w:hAnsi="仿宋_GB2312" w:eastAsia="仿宋_GB2312" w:cs="仿宋_GB2312"/>
          <w:sz w:val="32"/>
          <w:szCs w:val="40"/>
        </w:rPr>
        <w:t>1.负责教育系统党的政治建设、思想建设、组织建设、作风建设、纪律建设和制度建设。</w:t>
      </w:r>
    </w:p>
    <w:p w14:paraId="322A4D39">
      <w:pPr>
        <w:spacing w:line="560" w:lineRule="exact"/>
        <w:ind w:firstLine="640" w:firstLineChars="200"/>
        <w:rPr>
          <w:rFonts w:ascii="仿宋_GB2312" w:hAnsi="仿宋_GB2312" w:eastAsia="仿宋_GB2312" w:cs="仿宋_GB2312"/>
          <w:sz w:val="32"/>
          <w:szCs w:val="40"/>
        </w:rPr>
      </w:pPr>
      <w:r>
        <w:rPr>
          <w:rFonts w:hint="eastAsia" w:ascii="仿宋_GB2312" w:hAnsi="仿宋_GB2312" w:eastAsia="仿宋_GB2312" w:cs="仿宋_GB2312"/>
          <w:sz w:val="32"/>
          <w:szCs w:val="40"/>
        </w:rPr>
        <w:t>2.承担所属学校基层党组织和党员队伍建设工作。</w:t>
      </w:r>
    </w:p>
    <w:p w14:paraId="24D0C3A1">
      <w:pPr>
        <w:spacing w:line="560" w:lineRule="exact"/>
        <w:ind w:firstLine="640" w:firstLineChars="200"/>
        <w:rPr>
          <w:rFonts w:ascii="仿宋_GB2312" w:hAnsi="仿宋_GB2312" w:eastAsia="仿宋_GB2312" w:cs="仿宋_GB2312"/>
          <w:sz w:val="32"/>
          <w:szCs w:val="40"/>
        </w:rPr>
      </w:pPr>
      <w:r>
        <w:rPr>
          <w:rFonts w:hint="eastAsia" w:ascii="仿宋_GB2312" w:hAnsi="仿宋_GB2312" w:eastAsia="仿宋_GB2312" w:cs="仿宋_GB2312"/>
          <w:sz w:val="32"/>
          <w:szCs w:val="40"/>
        </w:rPr>
        <w:t>3.指导全县各级各类学习意识形态和党的宣传教育工作，指导和督促党的统一战线方针政策在各级各类学校的贯彻落实。</w:t>
      </w:r>
    </w:p>
    <w:p w14:paraId="34589532">
      <w:pPr>
        <w:spacing w:line="560" w:lineRule="exact"/>
        <w:ind w:firstLine="640" w:firstLineChars="200"/>
        <w:rPr>
          <w:rFonts w:ascii="仿宋_GB2312" w:hAnsi="仿宋_GB2312" w:eastAsia="仿宋_GB2312" w:cs="仿宋_GB2312"/>
          <w:sz w:val="32"/>
          <w:szCs w:val="40"/>
        </w:rPr>
      </w:pPr>
      <w:r>
        <w:rPr>
          <w:rFonts w:hint="eastAsia" w:ascii="仿宋_GB2312" w:hAnsi="仿宋_GB2312" w:eastAsia="仿宋_GB2312" w:cs="仿宋_GB2312"/>
          <w:sz w:val="32"/>
          <w:szCs w:val="40"/>
        </w:rPr>
        <w:t>4.按照干部管理权限，负责县教育局所属单位领导班子建设、干部队伍建设、干部选任和日常教育管理工作。</w:t>
      </w:r>
    </w:p>
    <w:p w14:paraId="591682B8">
      <w:pPr>
        <w:spacing w:line="560" w:lineRule="exact"/>
        <w:ind w:firstLine="640" w:firstLineChars="200"/>
        <w:rPr>
          <w:rFonts w:ascii="仿宋_GB2312" w:hAnsi="仿宋_GB2312" w:eastAsia="仿宋_GB2312" w:cs="仿宋_GB2312"/>
          <w:sz w:val="32"/>
          <w:szCs w:val="40"/>
        </w:rPr>
      </w:pPr>
      <w:r>
        <w:rPr>
          <w:rFonts w:hint="eastAsia" w:ascii="仿宋_GB2312" w:hAnsi="仿宋_GB2312" w:eastAsia="仿宋_GB2312" w:cs="仿宋_GB2312"/>
          <w:sz w:val="32"/>
          <w:szCs w:val="40"/>
        </w:rPr>
        <w:t>5.负责全县教师工作。贯彻落实各级各类教师资格标准，负责中小学幼儿园和中等职业学校教师资格认定实施工作，</w:t>
      </w:r>
      <w:r>
        <w:rPr>
          <w:rFonts w:ascii="仿宋_GB2312" w:hAnsi="仿宋_GB2312" w:eastAsia="仿宋_GB2312" w:cs="仿宋_GB2312"/>
          <w:sz w:val="32"/>
          <w:szCs w:val="40"/>
        </w:rPr>
        <w:t>组织实施各级各类教师资格证制度。负责全县教师教育工作，负责教学成果奖评审奖励工作。会同有关部门组织实施教育系统职称评聘、表彰奖励等工作。</w:t>
      </w:r>
    </w:p>
    <w:p w14:paraId="0484D6AC">
      <w:pPr>
        <w:spacing w:line="560" w:lineRule="exact"/>
        <w:ind w:firstLine="640" w:firstLineChars="200"/>
        <w:rPr>
          <w:rFonts w:ascii="仿宋_GB2312" w:hAnsi="仿宋_GB2312" w:eastAsia="仿宋_GB2312" w:cs="仿宋_GB2312"/>
          <w:sz w:val="32"/>
          <w:szCs w:val="40"/>
        </w:rPr>
      </w:pPr>
      <w:r>
        <w:rPr>
          <w:rFonts w:hint="eastAsia" w:ascii="仿宋_GB2312" w:hAnsi="仿宋_GB2312" w:eastAsia="仿宋_GB2312" w:cs="仿宋_GB2312"/>
          <w:sz w:val="32"/>
          <w:szCs w:val="40"/>
        </w:rPr>
        <w:t>6.统筹管理教育系统人次工作。</w:t>
      </w:r>
    </w:p>
    <w:p w14:paraId="21407CA8">
      <w:pPr>
        <w:spacing w:line="560" w:lineRule="exact"/>
        <w:ind w:firstLine="640" w:firstLineChars="200"/>
        <w:rPr>
          <w:rFonts w:ascii="Times New Roman" w:hAnsi="Times New Roman" w:eastAsia="仿宋_GB2312"/>
          <w:sz w:val="32"/>
          <w:szCs w:val="32"/>
        </w:rPr>
      </w:pPr>
      <w:r>
        <w:rPr>
          <w:rFonts w:hint="eastAsia" w:ascii="仿宋_GB2312" w:hAnsi="仿宋_GB2312" w:eastAsia="仿宋_GB2312" w:cs="仿宋_GB2312"/>
          <w:sz w:val="32"/>
          <w:szCs w:val="40"/>
        </w:rPr>
        <w:t>7.参与拟订中专院校毕业生就业政策，指导</w:t>
      </w:r>
      <w:r>
        <w:rPr>
          <w:rFonts w:ascii="仿宋_GB2312" w:hAnsi="仿宋_GB2312" w:eastAsia="仿宋_GB2312" w:cs="仿宋_GB2312"/>
          <w:sz w:val="32"/>
          <w:szCs w:val="40"/>
        </w:rPr>
        <w:t>职业院校开展学</w:t>
      </w:r>
      <w:r>
        <w:rPr>
          <w:rFonts w:hint="eastAsia" w:ascii="Times New Roman" w:hAnsi="Times New Roman" w:eastAsia="仿宋_GB2312"/>
          <w:sz w:val="32"/>
          <w:szCs w:val="32"/>
        </w:rPr>
        <w:t>生就业创业工作。</w:t>
      </w:r>
    </w:p>
    <w:p w14:paraId="291E4772">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8.负责本系统教育经费的统筹管理和内部审计，参与拟订教育经费筹措、教育拨款、教育基建投资等政策，负责统计全县教育经费投入情况。</w:t>
      </w:r>
    </w:p>
    <w:p w14:paraId="4D2CFC8E">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9.拟订全县教育改革与发展的政策和规划并组织实施。</w:t>
      </w:r>
    </w:p>
    <w:p w14:paraId="47655C49">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10.负责全县各级各类教育的统筹规划和协调管理，会同有关部门组织实施各级各类学校的设置标准，负责教育基本信息的统计、分析和发布。</w:t>
      </w:r>
    </w:p>
    <w:p w14:paraId="1E78518A">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11.规划、组织并指导全县教育、教学科学研究工作。指导教育信息化工作。</w:t>
      </w:r>
    </w:p>
    <w:p w14:paraId="47F0A5F5">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12. 负责基础教育管理工作。负责义务教育</w:t>
      </w:r>
      <w:r>
        <w:rPr>
          <w:rFonts w:ascii="仿宋_GB2312" w:hAnsi="仿宋_GB2312" w:eastAsia="仿宋_GB2312" w:cs="仿宋_GB2312"/>
          <w:sz w:val="32"/>
          <w:szCs w:val="40"/>
        </w:rPr>
        <w:t>的协调指导推进义务教育均衡发展和促进教育公平。指呈普通高中教育、幼儿教</w:t>
      </w:r>
      <w:r>
        <w:rPr>
          <w:rFonts w:hint="eastAsia" w:ascii="Times New Roman" w:hAnsi="Times New Roman" w:eastAsia="仿宋_GB2312"/>
          <w:sz w:val="32"/>
          <w:szCs w:val="32"/>
        </w:rPr>
        <w:t>育、特殊教育。研究制定基础教育教学政策，推进素质教育。</w:t>
      </w:r>
    </w:p>
    <w:p w14:paraId="7501EE2D">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13.负责各级各类学校学生和教师的思想政治工作，指导全县学校思想政治工作队伍建设，指导中小学德育课程教育教学。</w:t>
      </w:r>
    </w:p>
    <w:p w14:paraId="6A36EED6">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14.指导各级各类学校的德育、体育、卫生、艺术、劳动、国防教育和心理健康教育工作。</w:t>
      </w:r>
    </w:p>
    <w:p w14:paraId="04EDF435">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15.会同有关部门指导职业教育的发展与改革，拟订中等职业教育教学指导政策和教学评估标准，负责中等职业教育的地方教材建设和职业指导工作。负责成人教育和社区教育的指导工作。</w:t>
      </w:r>
    </w:p>
    <w:p w14:paraId="0D86DB1A">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16.指导各级各类学校抓好家校共建工作。</w:t>
      </w:r>
    </w:p>
    <w:p w14:paraId="231DABB6">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17.负责民办教育的统筹规划、综合协调和指导管理完善政策措施，规范办学秩序，促进民办教育事业健康发展。</w:t>
      </w:r>
    </w:p>
    <w:p w14:paraId="204F5896">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18.统筹指导少数民族教育工作，协调对少数民族和少数民族学校的教育援助</w:t>
      </w:r>
    </w:p>
    <w:p w14:paraId="69C28C77">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19.负责全县老年教育工作。</w:t>
      </w:r>
    </w:p>
    <w:p w14:paraId="648C0D6E">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20.负责中高等学历教育招生考试。</w:t>
      </w:r>
    </w:p>
    <w:p w14:paraId="19704FDC">
      <w:pPr>
        <w:spacing w:line="560" w:lineRule="exact"/>
        <w:ind w:firstLine="640" w:firstLineChars="200"/>
        <w:rPr>
          <w:rFonts w:ascii="仿宋_GB2312" w:hAnsi="仿宋_GB2312" w:eastAsia="仿宋_GB2312" w:cs="仿宋_GB2312"/>
          <w:sz w:val="32"/>
          <w:szCs w:val="40"/>
        </w:rPr>
      </w:pPr>
      <w:r>
        <w:rPr>
          <w:rFonts w:hint="eastAsia" w:ascii="Times New Roman" w:hAnsi="Times New Roman" w:eastAsia="仿宋_GB2312"/>
          <w:sz w:val="32"/>
          <w:szCs w:val="32"/>
        </w:rPr>
        <w:t>21.负责教育系统安全稳定和校园及周</w:t>
      </w:r>
      <w:r>
        <w:rPr>
          <w:rFonts w:ascii="仿宋_GB2312" w:hAnsi="仿宋_GB2312" w:eastAsia="仿宋_GB2312" w:cs="仿宋_GB2312"/>
          <w:sz w:val="32"/>
          <w:szCs w:val="40"/>
        </w:rPr>
        <w:t>边综合治理工作。</w:t>
      </w:r>
    </w:p>
    <w:p w14:paraId="409DF651">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22.负责全县教育督导工作，组织实施对乡镇政府履行教育职责评价，组织开展全县各级各类教育的督导评估、检查验收、质量监测等工作，承担县人民政府教育督导委员会交办的其他事项。</w:t>
      </w:r>
    </w:p>
    <w:p w14:paraId="119CE21A">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23.负责全县语言文字工作，组织协调并监督检查汉语文字规范及标准的实施，推广和普及普通话。</w:t>
      </w:r>
    </w:p>
    <w:p w14:paraId="7F2E0C68">
      <w:pPr>
        <w:spacing w:line="560" w:lineRule="exact"/>
        <w:ind w:firstLine="640" w:firstLineChars="200"/>
        <w:rPr>
          <w:rFonts w:ascii="Times New Roman" w:hAnsi="Times New Roman" w:eastAsia="仿宋_GB2312"/>
          <w:sz w:val="32"/>
          <w:szCs w:val="32"/>
        </w:rPr>
      </w:pPr>
      <w:r>
        <w:rPr>
          <w:rFonts w:hint="eastAsia" w:ascii="Times New Roman" w:hAnsi="Times New Roman" w:eastAsia="仿宋_GB2312"/>
          <w:sz w:val="32"/>
          <w:szCs w:val="32"/>
        </w:rPr>
        <w:t>24.承办县委、县政府交办的其它事项。</w:t>
      </w:r>
    </w:p>
    <w:p w14:paraId="39B13857">
      <w:pPr>
        <w:spacing w:line="560" w:lineRule="exact"/>
        <w:ind w:firstLine="640" w:firstLineChars="200"/>
        <w:rPr>
          <w:rFonts w:ascii="仿宋_GB2312" w:hAnsi="仿宋_GB2312" w:eastAsia="仿宋_GB2312" w:cs="仿宋_GB2312"/>
          <w:sz w:val="32"/>
          <w:szCs w:val="40"/>
        </w:rPr>
      </w:pPr>
      <w:r>
        <w:rPr>
          <w:rFonts w:hint="eastAsia" w:ascii="仿宋_GB2312" w:hAnsi="仿宋_GB2312" w:eastAsia="仿宋_GB2312" w:cs="仿宋_GB2312"/>
          <w:sz w:val="32"/>
          <w:szCs w:val="40"/>
        </w:rPr>
        <w:t>（二）项目基本情况</w:t>
      </w:r>
      <w:bookmarkEnd w:id="22"/>
      <w:bookmarkEnd w:id="23"/>
      <w:bookmarkEnd w:id="24"/>
    </w:p>
    <w:p w14:paraId="79FAC4C7">
      <w:pPr>
        <w:spacing w:line="560" w:lineRule="exact"/>
        <w:ind w:firstLine="640" w:firstLineChars="200"/>
        <w:rPr>
          <w:rFonts w:ascii="Times New Roman" w:hAnsi="Times New Roman" w:eastAsia="仿宋_GB2312"/>
          <w:sz w:val="32"/>
          <w:szCs w:val="32"/>
        </w:rPr>
      </w:pPr>
      <w:bookmarkStart w:id="25" w:name="_Toc17782"/>
      <w:bookmarkStart w:id="26" w:name="_Toc28908"/>
      <w:bookmarkStart w:id="27" w:name="_Toc2988"/>
      <w:bookmarkStart w:id="28" w:name="_Toc26109"/>
      <w:bookmarkStart w:id="29" w:name="_Toc18992"/>
      <w:bookmarkStart w:id="30" w:name="_Toc12860"/>
      <w:bookmarkStart w:id="31" w:name="_Toc7839"/>
      <w:bookmarkStart w:id="32" w:name="_Toc14644"/>
      <w:bookmarkStart w:id="33" w:name="_Toc4859"/>
      <w:bookmarkStart w:id="34" w:name="_Toc6781"/>
      <w:r>
        <w:rPr>
          <w:rFonts w:ascii="Times New Roman" w:hAnsi="Times New Roman" w:eastAsia="仿宋_GB2312"/>
          <w:sz w:val="32"/>
          <w:szCs w:val="32"/>
        </w:rPr>
        <w:t>1.项目背景</w:t>
      </w:r>
    </w:p>
    <w:p w14:paraId="298BB28C">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项目名称：</w:t>
      </w:r>
      <w:r>
        <w:rPr>
          <w:rFonts w:hint="eastAsia" w:ascii="Times New Roman" w:hAnsi="Times New Roman" w:eastAsia="仿宋_GB2312"/>
          <w:sz w:val="32"/>
          <w:szCs w:val="32"/>
        </w:rPr>
        <w:t>原民办代课教师补助</w:t>
      </w:r>
    </w:p>
    <w:p w14:paraId="1CEC1165">
      <w:pPr>
        <w:spacing w:line="560" w:lineRule="exact"/>
        <w:ind w:firstLine="640" w:firstLineChars="200"/>
        <w:rPr>
          <w:rFonts w:ascii="仿宋_GB2312" w:hAnsi="仿宋_GB2312" w:eastAsia="仿宋_GB2312" w:cs="仿宋_GB2312"/>
          <w:sz w:val="32"/>
          <w:szCs w:val="32"/>
        </w:rPr>
      </w:pPr>
      <w:r>
        <w:rPr>
          <w:rFonts w:ascii="Times New Roman" w:hAnsi="Times New Roman" w:eastAsia="仿宋_GB2312"/>
          <w:sz w:val="32"/>
          <w:szCs w:val="32"/>
        </w:rPr>
        <w:t>主要内容：</w:t>
      </w:r>
      <w:r>
        <w:rPr>
          <w:rFonts w:hint="eastAsia" w:ascii="Times New Roman" w:hAnsi="Times New Roman" w:eastAsia="仿宋_GB2312"/>
          <w:sz w:val="32"/>
          <w:szCs w:val="32"/>
        </w:rPr>
        <w:t>对全县</w:t>
      </w:r>
      <w:r>
        <w:rPr>
          <w:rFonts w:hint="eastAsia" w:ascii="仿宋_GB2312" w:hAnsi="仿宋_GB2312" w:eastAsia="仿宋_GB2312" w:cs="仿宋_GB2312"/>
          <w:sz w:val="32"/>
          <w:szCs w:val="32"/>
        </w:rPr>
        <w:t>到达退休年龄老民办教师的教龄补助发放</w:t>
      </w:r>
    </w:p>
    <w:p w14:paraId="5F0EAEBF">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主要解决的问题：</w:t>
      </w:r>
      <w:r>
        <w:rPr>
          <w:rFonts w:hint="eastAsia" w:ascii="Times New Roman" w:hAnsi="Times New Roman" w:eastAsia="仿宋_GB2312"/>
          <w:sz w:val="32"/>
          <w:szCs w:val="32"/>
        </w:rPr>
        <w:t>保障</w:t>
      </w:r>
      <w:r>
        <w:rPr>
          <w:rFonts w:hint="eastAsia" w:ascii="仿宋_GB2312" w:hAnsi="仿宋_GB2312" w:eastAsia="仿宋_GB2312" w:cs="仿宋_GB2312"/>
          <w:sz w:val="32"/>
          <w:szCs w:val="32"/>
        </w:rPr>
        <w:t>到达退休年龄老民办教师基本生活保障。</w:t>
      </w:r>
    </w:p>
    <w:p w14:paraId="6A067266">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项目实施依据：</w:t>
      </w:r>
      <w:r>
        <w:rPr>
          <w:rFonts w:hint="eastAsia" w:ascii="仿宋_GB2312" w:hAnsi="仿宋_GB2312" w:eastAsia="仿宋_GB2312" w:cs="仿宋_GB2312"/>
          <w:sz w:val="32"/>
          <w:szCs w:val="32"/>
        </w:rPr>
        <w:t>《隆尧县农村原民办代课教师身份和教龄认定工作实施细则》</w:t>
      </w:r>
    </w:p>
    <w:p w14:paraId="74F206A4">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资金分配：</w:t>
      </w:r>
      <w:r>
        <w:rPr>
          <w:rFonts w:hint="eastAsia" w:ascii="Times New Roman" w:hAnsi="Times New Roman" w:eastAsia="仿宋_GB2312"/>
          <w:sz w:val="32"/>
          <w:szCs w:val="32"/>
        </w:rPr>
        <w:t>省级资金166万元，县级资金299.72万元。</w:t>
      </w:r>
    </w:p>
    <w:p w14:paraId="08FC3608">
      <w:pPr>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2.工作活动的可行性</w:t>
      </w:r>
    </w:p>
    <w:p w14:paraId="17217D4F">
      <w:pPr>
        <w:spacing w:line="560" w:lineRule="exact"/>
        <w:ind w:firstLine="640" w:firstLineChars="200"/>
        <w:rPr>
          <w:rFonts w:ascii="仿宋_GB2312" w:hAnsi="仿宋_GB2312" w:eastAsia="仿宋_GB2312" w:cs="仿宋_GB2312"/>
          <w:sz w:val="32"/>
          <w:szCs w:val="32"/>
        </w:rPr>
      </w:pPr>
      <w:r>
        <w:rPr>
          <w:rFonts w:ascii="Times New Roman" w:hAnsi="Times New Roman" w:eastAsia="仿宋_GB2312"/>
          <w:sz w:val="32"/>
          <w:szCs w:val="32"/>
        </w:rPr>
        <w:t>通过项目的实施，</w:t>
      </w:r>
      <w:r>
        <w:rPr>
          <w:rFonts w:hint="eastAsia" w:ascii="仿宋_GB2312" w:hAnsi="仿宋_GB2312" w:eastAsia="仿宋_GB2312" w:cs="仿宋_GB2312"/>
          <w:sz w:val="32"/>
          <w:szCs w:val="32"/>
        </w:rPr>
        <w:t>切实解决了我县到达退休年龄老民办代课教师生活问题，提高了到达退休年龄老民办代课教师生活质量。</w:t>
      </w:r>
    </w:p>
    <w:p w14:paraId="6F144214">
      <w:pPr>
        <w:spacing w:line="560" w:lineRule="exact"/>
        <w:ind w:firstLine="643" w:firstLineChars="200"/>
        <w:rPr>
          <w:rFonts w:ascii="仿宋_GB2312" w:hAnsi="仿宋_GB2312" w:eastAsia="仿宋_GB2312" w:cs="仿宋_GB2312"/>
          <w:b/>
          <w:bCs/>
          <w:sz w:val="32"/>
          <w:szCs w:val="40"/>
        </w:rPr>
      </w:pPr>
      <w:r>
        <w:rPr>
          <w:rFonts w:hint="eastAsia" w:ascii="仿宋_GB2312" w:hAnsi="仿宋_GB2312" w:eastAsia="仿宋_GB2312" w:cs="仿宋_GB2312"/>
          <w:b/>
          <w:bCs/>
          <w:sz w:val="32"/>
          <w:szCs w:val="40"/>
        </w:rPr>
        <w:t>二、项目实施情况</w:t>
      </w:r>
      <w:bookmarkEnd w:id="25"/>
      <w:bookmarkEnd w:id="26"/>
      <w:bookmarkEnd w:id="27"/>
      <w:bookmarkEnd w:id="28"/>
      <w:bookmarkEnd w:id="29"/>
      <w:bookmarkEnd w:id="30"/>
      <w:bookmarkEnd w:id="31"/>
      <w:bookmarkEnd w:id="32"/>
      <w:bookmarkEnd w:id="33"/>
      <w:bookmarkEnd w:id="34"/>
    </w:p>
    <w:p w14:paraId="3A4685A7">
      <w:pPr>
        <w:spacing w:line="570" w:lineRule="exact"/>
        <w:ind w:firstLine="470" w:firstLineChars="147"/>
        <w:jc w:val="left"/>
        <w:rPr>
          <w:rFonts w:ascii="Times New Roman" w:hAnsi="Times New Roman" w:eastAsia="黑体"/>
          <w:bCs/>
          <w:color w:val="000000"/>
          <w:sz w:val="32"/>
          <w:szCs w:val="32"/>
        </w:rPr>
      </w:pPr>
      <w:r>
        <w:rPr>
          <w:rFonts w:ascii="Times New Roman" w:hAnsi="Times New Roman" w:eastAsia="楷体"/>
          <w:color w:val="000000"/>
          <w:kern w:val="0"/>
          <w:sz w:val="32"/>
          <w:szCs w:val="32"/>
          <w:shd w:val="clear" w:color="auto" w:fill="FFFFFF"/>
        </w:rPr>
        <w:t>（一）计划制定和落实情况</w:t>
      </w:r>
    </w:p>
    <w:p w14:paraId="0D735219">
      <w:pPr>
        <w:spacing w:line="570" w:lineRule="exact"/>
        <w:ind w:firstLine="640" w:firstLineChars="200"/>
        <w:rPr>
          <w:rFonts w:ascii="Times New Roman" w:hAnsi="Times New Roman" w:eastAsia="仿宋_GB2312"/>
          <w:color w:val="000000"/>
          <w:sz w:val="32"/>
          <w:szCs w:val="32"/>
        </w:rPr>
      </w:pPr>
      <w:r>
        <w:rPr>
          <w:rFonts w:ascii="Times New Roman" w:hAnsi="Times New Roman" w:eastAsia="仿宋_GB2312"/>
          <w:sz w:val="32"/>
          <w:szCs w:val="32"/>
        </w:rPr>
        <w:t>我局制定了详细可行的工作活动实施计划，并严按照实施计划具体落实，保证了资金的及时下达和</w:t>
      </w:r>
      <w:r>
        <w:rPr>
          <w:rFonts w:hint="eastAsia" w:ascii="Times New Roman" w:hAnsi="Times New Roman" w:eastAsia="仿宋_GB2312"/>
          <w:sz w:val="32"/>
          <w:szCs w:val="32"/>
        </w:rPr>
        <w:t>原民办教师补助</w:t>
      </w:r>
      <w:r>
        <w:rPr>
          <w:rFonts w:ascii="Times New Roman" w:hAnsi="Times New Roman" w:eastAsia="仿宋_GB2312"/>
          <w:sz w:val="32"/>
          <w:szCs w:val="32"/>
        </w:rPr>
        <w:t>任务的按时完成。</w:t>
      </w:r>
    </w:p>
    <w:p w14:paraId="73FFA3AE">
      <w:pPr>
        <w:spacing w:line="570" w:lineRule="exact"/>
        <w:ind w:firstLine="470" w:firstLineChars="147"/>
        <w:jc w:val="left"/>
        <w:rPr>
          <w:rFonts w:ascii="Times New Roman" w:hAnsi="Times New Roman" w:eastAsia="楷体"/>
          <w:color w:val="000000"/>
          <w:kern w:val="0"/>
          <w:sz w:val="32"/>
          <w:szCs w:val="32"/>
          <w:shd w:val="clear" w:color="auto" w:fill="FFFFFF"/>
        </w:rPr>
      </w:pPr>
      <w:r>
        <w:rPr>
          <w:rFonts w:ascii="Times New Roman" w:hAnsi="Times New Roman" w:eastAsia="楷体"/>
          <w:color w:val="000000"/>
          <w:kern w:val="0"/>
          <w:sz w:val="32"/>
          <w:szCs w:val="32"/>
          <w:shd w:val="clear" w:color="auto" w:fill="FFFFFF"/>
        </w:rPr>
        <w:t>（二）执行绩效监控情况</w:t>
      </w:r>
    </w:p>
    <w:p w14:paraId="16A26234">
      <w:pPr>
        <w:pStyle w:val="12"/>
        <w:spacing w:line="570" w:lineRule="exact"/>
        <w:ind w:firstLine="640"/>
        <w:rPr>
          <w:rFonts w:ascii="Times New Roman" w:hAnsi="Times New Roman" w:eastAsia="仿宋_GB2312"/>
          <w:sz w:val="32"/>
          <w:szCs w:val="32"/>
        </w:rPr>
      </w:pPr>
      <w:r>
        <w:rPr>
          <w:rFonts w:ascii="Times New Roman" w:hAnsi="Times New Roman" w:eastAsia="仿宋_GB2312"/>
          <w:sz w:val="32"/>
          <w:szCs w:val="32"/>
        </w:rPr>
        <w:t>根据县财政局的要求建立项目绩效管理制度，每年度按照要求进行数据资料的记录和存档，时刻监控项目运行状况，确保最优化效益的实现。</w:t>
      </w:r>
    </w:p>
    <w:p w14:paraId="7E7B1AAE">
      <w:pPr>
        <w:spacing w:line="570" w:lineRule="exact"/>
        <w:ind w:firstLine="470" w:firstLineChars="147"/>
        <w:jc w:val="left"/>
        <w:rPr>
          <w:rFonts w:ascii="Times New Roman" w:hAnsi="Times New Roman" w:eastAsia="楷体"/>
          <w:color w:val="000000"/>
          <w:kern w:val="0"/>
          <w:sz w:val="32"/>
          <w:szCs w:val="32"/>
          <w:shd w:val="clear" w:color="auto" w:fill="FFFFFF"/>
        </w:rPr>
      </w:pPr>
      <w:r>
        <w:rPr>
          <w:rFonts w:ascii="Times New Roman" w:hAnsi="Times New Roman" w:eastAsia="楷体"/>
          <w:color w:val="000000"/>
          <w:kern w:val="0"/>
          <w:sz w:val="32"/>
          <w:szCs w:val="32"/>
          <w:shd w:val="clear" w:color="auto" w:fill="FFFFFF"/>
        </w:rPr>
        <w:t>（</w:t>
      </w:r>
      <w:r>
        <w:rPr>
          <w:rFonts w:ascii="Times New Roman" w:hAnsi="Times New Roman" w:eastAsia="楷体"/>
          <w:sz w:val="32"/>
          <w:szCs w:val="32"/>
        </w:rPr>
        <w:t>三）资金管理情况</w:t>
      </w:r>
    </w:p>
    <w:p w14:paraId="6189A5AC">
      <w:pPr>
        <w:spacing w:line="57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县教育局健全财务管理制度，对项目资金的使用，严格按照财务管理制度规范、安全运行，项目资金到位及时、严格按照程序进行支出。</w:t>
      </w:r>
    </w:p>
    <w:p w14:paraId="3578E8B9">
      <w:pPr>
        <w:spacing w:line="570" w:lineRule="exact"/>
        <w:ind w:firstLine="640" w:firstLineChars="200"/>
        <w:rPr>
          <w:rFonts w:ascii="仿宋_GB2312" w:hAnsi="仿宋_GB2312" w:eastAsia="仿宋_GB2312" w:cs="仿宋_GB2312"/>
          <w:sz w:val="32"/>
          <w:szCs w:val="40"/>
        </w:rPr>
      </w:pPr>
      <w:r>
        <w:rPr>
          <w:rFonts w:ascii="Times New Roman" w:hAnsi="Times New Roman" w:eastAsia="仿宋_GB2312"/>
          <w:sz w:val="32"/>
          <w:szCs w:val="32"/>
        </w:rPr>
        <w:t>完成了</w:t>
      </w:r>
      <w:r>
        <w:rPr>
          <w:rFonts w:hint="eastAsia" w:ascii="Times New Roman" w:hAnsi="Times New Roman" w:eastAsia="仿宋_GB2312"/>
          <w:sz w:val="32"/>
          <w:szCs w:val="32"/>
        </w:rPr>
        <w:t>原民办教师补助任务</w:t>
      </w:r>
      <w:r>
        <w:rPr>
          <w:rFonts w:ascii="Times New Roman" w:hAnsi="Times New Roman" w:eastAsia="仿宋_GB2312"/>
          <w:sz w:val="32"/>
          <w:szCs w:val="32"/>
        </w:rPr>
        <w:t>。</w:t>
      </w:r>
      <w:r>
        <w:rPr>
          <w:rFonts w:hint="eastAsia" w:ascii="Times New Roman" w:hAnsi="Times New Roman" w:eastAsia="仿宋_GB2312"/>
          <w:sz w:val="32"/>
          <w:szCs w:val="32"/>
          <w:lang w:eastAsia="zh-CN"/>
        </w:rPr>
        <w:t>根据</w:t>
      </w:r>
      <w:r>
        <w:rPr>
          <w:rFonts w:ascii="Times New Roman" w:hAnsi="Times New Roman" w:eastAsia="仿宋_GB2312"/>
          <w:sz w:val="32"/>
          <w:szCs w:val="32"/>
        </w:rPr>
        <w:t>县政府批示安排资金</w:t>
      </w:r>
      <w:r>
        <w:rPr>
          <w:rFonts w:hint="eastAsia" w:ascii="Times New Roman" w:hAnsi="Times New Roman" w:eastAsia="仿宋_GB2312"/>
          <w:sz w:val="32"/>
          <w:szCs w:val="32"/>
        </w:rPr>
        <w:t>465.72</w:t>
      </w:r>
      <w:r>
        <w:rPr>
          <w:rFonts w:ascii="Times New Roman" w:hAnsi="Times New Roman" w:eastAsia="仿宋_GB2312"/>
          <w:sz w:val="32"/>
          <w:szCs w:val="32"/>
        </w:rPr>
        <w:t>万元，资金到位率100%，项目完成实施资金</w:t>
      </w:r>
      <w:r>
        <w:rPr>
          <w:rFonts w:hint="eastAsia" w:ascii="Times New Roman" w:hAnsi="Times New Roman" w:eastAsia="仿宋_GB2312"/>
          <w:sz w:val="32"/>
          <w:szCs w:val="32"/>
        </w:rPr>
        <w:t>457</w:t>
      </w:r>
      <w:r>
        <w:rPr>
          <w:rFonts w:ascii="Times New Roman" w:hAnsi="Times New Roman" w:eastAsia="仿宋_GB2312"/>
          <w:sz w:val="32"/>
          <w:szCs w:val="32"/>
        </w:rPr>
        <w:t>万元。</w:t>
      </w:r>
    </w:p>
    <w:p w14:paraId="5E01831C">
      <w:pPr>
        <w:spacing w:line="560" w:lineRule="exact"/>
        <w:ind w:firstLine="643" w:firstLineChars="200"/>
        <w:rPr>
          <w:rFonts w:ascii="仿宋_GB2312" w:hAnsi="仿宋_GB2312" w:eastAsia="仿宋_GB2312" w:cs="仿宋_GB2312"/>
          <w:b/>
          <w:bCs/>
          <w:sz w:val="32"/>
          <w:szCs w:val="40"/>
        </w:rPr>
      </w:pPr>
      <w:bookmarkStart w:id="35" w:name="_Toc18915"/>
      <w:bookmarkStart w:id="36" w:name="_Toc21501"/>
      <w:bookmarkStart w:id="37" w:name="_Toc6451"/>
      <w:bookmarkStart w:id="38" w:name="_Toc29800"/>
      <w:bookmarkStart w:id="39" w:name="_Toc5215"/>
      <w:bookmarkStart w:id="40" w:name="_Toc5317"/>
      <w:bookmarkStart w:id="41" w:name="_Toc12150"/>
      <w:bookmarkStart w:id="42" w:name="_Toc26855"/>
      <w:bookmarkStart w:id="43" w:name="_Toc20904"/>
      <w:bookmarkStart w:id="44" w:name="_Toc10651"/>
      <w:r>
        <w:rPr>
          <w:rFonts w:hint="eastAsia" w:ascii="仿宋_GB2312" w:hAnsi="仿宋_GB2312" w:eastAsia="仿宋_GB2312" w:cs="仿宋_GB2312"/>
          <w:b/>
          <w:bCs/>
          <w:sz w:val="32"/>
          <w:szCs w:val="40"/>
        </w:rPr>
        <w:t>三、绩效评价工作情况</w:t>
      </w:r>
      <w:bookmarkEnd w:id="35"/>
      <w:bookmarkEnd w:id="36"/>
      <w:bookmarkEnd w:id="37"/>
      <w:bookmarkEnd w:id="38"/>
      <w:bookmarkEnd w:id="39"/>
      <w:bookmarkEnd w:id="40"/>
      <w:bookmarkEnd w:id="41"/>
      <w:bookmarkEnd w:id="42"/>
      <w:bookmarkEnd w:id="43"/>
      <w:bookmarkEnd w:id="44"/>
    </w:p>
    <w:p w14:paraId="030CEFAC">
      <w:pPr>
        <w:spacing w:line="560" w:lineRule="exact"/>
        <w:ind w:firstLine="640" w:firstLineChars="200"/>
        <w:rPr>
          <w:rFonts w:ascii="仿宋_GB2312" w:hAnsi="仿宋_GB2312" w:eastAsia="仿宋_GB2312" w:cs="仿宋_GB2312"/>
          <w:sz w:val="32"/>
          <w:szCs w:val="40"/>
        </w:rPr>
      </w:pPr>
      <w:bookmarkStart w:id="45" w:name="_Toc23608"/>
      <w:bookmarkStart w:id="46" w:name="_Toc4056"/>
      <w:bookmarkStart w:id="47" w:name="_Toc15730"/>
      <w:bookmarkStart w:id="48" w:name="_Toc14742"/>
      <w:bookmarkStart w:id="49" w:name="_Toc7570"/>
      <w:bookmarkStart w:id="50" w:name="_Toc17355"/>
      <w:bookmarkStart w:id="51" w:name="_Toc5105"/>
      <w:bookmarkStart w:id="52" w:name="_Toc25600"/>
      <w:bookmarkStart w:id="53" w:name="_Toc22771"/>
      <w:bookmarkStart w:id="54" w:name="_Toc8077"/>
      <w:r>
        <w:rPr>
          <w:rFonts w:hint="eastAsia" w:ascii="仿宋_GB2312" w:hAnsi="仿宋_GB2312" w:eastAsia="仿宋_GB2312" w:cs="仿宋_GB2312"/>
          <w:sz w:val="32"/>
          <w:szCs w:val="40"/>
        </w:rPr>
        <w:t>（一）评价目的</w:t>
      </w:r>
      <w:bookmarkEnd w:id="45"/>
      <w:bookmarkEnd w:id="46"/>
      <w:bookmarkEnd w:id="47"/>
      <w:bookmarkEnd w:id="48"/>
      <w:bookmarkEnd w:id="49"/>
      <w:bookmarkEnd w:id="50"/>
      <w:bookmarkEnd w:id="51"/>
      <w:bookmarkEnd w:id="52"/>
      <w:bookmarkEnd w:id="53"/>
      <w:bookmarkEnd w:id="54"/>
    </w:p>
    <w:p w14:paraId="5E04F738">
      <w:pPr>
        <w:pStyle w:val="2"/>
        <w:spacing w:line="560" w:lineRule="exact"/>
        <w:ind w:firstLine="640"/>
        <w:textAlignment w:val="auto"/>
      </w:pPr>
      <w:r>
        <w:rPr>
          <w:rFonts w:ascii="仿宋" w:hAnsi="仿宋" w:eastAsia="仿宋" w:cs="仿宋"/>
          <w:color w:val="000000"/>
          <w:sz w:val="32"/>
          <w:szCs w:val="32"/>
          <w:shd w:val="clear" w:color="auto" w:fill="FFFFFF"/>
        </w:rPr>
        <w:t xml:space="preserve">绩效评价目的：全面贯彻实施预算绩效管理，对照年初确 定的绩效目标，加强项目和资金管理，确保资金使用合规合法， 提高工作效率。提升项目资金使用效益。 </w:t>
      </w:r>
    </w:p>
    <w:p w14:paraId="6F48C710">
      <w:pPr>
        <w:numPr>
          <w:ilvl w:val="0"/>
          <w:numId w:val="1"/>
        </w:numPr>
        <w:spacing w:line="560" w:lineRule="exact"/>
        <w:ind w:firstLine="640" w:firstLineChars="200"/>
        <w:rPr>
          <w:rFonts w:ascii="仿宋_GB2312" w:hAnsi="仿宋_GB2312" w:eastAsia="仿宋_GB2312" w:cs="仿宋_GB2312"/>
          <w:sz w:val="32"/>
          <w:szCs w:val="40"/>
        </w:rPr>
      </w:pPr>
      <w:bookmarkStart w:id="55" w:name="_Toc27346"/>
      <w:bookmarkStart w:id="56" w:name="_Toc18502"/>
      <w:bookmarkStart w:id="57" w:name="_Toc25746"/>
      <w:bookmarkStart w:id="58" w:name="_Toc27199"/>
      <w:bookmarkStart w:id="59" w:name="_Toc22727"/>
      <w:bookmarkStart w:id="60" w:name="_Toc16971"/>
      <w:bookmarkStart w:id="61" w:name="_Toc3910"/>
      <w:bookmarkStart w:id="62" w:name="_Toc16121"/>
      <w:bookmarkStart w:id="63" w:name="_Toc8288"/>
      <w:bookmarkStart w:id="64" w:name="_Toc30351"/>
      <w:r>
        <w:rPr>
          <w:rFonts w:hint="eastAsia" w:ascii="仿宋_GB2312" w:hAnsi="仿宋_GB2312" w:eastAsia="仿宋_GB2312" w:cs="仿宋_GB2312"/>
          <w:sz w:val="32"/>
          <w:szCs w:val="40"/>
        </w:rPr>
        <w:t>评价指标</w:t>
      </w:r>
      <w:bookmarkEnd w:id="55"/>
      <w:bookmarkEnd w:id="56"/>
      <w:bookmarkEnd w:id="57"/>
      <w:bookmarkEnd w:id="58"/>
      <w:bookmarkEnd w:id="59"/>
      <w:bookmarkEnd w:id="60"/>
      <w:bookmarkEnd w:id="61"/>
      <w:bookmarkEnd w:id="62"/>
      <w:bookmarkEnd w:id="63"/>
      <w:bookmarkEnd w:id="64"/>
    </w:p>
    <w:p w14:paraId="3B3403F8">
      <w:pPr>
        <w:pStyle w:val="2"/>
        <w:spacing w:line="560" w:lineRule="exact"/>
        <w:ind w:firstLine="640"/>
        <w:rPr>
          <w:rFonts w:ascii="仿宋_GB2312" w:hAnsi="Calibri" w:eastAsia="仿宋_GB2312"/>
          <w:color w:val="auto"/>
          <w:sz w:val="32"/>
          <w:szCs w:val="32"/>
        </w:rPr>
      </w:pPr>
      <w:r>
        <w:rPr>
          <w:rFonts w:ascii="仿宋" w:hAnsi="仿宋" w:eastAsia="仿宋" w:cs="仿宋"/>
          <w:color w:val="000000"/>
          <w:sz w:val="32"/>
          <w:szCs w:val="32"/>
          <w:shd w:val="clear" w:color="auto" w:fill="FFFFFF"/>
        </w:rPr>
        <w:t>本着客观公正和有效性原则，按照设定的指标体系，采用定 量与定性评价相结合的比较法进行自评。根据我县代课教师教龄 补贴资金实际执行情况设定指标，</w:t>
      </w:r>
      <w:r>
        <w:rPr>
          <w:rFonts w:hint="eastAsia" w:ascii="仿宋_GB2312" w:hAnsi="Calibri" w:eastAsia="仿宋_GB2312"/>
          <w:color w:val="auto"/>
          <w:sz w:val="32"/>
          <w:szCs w:val="32"/>
        </w:rPr>
        <w:t>如下表。</w:t>
      </w:r>
    </w:p>
    <w:p w14:paraId="0DF6567D">
      <w:pPr>
        <w:spacing w:line="560" w:lineRule="exact"/>
        <w:ind w:firstLine="640" w:firstLineChars="200"/>
        <w:rPr>
          <w:rFonts w:ascii="仿宋_GB2312" w:hAnsi="仿宋_GB2312" w:eastAsia="仿宋_GB2312" w:cs="仿宋_GB2312"/>
          <w:sz w:val="32"/>
          <w:szCs w:val="40"/>
        </w:rPr>
      </w:pPr>
      <w:bookmarkStart w:id="65" w:name="_Toc19068"/>
      <w:bookmarkStart w:id="66" w:name="_Toc12572"/>
      <w:bookmarkStart w:id="67" w:name="_Toc5587"/>
      <w:bookmarkStart w:id="68" w:name="_Toc25343"/>
      <w:bookmarkStart w:id="69" w:name="_Toc19154"/>
      <w:bookmarkStart w:id="70" w:name="_Toc32306"/>
      <w:bookmarkStart w:id="71" w:name="_Toc11684"/>
      <w:bookmarkStart w:id="72" w:name="_Toc5304"/>
      <w:bookmarkStart w:id="73" w:name="_Toc23270"/>
      <w:bookmarkStart w:id="74" w:name="_Toc32241"/>
      <w:r>
        <w:rPr>
          <w:rFonts w:hint="eastAsia" w:ascii="仿宋_GB2312" w:hAnsi="仿宋_GB2312" w:eastAsia="仿宋_GB2312" w:cs="仿宋_GB2312"/>
          <w:sz w:val="32"/>
          <w:szCs w:val="40"/>
        </w:rPr>
        <w:t>（三）评价依据</w:t>
      </w:r>
      <w:bookmarkEnd w:id="65"/>
      <w:bookmarkEnd w:id="66"/>
      <w:bookmarkEnd w:id="67"/>
      <w:bookmarkEnd w:id="68"/>
      <w:bookmarkEnd w:id="69"/>
      <w:bookmarkEnd w:id="70"/>
      <w:bookmarkEnd w:id="71"/>
      <w:bookmarkEnd w:id="72"/>
      <w:bookmarkEnd w:id="73"/>
      <w:bookmarkEnd w:id="74"/>
    </w:p>
    <w:p w14:paraId="3EEB52E1">
      <w:pPr>
        <w:spacing w:line="560" w:lineRule="exact"/>
        <w:ind w:firstLine="640" w:firstLineChars="200"/>
        <w:rPr>
          <w:rFonts w:ascii="仿宋_GB2312" w:eastAsia="仿宋_GB2312"/>
          <w:sz w:val="32"/>
          <w:szCs w:val="32"/>
        </w:rPr>
      </w:pPr>
      <w:r>
        <w:rPr>
          <w:rFonts w:hint="eastAsia" w:ascii="仿宋_GB2312" w:eastAsia="仿宋_GB2312"/>
          <w:sz w:val="32"/>
          <w:szCs w:val="32"/>
        </w:rPr>
        <w:t>1.《中华人民共和国预算法》</w:t>
      </w:r>
    </w:p>
    <w:p w14:paraId="63D2DABF">
      <w:pPr>
        <w:pStyle w:val="2"/>
        <w:spacing w:line="560" w:lineRule="exact"/>
        <w:ind w:firstLine="640"/>
        <w:rPr>
          <w:rFonts w:ascii="仿宋_GB2312" w:hAnsi="Calibri" w:eastAsia="仿宋_GB2312"/>
          <w:color w:val="auto"/>
          <w:sz w:val="32"/>
          <w:szCs w:val="32"/>
        </w:rPr>
      </w:pPr>
      <w:r>
        <w:rPr>
          <w:rFonts w:hint="eastAsia" w:ascii="仿宋_GB2312" w:hAnsi="Calibri" w:eastAsia="仿宋_GB2312"/>
          <w:color w:val="auto"/>
          <w:sz w:val="32"/>
          <w:szCs w:val="32"/>
        </w:rPr>
        <w:t>2.隆尧县人民政府办公室关于印发《隆尧县农村原民办代课教师身份和教龄认定工作实施细则》的通知（隆政办</w:t>
      </w:r>
      <w:r>
        <w:rPr>
          <w:rFonts w:hint="eastAsia" w:ascii="仿宋_GB2312" w:hAnsi="Calibri" w:eastAsia="仿宋_GB2312"/>
          <w:color w:val="auto"/>
          <w:sz w:val="32"/>
          <w:szCs w:val="32"/>
          <w:lang w:val="zh-CN"/>
        </w:rPr>
        <w:t>〔20</w:t>
      </w:r>
      <w:r>
        <w:rPr>
          <w:rFonts w:hint="eastAsia" w:ascii="仿宋_GB2312" w:hAnsi="Calibri" w:eastAsia="仿宋_GB2312"/>
          <w:color w:val="auto"/>
          <w:sz w:val="32"/>
          <w:szCs w:val="32"/>
        </w:rPr>
        <w:t>12</w:t>
      </w:r>
      <w:r>
        <w:rPr>
          <w:rFonts w:hint="eastAsia" w:ascii="仿宋_GB2312" w:hAnsi="Calibri" w:eastAsia="仿宋_GB2312"/>
          <w:color w:val="auto"/>
          <w:sz w:val="32"/>
          <w:szCs w:val="32"/>
          <w:lang w:val="zh-CN"/>
        </w:rPr>
        <w:t>〕</w:t>
      </w:r>
      <w:r>
        <w:rPr>
          <w:rFonts w:hint="eastAsia" w:ascii="仿宋_GB2312" w:hAnsi="Calibri" w:eastAsia="仿宋_GB2312"/>
          <w:color w:val="auto"/>
          <w:sz w:val="32"/>
          <w:szCs w:val="32"/>
        </w:rPr>
        <w:t>11号）</w:t>
      </w:r>
    </w:p>
    <w:p w14:paraId="260D28CB">
      <w:pPr>
        <w:spacing w:line="560" w:lineRule="exact"/>
        <w:ind w:firstLine="640" w:firstLineChars="200"/>
        <w:rPr>
          <w:rFonts w:ascii="仿宋_GB2312" w:eastAsia="仿宋_GB2312"/>
          <w:sz w:val="32"/>
          <w:szCs w:val="32"/>
        </w:rPr>
      </w:pPr>
      <w:r>
        <w:rPr>
          <w:rFonts w:hint="eastAsia" w:ascii="仿宋_GB2312" w:eastAsia="仿宋_GB2312"/>
          <w:sz w:val="32"/>
          <w:szCs w:val="32"/>
        </w:rPr>
        <w:t>3.河北省人民政府办公厅转发省教育厅省财政厅省人力资源和社会保障厅关于为农村原民办代课教师发放教龄补助实施方案的通知（冀政办函</w:t>
      </w:r>
      <w:r>
        <w:rPr>
          <w:rFonts w:hint="eastAsia" w:ascii="仿宋_GB2312" w:eastAsia="仿宋_GB2312"/>
          <w:sz w:val="32"/>
          <w:szCs w:val="32"/>
          <w:lang w:val="zh-CN"/>
        </w:rPr>
        <w:t>〔20</w:t>
      </w:r>
      <w:r>
        <w:rPr>
          <w:rFonts w:hint="eastAsia" w:ascii="仿宋_GB2312" w:eastAsia="仿宋_GB2312"/>
          <w:sz w:val="32"/>
          <w:szCs w:val="32"/>
        </w:rPr>
        <w:t>12</w:t>
      </w:r>
      <w:r>
        <w:rPr>
          <w:rFonts w:hint="eastAsia" w:ascii="仿宋_GB2312" w:eastAsia="仿宋_GB2312"/>
          <w:sz w:val="32"/>
          <w:szCs w:val="32"/>
          <w:lang w:val="zh-CN"/>
        </w:rPr>
        <w:t>〕</w:t>
      </w:r>
      <w:r>
        <w:rPr>
          <w:rFonts w:hint="eastAsia" w:ascii="仿宋_GB2312" w:eastAsia="仿宋_GB2312"/>
          <w:sz w:val="32"/>
          <w:szCs w:val="32"/>
        </w:rPr>
        <w:t>37号）</w:t>
      </w:r>
    </w:p>
    <w:p w14:paraId="41F3DC64">
      <w:pPr>
        <w:pStyle w:val="2"/>
        <w:spacing w:line="560" w:lineRule="exact"/>
        <w:ind w:firstLine="640"/>
        <w:rPr>
          <w:rFonts w:ascii="仿宋_GB2312" w:hAnsi="Calibri" w:eastAsia="仿宋_GB2312"/>
          <w:color w:val="auto"/>
          <w:sz w:val="32"/>
          <w:szCs w:val="32"/>
        </w:rPr>
      </w:pPr>
      <w:r>
        <w:rPr>
          <w:rFonts w:hint="eastAsia" w:ascii="仿宋_GB2312" w:hAnsi="Calibri" w:eastAsia="仿宋_GB2312"/>
          <w:color w:val="auto"/>
          <w:sz w:val="32"/>
          <w:szCs w:val="32"/>
        </w:rPr>
        <w:t>4.邢台市人民政府办公室关于印发《农村原民办代课教师身份和教龄认定工作实施细则》的通知</w:t>
      </w:r>
    </w:p>
    <w:p w14:paraId="730BEF53">
      <w:pPr>
        <w:spacing w:line="560" w:lineRule="exact"/>
        <w:ind w:firstLine="640" w:firstLineChars="200"/>
        <w:rPr>
          <w:rFonts w:ascii="仿宋_GB2312" w:eastAsia="仿宋_GB2312"/>
          <w:sz w:val="32"/>
          <w:szCs w:val="32"/>
        </w:rPr>
      </w:pPr>
      <w:r>
        <w:rPr>
          <w:rFonts w:hint="eastAsia" w:ascii="仿宋_GB2312" w:eastAsia="仿宋_GB2312"/>
          <w:sz w:val="32"/>
          <w:szCs w:val="32"/>
        </w:rPr>
        <w:t>5. 邢台市教育局邢台市财政局邢台市人力资源和社会保障局关于做好为农村原民办代课教师发放教龄补助有关工作的通知（邢教联</w:t>
      </w:r>
      <w:r>
        <w:rPr>
          <w:rFonts w:hint="eastAsia" w:ascii="仿宋_GB2312" w:eastAsia="仿宋_GB2312"/>
          <w:sz w:val="32"/>
          <w:szCs w:val="32"/>
          <w:lang w:val="zh-CN"/>
        </w:rPr>
        <w:t>〔20</w:t>
      </w:r>
      <w:r>
        <w:rPr>
          <w:rFonts w:hint="eastAsia" w:ascii="仿宋_GB2312" w:eastAsia="仿宋_GB2312"/>
          <w:sz w:val="32"/>
          <w:szCs w:val="32"/>
        </w:rPr>
        <w:t>17</w:t>
      </w:r>
      <w:r>
        <w:rPr>
          <w:rFonts w:hint="eastAsia" w:ascii="仿宋_GB2312" w:eastAsia="仿宋_GB2312"/>
          <w:sz w:val="32"/>
          <w:szCs w:val="32"/>
          <w:lang w:val="zh-CN"/>
        </w:rPr>
        <w:t>〕</w:t>
      </w:r>
      <w:r>
        <w:rPr>
          <w:rFonts w:hint="eastAsia" w:ascii="仿宋_GB2312" w:eastAsia="仿宋_GB2312"/>
          <w:sz w:val="32"/>
          <w:szCs w:val="32"/>
        </w:rPr>
        <w:t>1号）</w:t>
      </w:r>
    </w:p>
    <w:p w14:paraId="41913F77">
      <w:pPr>
        <w:spacing w:line="560" w:lineRule="exact"/>
        <w:ind w:firstLine="640" w:firstLineChars="200"/>
        <w:rPr>
          <w:rFonts w:ascii="仿宋_GB2312" w:hAnsi="仿宋_GB2312" w:eastAsia="仿宋_GB2312" w:cs="仿宋_GB2312"/>
          <w:sz w:val="32"/>
          <w:szCs w:val="40"/>
        </w:rPr>
      </w:pPr>
      <w:bookmarkStart w:id="75" w:name="_Toc1868"/>
      <w:bookmarkStart w:id="76" w:name="_Toc12940"/>
      <w:bookmarkStart w:id="77" w:name="_Toc7393"/>
      <w:bookmarkStart w:id="78" w:name="_Toc26780"/>
      <w:bookmarkStart w:id="79" w:name="_Toc6747"/>
      <w:bookmarkStart w:id="80" w:name="_Toc11243"/>
      <w:bookmarkStart w:id="81" w:name="_Toc13179"/>
      <w:bookmarkStart w:id="82" w:name="_Toc22038"/>
      <w:bookmarkStart w:id="83" w:name="_Toc9401"/>
      <w:bookmarkStart w:id="84" w:name="_Toc24302"/>
      <w:r>
        <w:rPr>
          <w:rFonts w:hint="eastAsia" w:ascii="仿宋_GB2312" w:hAnsi="仿宋_GB2312" w:eastAsia="仿宋_GB2312" w:cs="仿宋_GB2312"/>
          <w:sz w:val="32"/>
          <w:szCs w:val="40"/>
        </w:rPr>
        <w:t>（四）评价的主要方法及等级设定</w:t>
      </w:r>
      <w:bookmarkEnd w:id="75"/>
      <w:bookmarkEnd w:id="76"/>
      <w:bookmarkEnd w:id="77"/>
      <w:bookmarkEnd w:id="78"/>
      <w:bookmarkEnd w:id="79"/>
      <w:bookmarkEnd w:id="80"/>
      <w:bookmarkEnd w:id="81"/>
      <w:bookmarkEnd w:id="82"/>
      <w:bookmarkEnd w:id="83"/>
      <w:bookmarkEnd w:id="84"/>
    </w:p>
    <w:p w14:paraId="632F6AEC">
      <w:pPr>
        <w:pStyle w:val="2"/>
        <w:spacing w:line="560" w:lineRule="exact"/>
        <w:ind w:firstLine="640"/>
        <w:textAlignment w:val="auto"/>
        <w:rPr>
          <w:rFonts w:ascii="仿宋_GB2312" w:hAnsi="Calibri" w:eastAsia="仿宋_GB2312"/>
          <w:color w:val="auto"/>
          <w:sz w:val="32"/>
          <w:szCs w:val="32"/>
        </w:rPr>
      </w:pPr>
      <w:r>
        <w:rPr>
          <w:rFonts w:ascii="仿宋" w:hAnsi="仿宋" w:eastAsia="仿宋" w:cs="仿宋"/>
          <w:color w:val="000000"/>
          <w:sz w:val="32"/>
          <w:szCs w:val="32"/>
          <w:shd w:val="clear" w:color="auto" w:fill="FFFFFF"/>
        </w:rPr>
        <w:t>本着客观公正和有效性原则，按照设定的指标体系，采用定 量与定性评价相结合的比较法进行自评。根据我县代课教师教龄 补贴资金实际执行情况设</w:t>
      </w:r>
      <w:r>
        <w:rPr>
          <w:rFonts w:hint="eastAsia" w:ascii="仿宋_GB2312" w:hAnsi="Calibri" w:eastAsia="仿宋_GB2312"/>
          <w:color w:val="auto"/>
          <w:sz w:val="32"/>
          <w:szCs w:val="32"/>
        </w:rPr>
        <w:t>定评价等级：优秀95分以上（含95分）、良好80分-94分（含80分）、合格60分-79分（含60分）、不合格（60分以下）四个等级。</w:t>
      </w:r>
    </w:p>
    <w:p w14:paraId="2FA04DCB">
      <w:pPr>
        <w:pStyle w:val="2"/>
        <w:spacing w:line="560" w:lineRule="exact"/>
        <w:ind w:firstLine="640"/>
      </w:pPr>
      <w:r>
        <w:rPr>
          <w:rFonts w:hint="eastAsia" w:ascii="仿宋_GB2312" w:hAnsi="Calibri" w:eastAsia="仿宋_GB2312"/>
          <w:color w:val="auto"/>
          <w:sz w:val="32"/>
          <w:szCs w:val="32"/>
        </w:rPr>
        <w:t>《隆尧县农村原民办代课教师补助项目》绩效自评为100分，自评结果为优。</w:t>
      </w:r>
    </w:p>
    <w:p w14:paraId="0A3EC6ED">
      <w:pPr>
        <w:spacing w:line="580" w:lineRule="exact"/>
        <w:ind w:firstLine="643" w:firstLineChars="200"/>
        <w:outlineLvl w:val="0"/>
        <w:rPr>
          <w:rFonts w:ascii="仿宋_GB2312" w:hAnsi="仿宋_GB2312" w:eastAsia="仿宋_GB2312" w:cs="仿宋_GB2312"/>
        </w:rPr>
      </w:pPr>
      <w:bookmarkStart w:id="85" w:name="_Toc21014"/>
      <w:bookmarkStart w:id="86" w:name="_Toc22222"/>
      <w:bookmarkStart w:id="87" w:name="_Toc17025"/>
      <w:bookmarkStart w:id="88" w:name="_Toc20748"/>
      <w:bookmarkStart w:id="89" w:name="_Toc30508"/>
      <w:bookmarkStart w:id="90" w:name="_Toc6105"/>
      <w:bookmarkStart w:id="91" w:name="_Toc5623"/>
      <w:bookmarkStart w:id="92" w:name="_Toc10113"/>
      <w:bookmarkStart w:id="93" w:name="_Toc18842"/>
      <w:bookmarkStart w:id="94" w:name="_Toc28621"/>
      <w:r>
        <w:rPr>
          <w:rFonts w:hint="eastAsia" w:ascii="仿宋_GB2312" w:hAnsi="仿宋_GB2312" w:eastAsia="仿宋_GB2312" w:cs="仿宋_GB2312"/>
          <w:b/>
          <w:bCs/>
          <w:sz w:val="32"/>
          <w:szCs w:val="40"/>
        </w:rPr>
        <w:t>四、绩效评价指标体系及得分情况</w:t>
      </w:r>
      <w:bookmarkEnd w:id="85"/>
      <w:bookmarkEnd w:id="86"/>
      <w:bookmarkEnd w:id="87"/>
      <w:bookmarkEnd w:id="88"/>
      <w:bookmarkEnd w:id="89"/>
      <w:bookmarkEnd w:id="90"/>
      <w:bookmarkEnd w:id="91"/>
      <w:bookmarkEnd w:id="92"/>
      <w:bookmarkEnd w:id="93"/>
      <w:bookmarkEnd w:id="94"/>
    </w:p>
    <w:p w14:paraId="1DD0F118">
      <w:pPr>
        <w:ind w:firstLine="2080" w:firstLineChars="740"/>
      </w:pPr>
      <w:r>
        <w:rPr>
          <w:rFonts w:hint="eastAsia" w:ascii="仿宋_GB2312" w:hAnsi="仿宋_GB2312" w:eastAsia="仿宋_GB2312" w:cs="仿宋_GB2312"/>
          <w:b/>
          <w:color w:val="000000"/>
          <w:kern w:val="0"/>
          <w:sz w:val="28"/>
          <w:szCs w:val="28"/>
        </w:rPr>
        <w:t>隆尧县原民办代课教师补助项目重点绩效评价指标表</w:t>
      </w:r>
    </w:p>
    <w:tbl>
      <w:tblPr>
        <w:tblStyle w:val="7"/>
        <w:tblW w:w="9098" w:type="dxa"/>
        <w:tblInd w:w="-130" w:type="dxa"/>
        <w:tblLayout w:type="fixed"/>
        <w:tblCellMar>
          <w:top w:w="0" w:type="dxa"/>
          <w:left w:w="0" w:type="dxa"/>
          <w:bottom w:w="0" w:type="dxa"/>
          <w:right w:w="0" w:type="dxa"/>
        </w:tblCellMar>
      </w:tblPr>
      <w:tblGrid>
        <w:gridCol w:w="1276"/>
        <w:gridCol w:w="491"/>
        <w:gridCol w:w="2498"/>
        <w:gridCol w:w="426"/>
        <w:gridCol w:w="3696"/>
        <w:gridCol w:w="711"/>
      </w:tblGrid>
      <w:tr w14:paraId="5EEB66ED">
        <w:tblPrEx>
          <w:tblCellMar>
            <w:top w:w="0" w:type="dxa"/>
            <w:left w:w="0" w:type="dxa"/>
            <w:bottom w:w="0" w:type="dxa"/>
            <w:right w:w="0" w:type="dxa"/>
          </w:tblCellMar>
        </w:tblPrEx>
        <w:trPr>
          <w:trHeight w:val="590" w:hRule="atLeast"/>
        </w:trPr>
        <w:tc>
          <w:tcPr>
            <w:tcW w:w="1276" w:type="dxa"/>
            <w:tcBorders>
              <w:top w:val="single" w:color="000000" w:sz="4" w:space="0"/>
              <w:left w:val="single" w:color="000000" w:sz="4" w:space="0"/>
              <w:bottom w:val="single" w:color="000000" w:sz="4" w:space="0"/>
              <w:right w:val="nil"/>
            </w:tcBorders>
            <w:noWrap/>
            <w:tcMar>
              <w:top w:w="12" w:type="dxa"/>
              <w:left w:w="12" w:type="dxa"/>
              <w:right w:w="12" w:type="dxa"/>
            </w:tcMar>
            <w:vAlign w:val="center"/>
          </w:tcPr>
          <w:p w14:paraId="58E3EEAA">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 xml:space="preserve">一级指标  </w:t>
            </w:r>
          </w:p>
        </w:tc>
        <w:tc>
          <w:tcPr>
            <w:tcW w:w="49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FFD7DDF">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二级指标</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BBBD28B">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 xml:space="preserve"> 三级指标</w:t>
            </w:r>
          </w:p>
        </w:tc>
        <w:tc>
          <w:tcPr>
            <w:tcW w:w="426" w:type="dxa"/>
            <w:vMerge w:val="restart"/>
            <w:tcBorders>
              <w:top w:val="single" w:color="000000" w:sz="4" w:space="0"/>
              <w:left w:val="nil"/>
              <w:bottom w:val="single" w:color="000000" w:sz="4" w:space="0"/>
              <w:right w:val="single" w:color="000000" w:sz="4" w:space="0"/>
            </w:tcBorders>
            <w:noWrap/>
            <w:tcMar>
              <w:top w:w="12" w:type="dxa"/>
              <w:left w:w="12" w:type="dxa"/>
              <w:right w:w="12" w:type="dxa"/>
            </w:tcMar>
            <w:vAlign w:val="center"/>
          </w:tcPr>
          <w:p w14:paraId="0E52CF65">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分值</w:t>
            </w:r>
          </w:p>
        </w:tc>
        <w:tc>
          <w:tcPr>
            <w:tcW w:w="3696"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DE3CC0A">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指标说明</w:t>
            </w:r>
          </w:p>
        </w:tc>
        <w:tc>
          <w:tcPr>
            <w:tcW w:w="711"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A18A804">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得分</w:t>
            </w:r>
          </w:p>
        </w:tc>
      </w:tr>
      <w:tr w14:paraId="3A0C53DA">
        <w:tblPrEx>
          <w:tblCellMar>
            <w:top w:w="0" w:type="dxa"/>
            <w:left w:w="0" w:type="dxa"/>
            <w:bottom w:w="0" w:type="dxa"/>
            <w:right w:w="0" w:type="dxa"/>
          </w:tblCellMar>
        </w:tblPrEx>
        <w:trPr>
          <w:trHeight w:val="348" w:hRule="atLeast"/>
        </w:trPr>
        <w:tc>
          <w:tcPr>
            <w:tcW w:w="12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6403F4D">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名称</w:t>
            </w:r>
          </w:p>
        </w:tc>
        <w:tc>
          <w:tcPr>
            <w:tcW w:w="49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33264C6">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名称</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6A1E595">
            <w:pPr>
              <w:widowControl/>
              <w:jc w:val="center"/>
              <w:textAlignment w:val="center"/>
              <w:rPr>
                <w:rFonts w:ascii="仿宋_GB2312" w:hAnsi="仿宋_GB2312" w:eastAsia="仿宋_GB2312" w:cs="仿宋_GB2312"/>
                <w:b/>
                <w:color w:val="000000"/>
                <w:sz w:val="24"/>
              </w:rPr>
            </w:pPr>
            <w:r>
              <w:rPr>
                <w:rFonts w:hint="eastAsia" w:ascii="仿宋_GB2312" w:hAnsi="仿宋_GB2312" w:eastAsia="仿宋_GB2312" w:cs="仿宋_GB2312"/>
                <w:b/>
                <w:color w:val="000000"/>
                <w:kern w:val="0"/>
                <w:sz w:val="24"/>
              </w:rPr>
              <w:t>名称</w:t>
            </w:r>
          </w:p>
        </w:tc>
        <w:tc>
          <w:tcPr>
            <w:tcW w:w="426" w:type="dxa"/>
            <w:vMerge w:val="continue"/>
            <w:tcBorders>
              <w:top w:val="single" w:color="000000" w:sz="4" w:space="0"/>
              <w:left w:val="nil"/>
              <w:bottom w:val="single" w:color="000000" w:sz="4" w:space="0"/>
              <w:right w:val="single" w:color="000000" w:sz="4" w:space="0"/>
            </w:tcBorders>
            <w:noWrap/>
            <w:tcMar>
              <w:top w:w="12" w:type="dxa"/>
              <w:left w:w="12" w:type="dxa"/>
              <w:right w:w="12" w:type="dxa"/>
            </w:tcMar>
            <w:vAlign w:val="center"/>
          </w:tcPr>
          <w:p w14:paraId="6EC65A00">
            <w:pPr>
              <w:jc w:val="center"/>
              <w:rPr>
                <w:rFonts w:ascii="仿宋_GB2312" w:hAnsi="仿宋_GB2312" w:eastAsia="仿宋_GB2312" w:cs="仿宋_GB2312"/>
                <w:b/>
                <w:color w:val="000000"/>
                <w:sz w:val="24"/>
              </w:rPr>
            </w:pPr>
          </w:p>
        </w:tc>
        <w:tc>
          <w:tcPr>
            <w:tcW w:w="3696"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671BA59">
            <w:pPr>
              <w:jc w:val="center"/>
              <w:rPr>
                <w:rFonts w:ascii="仿宋_GB2312" w:hAnsi="仿宋_GB2312" w:eastAsia="仿宋_GB2312" w:cs="仿宋_GB2312"/>
                <w:b/>
                <w:color w:val="000000"/>
                <w:sz w:val="24"/>
              </w:rPr>
            </w:pPr>
          </w:p>
        </w:tc>
        <w:tc>
          <w:tcPr>
            <w:tcW w:w="711"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E375156">
            <w:pPr>
              <w:jc w:val="center"/>
              <w:rPr>
                <w:rFonts w:ascii="仿宋_GB2312" w:hAnsi="仿宋_GB2312" w:eastAsia="仿宋_GB2312" w:cs="仿宋_GB2312"/>
                <w:b/>
                <w:color w:val="000000"/>
                <w:sz w:val="24"/>
              </w:rPr>
            </w:pPr>
          </w:p>
        </w:tc>
      </w:tr>
      <w:tr w14:paraId="15C72B9C">
        <w:tblPrEx>
          <w:tblCellMar>
            <w:top w:w="0" w:type="dxa"/>
            <w:left w:w="0" w:type="dxa"/>
            <w:bottom w:w="0" w:type="dxa"/>
            <w:right w:w="0" w:type="dxa"/>
          </w:tblCellMar>
        </w:tblPrEx>
        <w:trPr>
          <w:trHeight w:val="666" w:hRule="atLeast"/>
        </w:trPr>
        <w:tc>
          <w:tcPr>
            <w:tcW w:w="1276"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E96BE5B">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“工作活动”设置（*分）</w:t>
            </w:r>
          </w:p>
        </w:tc>
        <w:tc>
          <w:tcPr>
            <w:tcW w:w="491"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AA0C17B">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项目立项情况</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34169F8">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是否符合政府经济和社会总体发展规划</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84F3CF3">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7.5</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307597E">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有政府相关政策、规划、任务等文件得7.5分；无不得分。</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1ACD6AB">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7.5</w:t>
            </w:r>
          </w:p>
        </w:tc>
      </w:tr>
      <w:tr w14:paraId="16EA09B9">
        <w:tblPrEx>
          <w:tblCellMar>
            <w:top w:w="0" w:type="dxa"/>
            <w:left w:w="0" w:type="dxa"/>
            <w:bottom w:w="0" w:type="dxa"/>
            <w:right w:w="0" w:type="dxa"/>
          </w:tblCellMar>
        </w:tblPrEx>
        <w:trPr>
          <w:trHeight w:val="1174" w:hRule="atLeast"/>
        </w:trPr>
        <w:tc>
          <w:tcPr>
            <w:tcW w:w="1276"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D426FCA">
            <w:pPr>
              <w:jc w:val="center"/>
              <w:rPr>
                <w:rFonts w:ascii="仿宋_GB2312" w:hAnsi="仿宋_GB2312" w:eastAsia="仿宋_GB2312" w:cs="仿宋_GB2312"/>
                <w:color w:val="000000"/>
                <w:sz w:val="22"/>
                <w:szCs w:val="22"/>
              </w:rPr>
            </w:pPr>
          </w:p>
        </w:tc>
        <w:tc>
          <w:tcPr>
            <w:tcW w:w="491"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4CB761E">
            <w:pPr>
              <w:jc w:val="center"/>
              <w:rPr>
                <w:rFonts w:ascii="仿宋_GB2312" w:hAnsi="仿宋_GB2312" w:eastAsia="仿宋_GB2312" w:cs="仿宋_GB2312"/>
                <w:color w:val="000000"/>
                <w:sz w:val="22"/>
                <w:szCs w:val="22"/>
              </w:rPr>
            </w:pP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8CE4E47">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项目活动与职责相关性</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AE673A3">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7.5</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268525B">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工作活动与部门职责、工作规划和重点工作相关，工作活动项下确定的预算项目合理，与工作活动密切相关，工作活动和项目预算安排合理，得7.5分；否则不得分。</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A2A4EA5">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7.5</w:t>
            </w:r>
          </w:p>
        </w:tc>
      </w:tr>
      <w:tr w14:paraId="7DB10569">
        <w:tblPrEx>
          <w:tblCellMar>
            <w:top w:w="0" w:type="dxa"/>
            <w:left w:w="0" w:type="dxa"/>
            <w:bottom w:w="0" w:type="dxa"/>
            <w:right w:w="0" w:type="dxa"/>
          </w:tblCellMar>
        </w:tblPrEx>
        <w:trPr>
          <w:trHeight w:val="569" w:hRule="atLeast"/>
        </w:trPr>
        <w:tc>
          <w:tcPr>
            <w:tcW w:w="1276"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9B3C65F">
            <w:pPr>
              <w:jc w:val="center"/>
              <w:rPr>
                <w:rFonts w:ascii="仿宋_GB2312" w:hAnsi="仿宋_GB2312" w:eastAsia="仿宋_GB2312" w:cs="仿宋_GB2312"/>
                <w:color w:val="000000"/>
                <w:sz w:val="22"/>
                <w:szCs w:val="22"/>
              </w:rPr>
            </w:pPr>
          </w:p>
        </w:tc>
        <w:tc>
          <w:tcPr>
            <w:tcW w:w="491"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2DD324C">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绩效自评情况</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912A175">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项目设立绩效目标合理性</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4E5D6EC">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8</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55B8268">
            <w:pPr>
              <w:widowControl/>
              <w:jc w:val="left"/>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①是否将项目绩效目标细化分解为具体的绩效指标；</w:t>
            </w:r>
          </w:p>
          <w:p w14:paraId="64AF6583">
            <w:pPr>
              <w:widowControl/>
              <w:jc w:val="left"/>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②是否通过清晰、可衡量的指标值予以体现；</w:t>
            </w:r>
          </w:p>
          <w:p w14:paraId="6AE2A40B">
            <w:pPr>
              <w:widowControl/>
              <w:jc w:val="left"/>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③是否与项目年度任务数或计划数相对应；</w:t>
            </w:r>
          </w:p>
          <w:p w14:paraId="1EA0ECE0">
            <w:pPr>
              <w:widowControl/>
              <w:jc w:val="left"/>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④是否与预算确定的项目投资额或资金量相匹配。</w:t>
            </w:r>
          </w:p>
          <w:p w14:paraId="1C232A8F">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缺少一项扣2分,扣完为止。</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20ADB95">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8</w:t>
            </w:r>
          </w:p>
        </w:tc>
      </w:tr>
      <w:tr w14:paraId="7B5CC939">
        <w:tblPrEx>
          <w:tblCellMar>
            <w:top w:w="0" w:type="dxa"/>
            <w:left w:w="0" w:type="dxa"/>
            <w:bottom w:w="0" w:type="dxa"/>
            <w:right w:w="0" w:type="dxa"/>
          </w:tblCellMar>
        </w:tblPrEx>
        <w:trPr>
          <w:trHeight w:val="1472" w:hRule="atLeast"/>
        </w:trPr>
        <w:tc>
          <w:tcPr>
            <w:tcW w:w="1276"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BC54C11">
            <w:pPr>
              <w:jc w:val="center"/>
              <w:rPr>
                <w:rFonts w:ascii="仿宋_GB2312" w:hAnsi="仿宋_GB2312" w:eastAsia="仿宋_GB2312" w:cs="仿宋_GB2312"/>
                <w:color w:val="000000"/>
                <w:sz w:val="22"/>
                <w:szCs w:val="22"/>
              </w:rPr>
            </w:pPr>
          </w:p>
        </w:tc>
        <w:tc>
          <w:tcPr>
            <w:tcW w:w="491"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988891D">
            <w:pPr>
              <w:jc w:val="center"/>
              <w:rPr>
                <w:rFonts w:ascii="仿宋_GB2312" w:hAnsi="仿宋_GB2312" w:eastAsia="仿宋_GB2312" w:cs="仿宋_GB2312"/>
                <w:color w:val="000000"/>
                <w:sz w:val="22"/>
                <w:szCs w:val="22"/>
              </w:rPr>
            </w:pP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7925AD8">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自评报告情况</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8E8E375">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7</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048DFCC">
            <w:pPr>
              <w:widowControl/>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是否有绩效评价报告，报告是否依据充分、内容真实完整；数据准确、分析透彻。每存在一项问题扣2分，扣完为止。</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276D8DE">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7</w:t>
            </w:r>
          </w:p>
        </w:tc>
      </w:tr>
      <w:tr w14:paraId="0ECF0B24">
        <w:tblPrEx>
          <w:tblCellMar>
            <w:top w:w="0" w:type="dxa"/>
            <w:left w:w="0" w:type="dxa"/>
            <w:bottom w:w="0" w:type="dxa"/>
            <w:right w:w="0" w:type="dxa"/>
          </w:tblCellMar>
        </w:tblPrEx>
        <w:trPr>
          <w:trHeight w:val="1029" w:hRule="atLeast"/>
        </w:trPr>
        <w:tc>
          <w:tcPr>
            <w:tcW w:w="1276"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19A4294">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“工作活动”管理（60分）</w:t>
            </w:r>
          </w:p>
        </w:tc>
        <w:tc>
          <w:tcPr>
            <w:tcW w:w="491"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3506AEC">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资金管理</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13923BF">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预算调整率</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A11A360">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6</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126A1E1">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预算调整率=（预算调整数/预算数）×100%。预算调整率每大于1%扣1分，扣完为止。</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5A04524">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6</w:t>
            </w:r>
          </w:p>
        </w:tc>
      </w:tr>
      <w:tr w14:paraId="58341929">
        <w:tblPrEx>
          <w:tblCellMar>
            <w:top w:w="0" w:type="dxa"/>
            <w:left w:w="0" w:type="dxa"/>
            <w:bottom w:w="0" w:type="dxa"/>
            <w:right w:w="0" w:type="dxa"/>
          </w:tblCellMar>
        </w:tblPrEx>
        <w:trPr>
          <w:trHeight w:val="1029" w:hRule="atLeast"/>
        </w:trPr>
        <w:tc>
          <w:tcPr>
            <w:tcW w:w="1276" w:type="dxa"/>
            <w:vMerge w:val="continue"/>
            <w:tcBorders>
              <w:top w:val="single" w:color="000000" w:sz="4" w:space="0"/>
              <w:left w:val="single" w:color="000000" w:sz="4" w:space="0"/>
              <w:bottom w:val="nil"/>
              <w:right w:val="single" w:color="000000" w:sz="4" w:space="0"/>
            </w:tcBorders>
            <w:shd w:val="clear" w:color="auto" w:fill="auto"/>
            <w:noWrap/>
            <w:tcMar>
              <w:top w:w="12" w:type="dxa"/>
              <w:left w:w="12" w:type="dxa"/>
              <w:right w:w="12" w:type="dxa"/>
            </w:tcMar>
            <w:vAlign w:val="center"/>
          </w:tcPr>
          <w:p w14:paraId="6963E3F8">
            <w:pPr>
              <w:jc w:val="center"/>
              <w:rPr>
                <w:rFonts w:ascii="仿宋_GB2312" w:hAnsi="仿宋_GB2312" w:eastAsia="仿宋_GB2312" w:cs="仿宋_GB2312"/>
                <w:color w:val="000000"/>
                <w:sz w:val="22"/>
                <w:szCs w:val="22"/>
              </w:rPr>
            </w:pPr>
          </w:p>
        </w:tc>
        <w:tc>
          <w:tcPr>
            <w:tcW w:w="491" w:type="dxa"/>
            <w:vMerge w:val="continue"/>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3EF29DF9">
            <w:pPr>
              <w:jc w:val="center"/>
              <w:rPr>
                <w:rFonts w:ascii="仿宋_GB2312" w:hAnsi="仿宋_GB2312" w:eastAsia="仿宋_GB2312" w:cs="仿宋_GB2312"/>
                <w:color w:val="000000"/>
                <w:sz w:val="22"/>
                <w:szCs w:val="22"/>
              </w:rPr>
            </w:pPr>
          </w:p>
        </w:tc>
        <w:tc>
          <w:tcPr>
            <w:tcW w:w="2498"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14:paraId="2A086DEC">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资金使用合规性</w:t>
            </w:r>
          </w:p>
        </w:tc>
        <w:tc>
          <w:tcPr>
            <w:tcW w:w="426" w:type="dxa"/>
            <w:tcBorders>
              <w:top w:val="single" w:color="000000" w:sz="4" w:space="0"/>
              <w:left w:val="single" w:color="000000" w:sz="4" w:space="0"/>
              <w:bottom w:val="single" w:color="000000" w:sz="4" w:space="0"/>
              <w:right w:val="single" w:color="000000" w:sz="4" w:space="0"/>
            </w:tcBorders>
            <w:shd w:val="clear" w:color="auto" w:fill="auto"/>
            <w:noWrap/>
            <w:tcMar>
              <w:top w:w="12" w:type="dxa"/>
              <w:left w:w="12" w:type="dxa"/>
              <w:right w:w="12" w:type="dxa"/>
            </w:tcMar>
            <w:vAlign w:val="center"/>
          </w:tcPr>
          <w:p w14:paraId="6151C0AF">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6</w:t>
            </w:r>
          </w:p>
        </w:tc>
        <w:tc>
          <w:tcPr>
            <w:tcW w:w="3696" w:type="dxa"/>
            <w:tcBorders>
              <w:top w:val="single" w:color="000000" w:sz="4" w:space="0"/>
              <w:left w:val="single" w:color="000000" w:sz="4" w:space="0"/>
              <w:bottom w:val="single" w:color="000000" w:sz="4" w:space="0"/>
              <w:right w:val="single" w:color="000000" w:sz="4" w:space="0"/>
            </w:tcBorders>
            <w:shd w:val="clear" w:color="auto" w:fill="FFFFFF"/>
            <w:noWrap/>
            <w:tcMar>
              <w:top w:w="12" w:type="dxa"/>
              <w:left w:w="12" w:type="dxa"/>
              <w:right w:w="12" w:type="dxa"/>
            </w:tcMar>
            <w:vAlign w:val="center"/>
          </w:tcPr>
          <w:p w14:paraId="0F4C48AE">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项目资金使用是否符合国家财经法规及相关的财务管理制度规定，资金支出程序是否规范,报账手续是否齐全。每存在一项不合规问题扣2分，扣完为止。</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09B2AE3">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6</w:t>
            </w:r>
          </w:p>
        </w:tc>
      </w:tr>
      <w:tr w14:paraId="08852425">
        <w:tblPrEx>
          <w:tblCellMar>
            <w:top w:w="0" w:type="dxa"/>
            <w:left w:w="0" w:type="dxa"/>
            <w:bottom w:w="0" w:type="dxa"/>
            <w:right w:w="0" w:type="dxa"/>
          </w:tblCellMar>
        </w:tblPrEx>
        <w:trPr>
          <w:trHeight w:val="836" w:hRule="atLeast"/>
        </w:trPr>
        <w:tc>
          <w:tcPr>
            <w:tcW w:w="1276" w:type="dxa"/>
            <w:vMerge w:val="continue"/>
            <w:tcBorders>
              <w:top w:val="single" w:color="000000" w:sz="4" w:space="0"/>
              <w:left w:val="single" w:color="000000" w:sz="4" w:space="0"/>
              <w:bottom w:val="nil"/>
              <w:right w:val="single" w:color="000000" w:sz="4" w:space="0"/>
            </w:tcBorders>
            <w:noWrap/>
            <w:tcMar>
              <w:top w:w="12" w:type="dxa"/>
              <w:left w:w="12" w:type="dxa"/>
              <w:right w:w="12" w:type="dxa"/>
            </w:tcMar>
            <w:vAlign w:val="center"/>
          </w:tcPr>
          <w:p w14:paraId="3D629687">
            <w:pPr>
              <w:jc w:val="center"/>
              <w:rPr>
                <w:rFonts w:ascii="仿宋_GB2312" w:hAnsi="仿宋_GB2312" w:eastAsia="仿宋_GB2312" w:cs="仿宋_GB2312"/>
                <w:color w:val="000000"/>
                <w:sz w:val="22"/>
                <w:szCs w:val="22"/>
              </w:rPr>
            </w:pPr>
          </w:p>
        </w:tc>
        <w:tc>
          <w:tcPr>
            <w:tcW w:w="491"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2C47FDB">
            <w:pPr>
              <w:jc w:val="center"/>
              <w:rPr>
                <w:rFonts w:ascii="仿宋_GB2312" w:hAnsi="仿宋_GB2312" w:eastAsia="仿宋_GB2312" w:cs="仿宋_GB2312"/>
                <w:color w:val="000000"/>
                <w:sz w:val="22"/>
                <w:szCs w:val="22"/>
              </w:rPr>
            </w:pP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E463217">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会计核算规范性</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7109E94">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6</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87A5FB4">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会计核算是否符合《会计法》、《政府会计制度》、《会计基础工作规范》等法律法规和相关制度规定。每存在一项不合规问题扣2分，扣完为止。</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A72745F">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6</w:t>
            </w:r>
          </w:p>
        </w:tc>
      </w:tr>
      <w:tr w14:paraId="28ED0905">
        <w:tblPrEx>
          <w:tblCellMar>
            <w:top w:w="0" w:type="dxa"/>
            <w:left w:w="0" w:type="dxa"/>
            <w:bottom w:w="0" w:type="dxa"/>
            <w:right w:w="0" w:type="dxa"/>
          </w:tblCellMar>
        </w:tblPrEx>
        <w:trPr>
          <w:trHeight w:val="1755" w:hRule="atLeast"/>
        </w:trPr>
        <w:tc>
          <w:tcPr>
            <w:tcW w:w="1276" w:type="dxa"/>
            <w:vMerge w:val="continue"/>
            <w:tcBorders>
              <w:top w:val="single" w:color="000000" w:sz="4" w:space="0"/>
              <w:left w:val="single" w:color="000000" w:sz="4" w:space="0"/>
              <w:bottom w:val="nil"/>
              <w:right w:val="single" w:color="000000" w:sz="4" w:space="0"/>
            </w:tcBorders>
            <w:noWrap/>
            <w:tcMar>
              <w:top w:w="12" w:type="dxa"/>
              <w:left w:w="12" w:type="dxa"/>
              <w:right w:w="12" w:type="dxa"/>
            </w:tcMar>
            <w:vAlign w:val="center"/>
          </w:tcPr>
          <w:p w14:paraId="1FADD38C">
            <w:pPr>
              <w:jc w:val="center"/>
              <w:rPr>
                <w:rFonts w:ascii="仿宋_GB2312" w:hAnsi="仿宋_GB2312" w:eastAsia="仿宋_GB2312" w:cs="仿宋_GB2312"/>
                <w:color w:val="000000"/>
                <w:sz w:val="22"/>
                <w:szCs w:val="22"/>
              </w:rPr>
            </w:pPr>
          </w:p>
        </w:tc>
        <w:tc>
          <w:tcPr>
            <w:tcW w:w="491" w:type="dxa"/>
            <w:vMerge w:val="restart"/>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B4CF286">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项目管理</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C2E81A6">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项目责任机制是否健全</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0E3F372">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6</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F51E5AE">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是否建立责任机制，项目管理和责任落实到有关人。每存在一项问题扣2分，扣完为止。</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2560CF0">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6</w:t>
            </w:r>
          </w:p>
        </w:tc>
      </w:tr>
      <w:tr w14:paraId="38C0C616">
        <w:tblPrEx>
          <w:tblCellMar>
            <w:top w:w="0" w:type="dxa"/>
            <w:left w:w="0" w:type="dxa"/>
            <w:bottom w:w="0" w:type="dxa"/>
            <w:right w:w="0" w:type="dxa"/>
          </w:tblCellMar>
        </w:tblPrEx>
        <w:trPr>
          <w:trHeight w:val="762" w:hRule="atLeast"/>
        </w:trPr>
        <w:tc>
          <w:tcPr>
            <w:tcW w:w="1276" w:type="dxa"/>
            <w:vMerge w:val="continue"/>
            <w:tcBorders>
              <w:top w:val="single" w:color="000000" w:sz="4" w:space="0"/>
              <w:left w:val="single" w:color="000000" w:sz="4" w:space="0"/>
              <w:bottom w:val="nil"/>
              <w:right w:val="single" w:color="000000" w:sz="4" w:space="0"/>
            </w:tcBorders>
            <w:noWrap/>
            <w:tcMar>
              <w:top w:w="12" w:type="dxa"/>
              <w:left w:w="12" w:type="dxa"/>
              <w:right w:w="12" w:type="dxa"/>
            </w:tcMar>
            <w:vAlign w:val="center"/>
          </w:tcPr>
          <w:p w14:paraId="116CEF5C">
            <w:pPr>
              <w:jc w:val="center"/>
              <w:rPr>
                <w:rFonts w:ascii="仿宋_GB2312" w:hAnsi="仿宋_GB2312" w:eastAsia="仿宋_GB2312" w:cs="仿宋_GB2312"/>
                <w:color w:val="000000"/>
                <w:sz w:val="22"/>
                <w:szCs w:val="22"/>
              </w:rPr>
            </w:pPr>
          </w:p>
        </w:tc>
        <w:tc>
          <w:tcPr>
            <w:tcW w:w="491"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C07CFF3">
            <w:pPr>
              <w:jc w:val="center"/>
              <w:rPr>
                <w:rFonts w:ascii="仿宋_GB2312" w:hAnsi="仿宋_GB2312" w:eastAsia="仿宋_GB2312" w:cs="仿宋_GB2312"/>
                <w:color w:val="000000"/>
                <w:sz w:val="22"/>
                <w:szCs w:val="22"/>
              </w:rPr>
            </w:pP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3A433B5">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管理制度健全性</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9055134">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6</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0A90318">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制定管理制度和措施（包括财务制度）是否明确、清晰、具有可操作性，能否保障工作活动顺利实施。每缺少一项制度扣2分，扣完为止。</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9C706A3">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6</w:t>
            </w:r>
          </w:p>
        </w:tc>
      </w:tr>
      <w:tr w14:paraId="140D2F87">
        <w:tblPrEx>
          <w:tblCellMar>
            <w:top w:w="0" w:type="dxa"/>
            <w:left w:w="0" w:type="dxa"/>
            <w:bottom w:w="0" w:type="dxa"/>
            <w:right w:w="0" w:type="dxa"/>
          </w:tblCellMar>
        </w:tblPrEx>
        <w:trPr>
          <w:trHeight w:val="501" w:hRule="atLeast"/>
        </w:trPr>
        <w:tc>
          <w:tcPr>
            <w:tcW w:w="1276" w:type="dxa"/>
            <w:vMerge w:val="restart"/>
            <w:tcBorders>
              <w:top w:val="single" w:color="000000" w:sz="4" w:space="0"/>
              <w:left w:val="single" w:color="000000" w:sz="4" w:space="0"/>
              <w:bottom w:val="nil"/>
              <w:right w:val="single" w:color="000000" w:sz="4" w:space="0"/>
            </w:tcBorders>
            <w:noWrap/>
            <w:tcMar>
              <w:top w:w="12" w:type="dxa"/>
              <w:left w:w="12" w:type="dxa"/>
              <w:right w:w="12" w:type="dxa"/>
            </w:tcMar>
            <w:vAlign w:val="center"/>
          </w:tcPr>
          <w:p w14:paraId="538BB3E9">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“工作活动”产出（30分）</w:t>
            </w:r>
          </w:p>
        </w:tc>
        <w:tc>
          <w:tcPr>
            <w:tcW w:w="49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226732F">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数量指标</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6AEBACB">
            <w:pPr>
              <w:widowControl/>
              <w:jc w:val="left"/>
              <w:textAlignment w:val="center"/>
              <w:rPr>
                <w:rFonts w:ascii="宋体" w:hAnsi="宋体" w:cs="宋体"/>
                <w:color w:val="000000"/>
                <w:sz w:val="18"/>
                <w:szCs w:val="18"/>
              </w:rPr>
            </w:pPr>
            <w:r>
              <w:rPr>
                <w:rFonts w:hint="eastAsia" w:ascii="宋体" w:hAnsi="宋体" w:cs="宋体"/>
                <w:color w:val="000000"/>
                <w:kern w:val="0"/>
                <w:sz w:val="18"/>
                <w:szCs w:val="18"/>
              </w:rPr>
              <w:t>到达退休年龄老民办代课 代课教师覆盖率</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562FF35">
            <w:pPr>
              <w:widowControl/>
              <w:jc w:val="center"/>
              <w:textAlignment w:val="center"/>
              <w:rPr>
                <w:rFonts w:ascii="仿宋_GB2312" w:hAnsi="仿宋_GB2312" w:eastAsia="仿宋_GB2312" w:cs="仿宋_GB2312"/>
                <w:color w:val="000000"/>
                <w:sz w:val="22"/>
                <w:szCs w:val="22"/>
              </w:rPr>
            </w:pP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1BD2110">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到达退休年龄老民办代课教师的覆盖率，</w:t>
            </w:r>
            <w:r>
              <w:rPr>
                <w:rFonts w:hint="eastAsia" w:ascii="仿宋_GB2312" w:hAnsi="仿宋_GB2312" w:eastAsia="仿宋_GB2312" w:cs="仿宋_GB2312"/>
                <w:color w:val="000000"/>
                <w:kern w:val="0"/>
                <w:sz w:val="22"/>
                <w:szCs w:val="22"/>
              </w:rPr>
              <w:t>每缺少一项扣1分，扣完为止。</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44B3493">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10</w:t>
            </w:r>
          </w:p>
        </w:tc>
      </w:tr>
      <w:tr w14:paraId="188B92B7">
        <w:tblPrEx>
          <w:tblCellMar>
            <w:top w:w="0" w:type="dxa"/>
            <w:left w:w="0" w:type="dxa"/>
            <w:bottom w:w="0" w:type="dxa"/>
            <w:right w:w="0" w:type="dxa"/>
          </w:tblCellMar>
        </w:tblPrEx>
        <w:trPr>
          <w:trHeight w:val="599" w:hRule="atLeast"/>
        </w:trPr>
        <w:tc>
          <w:tcPr>
            <w:tcW w:w="1276"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CA2A5DD">
            <w:pPr>
              <w:jc w:val="center"/>
              <w:rPr>
                <w:rFonts w:ascii="仿宋_GB2312" w:hAnsi="仿宋_GB2312" w:eastAsia="仿宋_GB2312" w:cs="仿宋_GB2312"/>
                <w:color w:val="000000"/>
                <w:sz w:val="22"/>
                <w:szCs w:val="22"/>
              </w:rPr>
            </w:pPr>
          </w:p>
        </w:tc>
        <w:tc>
          <w:tcPr>
            <w:tcW w:w="49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DE9D053">
            <w:pPr>
              <w:jc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质量指标</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C78E13F">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确保农村原民办代课教师教龄补助发放工作</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A88AC54">
            <w:pPr>
              <w:widowControl/>
              <w:jc w:val="center"/>
              <w:textAlignment w:val="center"/>
              <w:rPr>
                <w:rFonts w:ascii="仿宋_GB2312" w:hAnsi="仿宋_GB2312" w:eastAsia="仿宋_GB2312" w:cs="仿宋_GB2312"/>
                <w:color w:val="000000"/>
                <w:sz w:val="22"/>
                <w:szCs w:val="22"/>
              </w:rPr>
            </w:pP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4DF85BC9">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确保农村原民办代课教师教龄补助发放工作能否顺利实施，不能发放，少1人，扣1分，扣完为止。</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F7642BF">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10</w:t>
            </w:r>
          </w:p>
        </w:tc>
      </w:tr>
      <w:tr w14:paraId="35529667">
        <w:tblPrEx>
          <w:tblCellMar>
            <w:top w:w="0" w:type="dxa"/>
            <w:left w:w="0" w:type="dxa"/>
            <w:bottom w:w="0" w:type="dxa"/>
            <w:right w:w="0" w:type="dxa"/>
          </w:tblCellMar>
        </w:tblPrEx>
        <w:trPr>
          <w:trHeight w:val="591" w:hRule="atLeast"/>
        </w:trPr>
        <w:tc>
          <w:tcPr>
            <w:tcW w:w="1276" w:type="dxa"/>
            <w:vMerge w:val="continue"/>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815A5C2">
            <w:pPr>
              <w:jc w:val="center"/>
              <w:rPr>
                <w:rFonts w:ascii="仿宋_GB2312" w:hAnsi="仿宋_GB2312" w:eastAsia="仿宋_GB2312" w:cs="仿宋_GB2312"/>
                <w:color w:val="000000"/>
                <w:sz w:val="22"/>
                <w:szCs w:val="22"/>
              </w:rPr>
            </w:pPr>
          </w:p>
        </w:tc>
        <w:tc>
          <w:tcPr>
            <w:tcW w:w="49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B038F31">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时效指标</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1E89351">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按照进度完成资金支付</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5F7AE5D">
            <w:pPr>
              <w:widowControl/>
              <w:jc w:val="center"/>
              <w:textAlignment w:val="center"/>
              <w:rPr>
                <w:rFonts w:ascii="仿宋_GB2312" w:hAnsi="仿宋_GB2312" w:eastAsia="仿宋_GB2312" w:cs="仿宋_GB2312"/>
                <w:color w:val="000000"/>
                <w:sz w:val="22"/>
                <w:szCs w:val="22"/>
              </w:rPr>
            </w:pP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64FAD16">
            <w:pPr>
              <w:widowControl/>
              <w:jc w:val="left"/>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kern w:val="0"/>
                <w:sz w:val="22"/>
                <w:szCs w:val="22"/>
              </w:rPr>
              <w:t>按照进度完成资金支付，不能完成扣1分，扣完为止。</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0332A900">
            <w:pPr>
              <w:widowControl/>
              <w:jc w:val="center"/>
              <w:textAlignment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10</w:t>
            </w:r>
          </w:p>
        </w:tc>
      </w:tr>
      <w:tr w14:paraId="4248090A">
        <w:tblPrEx>
          <w:tblCellMar>
            <w:top w:w="0" w:type="dxa"/>
            <w:left w:w="0" w:type="dxa"/>
            <w:bottom w:w="0" w:type="dxa"/>
            <w:right w:w="0" w:type="dxa"/>
          </w:tblCellMar>
        </w:tblPrEx>
        <w:trPr>
          <w:trHeight w:val="408" w:hRule="atLeast"/>
        </w:trPr>
        <w:tc>
          <w:tcPr>
            <w:tcW w:w="1276" w:type="dxa"/>
            <w:tcBorders>
              <w:top w:val="single" w:color="000000" w:sz="4" w:space="0"/>
              <w:left w:val="single" w:color="000000" w:sz="4" w:space="0"/>
              <w:right w:val="single" w:color="000000" w:sz="4" w:space="0"/>
            </w:tcBorders>
            <w:noWrap/>
            <w:tcMar>
              <w:top w:w="12" w:type="dxa"/>
              <w:left w:w="12" w:type="dxa"/>
              <w:right w:w="12" w:type="dxa"/>
            </w:tcMar>
            <w:vAlign w:val="center"/>
          </w:tcPr>
          <w:p w14:paraId="7B30FA83">
            <w:pPr>
              <w:jc w:val="center"/>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“工作活动”效果（</w:t>
            </w:r>
            <w:r>
              <w:rPr>
                <w:rFonts w:hint="eastAsia" w:ascii="仿宋_GB2312" w:hAnsi="仿宋_GB2312" w:eastAsia="仿宋_GB2312" w:cs="仿宋_GB2312"/>
                <w:color w:val="000000"/>
                <w:kern w:val="0"/>
                <w:sz w:val="22"/>
                <w:szCs w:val="22"/>
              </w:rPr>
              <w:t>10</w:t>
            </w:r>
            <w:r>
              <w:rPr>
                <w:rFonts w:hint="eastAsia" w:ascii="仿宋_GB2312" w:hAnsi="仿宋_GB2312" w:eastAsia="仿宋_GB2312" w:cs="仿宋_GB2312"/>
                <w:color w:val="000000"/>
                <w:sz w:val="22"/>
                <w:szCs w:val="22"/>
              </w:rPr>
              <w:t>分）</w:t>
            </w:r>
          </w:p>
        </w:tc>
        <w:tc>
          <w:tcPr>
            <w:tcW w:w="491" w:type="dxa"/>
            <w:tcBorders>
              <w:top w:val="single" w:color="000000" w:sz="4" w:space="0"/>
              <w:left w:val="single" w:color="000000" w:sz="4" w:space="0"/>
              <w:right w:val="single" w:color="000000" w:sz="4" w:space="0"/>
            </w:tcBorders>
            <w:noWrap/>
            <w:tcMar>
              <w:top w:w="12" w:type="dxa"/>
              <w:left w:w="12" w:type="dxa"/>
              <w:right w:w="12" w:type="dxa"/>
            </w:tcMar>
            <w:vAlign w:val="center"/>
          </w:tcPr>
          <w:p w14:paraId="39D69F3A">
            <w:pPr>
              <w:jc w:val="center"/>
              <w:rPr>
                <w:rFonts w:ascii="仿宋_GB2312" w:hAnsi="仿宋_GB2312" w:eastAsia="仿宋_GB2312" w:cs="仿宋_GB2312"/>
              </w:rPr>
            </w:pPr>
            <w:r>
              <w:rPr>
                <w:rFonts w:hint="eastAsia" w:ascii="仿宋_GB2312" w:hAnsi="仿宋_GB2312" w:eastAsia="仿宋_GB2312" w:cs="仿宋_GB2312"/>
              </w:rPr>
              <w:t>满意度</w:t>
            </w: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FFA7FAD">
            <w:pPr>
              <w:widowControl/>
              <w:jc w:val="center"/>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民办教师满意度</w:t>
            </w: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1B9213A">
            <w:pPr>
              <w:widowControl/>
              <w:jc w:val="center"/>
              <w:textAlignment w:val="center"/>
              <w:rPr>
                <w:rFonts w:ascii="仿宋_GB2312" w:hAnsi="仿宋_GB2312" w:eastAsia="仿宋_GB2312" w:cs="仿宋_GB2312"/>
                <w:color w:val="000000"/>
                <w:kern w:val="0"/>
                <w:sz w:val="22"/>
                <w:szCs w:val="22"/>
              </w:rPr>
            </w:pP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1728877E">
            <w:pPr>
              <w:widowControl/>
              <w:jc w:val="left"/>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民办教师满是否意度，1人不满意扣1分扣完为止。</w:t>
            </w: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EF2D586">
            <w:pPr>
              <w:widowControl/>
              <w:jc w:val="center"/>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w:t>
            </w:r>
          </w:p>
        </w:tc>
      </w:tr>
      <w:tr w14:paraId="046DF4F3">
        <w:tblPrEx>
          <w:tblCellMar>
            <w:top w:w="0" w:type="dxa"/>
            <w:left w:w="0" w:type="dxa"/>
            <w:bottom w:w="0" w:type="dxa"/>
            <w:right w:w="0" w:type="dxa"/>
          </w:tblCellMar>
        </w:tblPrEx>
        <w:trPr>
          <w:trHeight w:val="408" w:hRule="atLeast"/>
        </w:trPr>
        <w:tc>
          <w:tcPr>
            <w:tcW w:w="127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7E50792">
            <w:pPr>
              <w:ind w:firstLine="220" w:firstLineChars="100"/>
              <w:rPr>
                <w:rFonts w:ascii="仿宋_GB2312" w:hAnsi="仿宋_GB2312" w:eastAsia="仿宋_GB2312" w:cs="仿宋_GB2312"/>
                <w:color w:val="000000"/>
                <w:sz w:val="22"/>
                <w:szCs w:val="22"/>
              </w:rPr>
            </w:pPr>
            <w:r>
              <w:rPr>
                <w:rFonts w:hint="eastAsia" w:ascii="仿宋_GB2312" w:hAnsi="仿宋_GB2312" w:eastAsia="仿宋_GB2312" w:cs="仿宋_GB2312"/>
                <w:color w:val="000000"/>
                <w:sz w:val="22"/>
                <w:szCs w:val="22"/>
              </w:rPr>
              <w:t>合计</w:t>
            </w:r>
          </w:p>
        </w:tc>
        <w:tc>
          <w:tcPr>
            <w:tcW w:w="49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7D0B717A">
            <w:pPr>
              <w:jc w:val="center"/>
              <w:rPr>
                <w:rFonts w:ascii="仿宋_GB2312" w:hAnsi="仿宋_GB2312" w:eastAsia="仿宋_GB2312" w:cs="仿宋_GB2312"/>
              </w:rPr>
            </w:pPr>
          </w:p>
        </w:tc>
        <w:tc>
          <w:tcPr>
            <w:tcW w:w="2498"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350B4BDF">
            <w:pPr>
              <w:widowControl/>
              <w:jc w:val="center"/>
              <w:textAlignment w:val="center"/>
              <w:rPr>
                <w:rFonts w:ascii="仿宋_GB2312" w:hAnsi="仿宋_GB2312" w:eastAsia="仿宋_GB2312" w:cs="仿宋_GB2312"/>
                <w:color w:val="000000"/>
                <w:kern w:val="0"/>
                <w:sz w:val="22"/>
                <w:szCs w:val="22"/>
              </w:rPr>
            </w:pPr>
          </w:p>
        </w:tc>
        <w:tc>
          <w:tcPr>
            <w:tcW w:w="42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295F97E1">
            <w:pPr>
              <w:widowControl/>
              <w:jc w:val="center"/>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100</w:t>
            </w:r>
          </w:p>
        </w:tc>
        <w:tc>
          <w:tcPr>
            <w:tcW w:w="3696"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6D3B30C1">
            <w:pPr>
              <w:widowControl/>
              <w:jc w:val="left"/>
              <w:textAlignment w:val="center"/>
              <w:rPr>
                <w:rFonts w:ascii="仿宋_GB2312" w:hAnsi="仿宋_GB2312" w:eastAsia="仿宋_GB2312" w:cs="仿宋_GB2312"/>
                <w:color w:val="000000"/>
                <w:kern w:val="0"/>
                <w:sz w:val="22"/>
                <w:szCs w:val="22"/>
              </w:rPr>
            </w:pPr>
          </w:p>
        </w:tc>
        <w:tc>
          <w:tcPr>
            <w:tcW w:w="711" w:type="dxa"/>
            <w:tcBorders>
              <w:top w:val="single" w:color="000000" w:sz="4" w:space="0"/>
              <w:left w:val="single" w:color="000000" w:sz="4" w:space="0"/>
              <w:bottom w:val="single" w:color="000000" w:sz="4" w:space="0"/>
              <w:right w:val="single" w:color="000000" w:sz="4" w:space="0"/>
            </w:tcBorders>
            <w:noWrap/>
            <w:tcMar>
              <w:top w:w="12" w:type="dxa"/>
              <w:left w:w="12" w:type="dxa"/>
              <w:right w:w="12" w:type="dxa"/>
            </w:tcMar>
            <w:vAlign w:val="center"/>
          </w:tcPr>
          <w:p w14:paraId="50A7B0C4">
            <w:pPr>
              <w:widowControl/>
              <w:jc w:val="center"/>
              <w:textAlignment w:val="center"/>
              <w:rPr>
                <w:rFonts w:ascii="仿宋_GB2312" w:hAnsi="仿宋_GB2312" w:eastAsia="仿宋_GB2312" w:cs="仿宋_GB2312"/>
                <w:color w:val="000000"/>
                <w:kern w:val="0"/>
                <w:sz w:val="22"/>
                <w:szCs w:val="22"/>
              </w:rPr>
            </w:pPr>
            <w:r>
              <w:rPr>
                <w:rFonts w:hint="eastAsia" w:ascii="仿宋_GB2312" w:hAnsi="仿宋_GB2312" w:eastAsia="仿宋_GB2312" w:cs="仿宋_GB2312"/>
                <w:color w:val="000000"/>
                <w:kern w:val="0"/>
                <w:sz w:val="22"/>
                <w:szCs w:val="22"/>
              </w:rPr>
              <w:t>100</w:t>
            </w:r>
          </w:p>
        </w:tc>
      </w:tr>
    </w:tbl>
    <w:p w14:paraId="78EFC9D3">
      <w:pPr>
        <w:pStyle w:val="2"/>
        <w:spacing w:line="560" w:lineRule="exact"/>
        <w:ind w:left="420" w:leftChars="200" w:firstLine="320" w:firstLineChars="100"/>
        <w:outlineLvl w:val="0"/>
        <w:rPr>
          <w:rFonts w:ascii="仿宋_GB2312" w:hAnsi="仿宋_GB2312" w:eastAsia="仿宋_GB2312" w:cs="仿宋_GB2312"/>
          <w:color w:val="000000"/>
          <w:sz w:val="32"/>
          <w:szCs w:val="32"/>
        </w:rPr>
      </w:pPr>
      <w:bookmarkStart w:id="95" w:name="_Toc2634_WPSOffice_Level1"/>
      <w:r>
        <w:rPr>
          <w:rFonts w:hint="eastAsia" w:ascii="仿宋_GB2312" w:hAnsi="仿宋_GB2312" w:eastAsia="仿宋_GB2312" w:cs="仿宋_GB2312"/>
          <w:color w:val="000000"/>
          <w:sz w:val="32"/>
          <w:szCs w:val="32"/>
        </w:rPr>
        <w:t>五、评价分析</w:t>
      </w:r>
      <w:bookmarkEnd w:id="95"/>
    </w:p>
    <w:p w14:paraId="071D1F4F">
      <w:pPr>
        <w:spacing w:line="560" w:lineRule="exact"/>
        <w:ind w:firstLine="640" w:firstLineChars="200"/>
        <w:outlineLvl w:val="1"/>
        <w:rPr>
          <w:rFonts w:ascii="仿宋_GB2312" w:hAnsi="仿宋_GB2312" w:eastAsia="仿宋_GB2312" w:cs="仿宋_GB2312"/>
          <w:color w:val="000000"/>
          <w:sz w:val="32"/>
          <w:szCs w:val="40"/>
        </w:rPr>
      </w:pPr>
      <w:bookmarkStart w:id="96" w:name="_Toc18513_WPSOffice_Level2"/>
      <w:r>
        <w:rPr>
          <w:rFonts w:hint="eastAsia" w:ascii="仿宋_GB2312" w:hAnsi="仿宋_GB2312" w:eastAsia="仿宋_GB2312" w:cs="仿宋_GB2312"/>
          <w:color w:val="000000"/>
          <w:sz w:val="32"/>
          <w:szCs w:val="40"/>
        </w:rPr>
        <w:t>（一）主要扣分事项及原因分析</w:t>
      </w:r>
      <w:bookmarkEnd w:id="96"/>
    </w:p>
    <w:p w14:paraId="6EF84521">
      <w:pPr>
        <w:pStyle w:val="2"/>
        <w:spacing w:line="560" w:lineRule="exact"/>
        <w:ind w:left="420" w:leftChars="200" w:firstLine="320" w:firstLineChars="100"/>
        <w:outlineLvl w:val="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无</w:t>
      </w:r>
    </w:p>
    <w:p w14:paraId="59AD0204">
      <w:pPr>
        <w:pStyle w:val="2"/>
        <w:ind w:firstLine="560"/>
      </w:pPr>
    </w:p>
    <w:p w14:paraId="31F43EA0"/>
    <w:p w14:paraId="612199C1">
      <w:pPr>
        <w:pStyle w:val="2"/>
        <w:spacing w:line="560" w:lineRule="exact"/>
        <w:ind w:left="420" w:leftChars="200" w:firstLine="320" w:firstLineChars="100"/>
        <w:outlineLvl w:val="0"/>
        <w:rPr>
          <w:rFonts w:ascii="仿宋_GB2312" w:hAnsi="仿宋_GB2312" w:eastAsia="仿宋_GB2312" w:cs="仿宋_GB2312"/>
          <w:color w:val="000000"/>
          <w:sz w:val="32"/>
          <w:szCs w:val="32"/>
        </w:rPr>
      </w:pPr>
      <w:bookmarkStart w:id="97" w:name="_Toc11279_WPSOffice_Level1"/>
      <w:r>
        <w:rPr>
          <w:rFonts w:hint="eastAsia" w:ascii="仿宋_GB2312" w:hAnsi="仿宋_GB2312" w:eastAsia="仿宋_GB2312" w:cs="仿宋_GB2312"/>
          <w:color w:val="000000"/>
          <w:sz w:val="32"/>
          <w:szCs w:val="32"/>
        </w:rPr>
        <w:t>六、意见及建议</w:t>
      </w:r>
      <w:bookmarkEnd w:id="97"/>
    </w:p>
    <w:p w14:paraId="224B86FE">
      <w:pPr>
        <w:pStyle w:val="2"/>
        <w:spacing w:line="560" w:lineRule="exact"/>
        <w:ind w:firstLine="0" w:firstLineChars="0"/>
        <w:outlineLvl w:val="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无</w:t>
      </w:r>
    </w:p>
    <w:p w14:paraId="7FEF4BD4">
      <w:pPr>
        <w:pStyle w:val="2"/>
        <w:spacing w:line="560" w:lineRule="exact"/>
        <w:ind w:left="420" w:leftChars="200" w:firstLine="4960" w:firstLineChars="1550"/>
        <w:outlineLvl w:val="0"/>
        <w:rPr>
          <w:rFonts w:ascii="仿宋_GB2312" w:hAnsi="仿宋_GB2312" w:eastAsia="仿宋_GB2312" w:cs="仿宋_GB2312"/>
          <w:color w:val="000000"/>
          <w:sz w:val="32"/>
          <w:szCs w:val="32"/>
        </w:rPr>
      </w:pPr>
    </w:p>
    <w:p w14:paraId="6045F2A3">
      <w:pPr>
        <w:pStyle w:val="2"/>
        <w:spacing w:line="560" w:lineRule="exact"/>
        <w:ind w:left="420" w:leftChars="200" w:firstLine="4960" w:firstLineChars="1550"/>
        <w:outlineLvl w:val="0"/>
        <w:rPr>
          <w:rFonts w:ascii="仿宋_GB2312" w:hAnsi="仿宋_GB2312" w:eastAsia="仿宋_GB2312" w:cs="仿宋_GB2312"/>
          <w:color w:val="000000"/>
          <w:sz w:val="32"/>
          <w:szCs w:val="32"/>
        </w:rPr>
      </w:pPr>
    </w:p>
    <w:p w14:paraId="78B2BF5A">
      <w:pPr>
        <w:pStyle w:val="2"/>
        <w:spacing w:line="560" w:lineRule="exact"/>
        <w:ind w:left="420" w:leftChars="200" w:firstLine="4960" w:firstLineChars="1550"/>
        <w:outlineLvl w:val="0"/>
        <w:rPr>
          <w:rFonts w:ascii="仿宋_GB2312" w:hAnsi="仿宋_GB2312" w:eastAsia="仿宋_GB2312" w:cs="仿宋_GB2312"/>
          <w:color w:val="000000"/>
          <w:sz w:val="32"/>
          <w:szCs w:val="32"/>
        </w:rPr>
      </w:pPr>
    </w:p>
    <w:p w14:paraId="6F0CADF3">
      <w:pPr>
        <w:pStyle w:val="2"/>
        <w:spacing w:line="560" w:lineRule="exact"/>
        <w:ind w:left="420" w:leftChars="200" w:firstLine="4960" w:firstLineChars="1550"/>
        <w:outlineLvl w:val="0"/>
        <w:rPr>
          <w:rFonts w:ascii="仿宋_GB2312" w:hAnsi="仿宋_GB2312" w:eastAsia="仿宋_GB2312" w:cs="仿宋_GB2312"/>
          <w:color w:val="000000"/>
          <w:sz w:val="32"/>
          <w:szCs w:val="32"/>
        </w:rPr>
      </w:pPr>
    </w:p>
    <w:p w14:paraId="0D31BBDE">
      <w:pPr>
        <w:pStyle w:val="2"/>
        <w:spacing w:line="560" w:lineRule="exact"/>
        <w:ind w:left="420" w:leftChars="200" w:firstLine="4960" w:firstLineChars="1550"/>
        <w:outlineLvl w:val="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2023年3月13日</w:t>
      </w:r>
    </w:p>
    <w:p w14:paraId="2B087674">
      <w:pPr>
        <w:rPr>
          <w:rFonts w:ascii="仿宋_GB2312" w:hAnsi="仿宋_GB2312" w:eastAsia="仿宋_GB2312" w:cs="仿宋_GB2312"/>
        </w:rPr>
      </w:pPr>
    </w:p>
    <w:sectPr>
      <w:footerReference r:id="rId3" w:type="default"/>
      <w:pgSz w:w="11906" w:h="16838"/>
      <w:pgMar w:top="2154" w:right="1474" w:bottom="1984" w:left="1587"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44AC20">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">
          <v:path/>
          <v:fill on="f" focussize="0,0"/>
          <v:stroke on="f" joinstyle="miter"/>
          <v:imagedata o:title=""/>
          <o:lock v:ext="edit"/>
          <v:textbox inset="0mm,0mm,0mm,0mm" style="mso-fit-shape-to-text:t;">
            <w:txbxContent>
              <w:p w14:paraId="0C8E419C">
                <w:pPr>
                  <w:pStyle w:val="4"/>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0B09B4"/>
    <w:multiLevelType w:val="singleLevel"/>
    <w:tmpl w:val="610B09B4"/>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OGNhZjQ3NDkwOGRiZWQ2M2ViNTMxMGZhYmU2N2I4ZjYifQ=="/>
  </w:docVars>
  <w:rsids>
    <w:rsidRoot w:val="07CC499B"/>
    <w:rsid w:val="00092B14"/>
    <w:rsid w:val="000D47D0"/>
    <w:rsid w:val="001373BE"/>
    <w:rsid w:val="00163BCC"/>
    <w:rsid w:val="001F3212"/>
    <w:rsid w:val="002707C6"/>
    <w:rsid w:val="00280F82"/>
    <w:rsid w:val="003170CE"/>
    <w:rsid w:val="003C4354"/>
    <w:rsid w:val="00614654"/>
    <w:rsid w:val="00645DBC"/>
    <w:rsid w:val="0065784C"/>
    <w:rsid w:val="007812E3"/>
    <w:rsid w:val="00814E39"/>
    <w:rsid w:val="008C7CF4"/>
    <w:rsid w:val="00953CF5"/>
    <w:rsid w:val="00A02C66"/>
    <w:rsid w:val="00AB413B"/>
    <w:rsid w:val="00B60E03"/>
    <w:rsid w:val="00BA457B"/>
    <w:rsid w:val="00D25A69"/>
    <w:rsid w:val="00D25CC3"/>
    <w:rsid w:val="00D3165F"/>
    <w:rsid w:val="00D471F4"/>
    <w:rsid w:val="00D5394A"/>
    <w:rsid w:val="00DB6DF3"/>
    <w:rsid w:val="00E30CAE"/>
    <w:rsid w:val="00E310A2"/>
    <w:rsid w:val="00EC053C"/>
    <w:rsid w:val="00EF2BA5"/>
    <w:rsid w:val="00EF6DA3"/>
    <w:rsid w:val="00FA340E"/>
    <w:rsid w:val="01B67D1F"/>
    <w:rsid w:val="01CA2AF2"/>
    <w:rsid w:val="03274687"/>
    <w:rsid w:val="04064A0C"/>
    <w:rsid w:val="04085613"/>
    <w:rsid w:val="04321BCD"/>
    <w:rsid w:val="04660D01"/>
    <w:rsid w:val="04FF4482"/>
    <w:rsid w:val="057A0A50"/>
    <w:rsid w:val="064C4C17"/>
    <w:rsid w:val="06E67100"/>
    <w:rsid w:val="076C3175"/>
    <w:rsid w:val="07CC499B"/>
    <w:rsid w:val="0815567D"/>
    <w:rsid w:val="08F41958"/>
    <w:rsid w:val="0909607F"/>
    <w:rsid w:val="09A64785"/>
    <w:rsid w:val="0A3B4E4B"/>
    <w:rsid w:val="0AC5610E"/>
    <w:rsid w:val="0B601B06"/>
    <w:rsid w:val="0BEB58BF"/>
    <w:rsid w:val="0C15027B"/>
    <w:rsid w:val="0C3B2A49"/>
    <w:rsid w:val="0C442FE8"/>
    <w:rsid w:val="0D691A4A"/>
    <w:rsid w:val="0DAA4EE9"/>
    <w:rsid w:val="0DFA16E3"/>
    <w:rsid w:val="0E3117D9"/>
    <w:rsid w:val="102B0836"/>
    <w:rsid w:val="1064155D"/>
    <w:rsid w:val="1156122B"/>
    <w:rsid w:val="119B31DD"/>
    <w:rsid w:val="11F11891"/>
    <w:rsid w:val="121F2D08"/>
    <w:rsid w:val="12C35BB4"/>
    <w:rsid w:val="140849FA"/>
    <w:rsid w:val="14583EA3"/>
    <w:rsid w:val="14C8253B"/>
    <w:rsid w:val="151D09B5"/>
    <w:rsid w:val="1689469A"/>
    <w:rsid w:val="16DB1E7D"/>
    <w:rsid w:val="174F0F7F"/>
    <w:rsid w:val="178C6C5A"/>
    <w:rsid w:val="17CD646A"/>
    <w:rsid w:val="184F3049"/>
    <w:rsid w:val="18933B56"/>
    <w:rsid w:val="1B3F225B"/>
    <w:rsid w:val="1B4269FF"/>
    <w:rsid w:val="1C422E87"/>
    <w:rsid w:val="1D4B3C83"/>
    <w:rsid w:val="1DBD7AB3"/>
    <w:rsid w:val="1E0B387E"/>
    <w:rsid w:val="1E162569"/>
    <w:rsid w:val="20CF1F90"/>
    <w:rsid w:val="20F16BFA"/>
    <w:rsid w:val="21460607"/>
    <w:rsid w:val="21FF1E9B"/>
    <w:rsid w:val="23C1122C"/>
    <w:rsid w:val="243D751D"/>
    <w:rsid w:val="24522B03"/>
    <w:rsid w:val="24823344"/>
    <w:rsid w:val="25ED2FD4"/>
    <w:rsid w:val="264A346A"/>
    <w:rsid w:val="270A41B9"/>
    <w:rsid w:val="274B3C4E"/>
    <w:rsid w:val="285356FD"/>
    <w:rsid w:val="288E37E0"/>
    <w:rsid w:val="290243B4"/>
    <w:rsid w:val="2A5C748F"/>
    <w:rsid w:val="2B10000E"/>
    <w:rsid w:val="2B2D56DA"/>
    <w:rsid w:val="2D2B5E4D"/>
    <w:rsid w:val="2D391E20"/>
    <w:rsid w:val="2D6D1BF5"/>
    <w:rsid w:val="2ED818F8"/>
    <w:rsid w:val="30785FD3"/>
    <w:rsid w:val="31464ABB"/>
    <w:rsid w:val="31702E0D"/>
    <w:rsid w:val="31E75151"/>
    <w:rsid w:val="33C32B3C"/>
    <w:rsid w:val="34E52524"/>
    <w:rsid w:val="35CA4ECD"/>
    <w:rsid w:val="35CE5164"/>
    <w:rsid w:val="35F07825"/>
    <w:rsid w:val="360C2FBA"/>
    <w:rsid w:val="363913FE"/>
    <w:rsid w:val="36D6548C"/>
    <w:rsid w:val="376918C7"/>
    <w:rsid w:val="37832AC7"/>
    <w:rsid w:val="38195BED"/>
    <w:rsid w:val="39B23A02"/>
    <w:rsid w:val="3A4766ED"/>
    <w:rsid w:val="3A713A3B"/>
    <w:rsid w:val="3AAB2217"/>
    <w:rsid w:val="3ADB1C7A"/>
    <w:rsid w:val="3BD056AD"/>
    <w:rsid w:val="3CAE49E3"/>
    <w:rsid w:val="3DAE40CB"/>
    <w:rsid w:val="3E7103A9"/>
    <w:rsid w:val="3E7E746E"/>
    <w:rsid w:val="3EBE2184"/>
    <w:rsid w:val="3F5912F8"/>
    <w:rsid w:val="3F9B4FC0"/>
    <w:rsid w:val="41B74B09"/>
    <w:rsid w:val="41BA5335"/>
    <w:rsid w:val="43DC781A"/>
    <w:rsid w:val="441920CF"/>
    <w:rsid w:val="441C7555"/>
    <w:rsid w:val="450A0AA4"/>
    <w:rsid w:val="45236574"/>
    <w:rsid w:val="45CA3F23"/>
    <w:rsid w:val="46434BE2"/>
    <w:rsid w:val="46AA6AA7"/>
    <w:rsid w:val="478E0E32"/>
    <w:rsid w:val="48A2447B"/>
    <w:rsid w:val="49430BD9"/>
    <w:rsid w:val="494625CA"/>
    <w:rsid w:val="49C34191"/>
    <w:rsid w:val="4BD23ED8"/>
    <w:rsid w:val="4C2846CD"/>
    <w:rsid w:val="4C7A4C55"/>
    <w:rsid w:val="4EBF4741"/>
    <w:rsid w:val="4F6A54EE"/>
    <w:rsid w:val="4FDF6ED1"/>
    <w:rsid w:val="514C0EC5"/>
    <w:rsid w:val="51F50157"/>
    <w:rsid w:val="52866F20"/>
    <w:rsid w:val="52B21B59"/>
    <w:rsid w:val="52EE7A8B"/>
    <w:rsid w:val="53303136"/>
    <w:rsid w:val="535B290E"/>
    <w:rsid w:val="53F1208F"/>
    <w:rsid w:val="54DE5250"/>
    <w:rsid w:val="55495194"/>
    <w:rsid w:val="56115CEE"/>
    <w:rsid w:val="56D42516"/>
    <w:rsid w:val="56FE5044"/>
    <w:rsid w:val="577275F8"/>
    <w:rsid w:val="57E03285"/>
    <w:rsid w:val="58957D45"/>
    <w:rsid w:val="59575208"/>
    <w:rsid w:val="5AE71036"/>
    <w:rsid w:val="5B5F30DA"/>
    <w:rsid w:val="5BAF6F84"/>
    <w:rsid w:val="5BE03A0F"/>
    <w:rsid w:val="5D5C7CBD"/>
    <w:rsid w:val="5DF86B3F"/>
    <w:rsid w:val="5E983C59"/>
    <w:rsid w:val="5F1C1ADB"/>
    <w:rsid w:val="60134031"/>
    <w:rsid w:val="60C120AA"/>
    <w:rsid w:val="614238CA"/>
    <w:rsid w:val="6304094B"/>
    <w:rsid w:val="63591097"/>
    <w:rsid w:val="64165E4C"/>
    <w:rsid w:val="6536013A"/>
    <w:rsid w:val="66662533"/>
    <w:rsid w:val="66FF3659"/>
    <w:rsid w:val="68DA698B"/>
    <w:rsid w:val="6A3E1F45"/>
    <w:rsid w:val="6CCC6D4C"/>
    <w:rsid w:val="6D5F4EC3"/>
    <w:rsid w:val="6DBE6E67"/>
    <w:rsid w:val="6E3F5A2C"/>
    <w:rsid w:val="6EFB154D"/>
    <w:rsid w:val="7008088F"/>
    <w:rsid w:val="712634CC"/>
    <w:rsid w:val="71A3781D"/>
    <w:rsid w:val="71F65A96"/>
    <w:rsid w:val="724E698E"/>
    <w:rsid w:val="731D5B98"/>
    <w:rsid w:val="749815A3"/>
    <w:rsid w:val="74F16AC5"/>
    <w:rsid w:val="756501CF"/>
    <w:rsid w:val="778F438E"/>
    <w:rsid w:val="792C3B64"/>
    <w:rsid w:val="7A055146"/>
    <w:rsid w:val="7A757A3F"/>
    <w:rsid w:val="7C647BFE"/>
    <w:rsid w:val="7D9B64C3"/>
    <w:rsid w:val="7EF97385"/>
    <w:rsid w:val="7FA8571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qFormat/>
    <w:uiPriority w:val="0"/>
    <w:pPr>
      <w:ind w:firstLine="420"/>
    </w:pPr>
  </w:style>
  <w:style w:type="paragraph" w:styleId="3">
    <w:name w:val="Body Text Indent"/>
    <w:basedOn w:val="1"/>
    <w:qFormat/>
    <w:uiPriority w:val="0"/>
    <w:pPr>
      <w:spacing w:line="600" w:lineRule="exact"/>
      <w:ind w:firstLine="560" w:firstLineChars="200"/>
      <w:textAlignment w:val="center"/>
    </w:pPr>
    <w:rPr>
      <w:rFonts w:ascii="宋体" w:hAnsi="宋体"/>
      <w:color w:val="FF0000"/>
      <w:sz w:val="28"/>
      <w:szCs w:val="28"/>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link w:val="11"/>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100" w:beforeAutospacing="1" w:after="100" w:afterAutospacing="1"/>
      <w:jc w:val="left"/>
    </w:pPr>
    <w:rPr>
      <w:kern w:val="0"/>
      <w:sz w:val="24"/>
    </w:rPr>
  </w:style>
  <w:style w:type="paragraph" w:customStyle="1" w:styleId="9">
    <w:name w:val="WPSOffice手动目录 1"/>
    <w:qFormat/>
    <w:uiPriority w:val="0"/>
    <w:rPr>
      <w:rFonts w:ascii="Times New Roman" w:hAnsi="Times New Roman" w:eastAsia="宋体" w:cs="Times New Roman"/>
      <w:lang w:val="en-US" w:eastAsia="zh-CN" w:bidi="ar-SA"/>
    </w:rPr>
  </w:style>
  <w:style w:type="paragraph" w:customStyle="1" w:styleId="10">
    <w:name w:val="WPSOffice手动目录 2"/>
    <w:qFormat/>
    <w:uiPriority w:val="0"/>
    <w:pPr>
      <w:ind w:left="200" w:leftChars="200"/>
    </w:pPr>
    <w:rPr>
      <w:rFonts w:ascii="Times New Roman" w:hAnsi="Times New Roman" w:eastAsia="宋体" w:cs="Times New Roman"/>
      <w:lang w:val="en-US" w:eastAsia="zh-CN" w:bidi="ar-SA"/>
    </w:rPr>
  </w:style>
  <w:style w:type="character" w:customStyle="1" w:styleId="11">
    <w:name w:val="页眉 Char"/>
    <w:basedOn w:val="8"/>
    <w:link w:val="5"/>
    <w:uiPriority w:val="0"/>
    <w:rPr>
      <w:rFonts w:ascii="Calibri" w:hAnsi="Calibri"/>
      <w:kern w:val="2"/>
      <w:sz w:val="18"/>
      <w:szCs w:val="18"/>
    </w:rPr>
  </w:style>
  <w:style w:type="paragraph" w:styleId="12">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3264</Words>
  <Characters>3390</Characters>
  <Lines>25</Lines>
  <Paragraphs>7</Paragraphs>
  <TotalTime>241</TotalTime>
  <ScaleCrop>false</ScaleCrop>
  <LinksUpToDate>false</LinksUpToDate>
  <CharactersWithSpaces>3419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2021-07-20T09:00:00Z</dcterms:created>
  <dc:creator>user</dc:creator>
  <cp:lastModifiedBy>齐赞法</cp:lastModifiedBy>
  <dcterms:modified xsi:type="dcterms:W3CDTF">2026-05-20T07:44:49Z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B71950DA6838420BAC1FCE5A1CBD8E08</vt:lpwstr>
  </property>
  <property fmtid="{D5CDD505-2E9C-101B-9397-08002B2CF9AE}" pid="4" name="KSOTemplateDocerSaveRecord">
    <vt:lpwstr>eyJoZGlkIjoiZTg1NGM5MzY4ZmUyZDFhOTM5ZDIwNDFhOWMxOGI2YmUiLCJ1c2VySWQiOiI2MjQzMDU2NzcifQ==</vt:lpwstr>
  </property>
</Properties>
</file>