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附件5：</w:t>
      </w:r>
    </w:p>
    <w:p>
      <w:pPr>
        <w:spacing w:line="580" w:lineRule="exact"/>
        <w:ind w:firstLine="720" w:firstLineChars="199"/>
        <w:rPr>
          <w:rFonts w:ascii="仿宋_GB2312" w:hAnsi="仿宋_GB2312" w:eastAsia="仿宋_GB2312" w:cs="仿宋_GB2312"/>
          <w:b/>
          <w:bCs/>
          <w:spacing w:val="-20"/>
          <w:sz w:val="40"/>
          <w:szCs w:val="48"/>
        </w:rPr>
      </w:pPr>
    </w:p>
    <w:p>
      <w:pPr>
        <w:spacing w:line="580" w:lineRule="exact"/>
        <w:ind w:firstLine="720" w:firstLineChars="199"/>
        <w:jc w:val="center"/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</w:rPr>
        <w:t>隆尧县</w:t>
      </w: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  <w:lang w:val="en-US" w:eastAsia="zh-CN"/>
        </w:rPr>
        <w:t>山口</w:t>
      </w: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  <w:lang w:eastAsia="zh-CN"/>
        </w:rPr>
        <w:t>校区</w:t>
      </w:r>
    </w:p>
    <w:p>
      <w:pPr>
        <w:spacing w:line="580" w:lineRule="exact"/>
        <w:ind w:firstLine="720" w:firstLineChars="199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  <w:lang w:val="en-US" w:eastAsia="zh-CN"/>
        </w:rPr>
        <w:t>白木</w:t>
      </w: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</w:rPr>
        <w:t>幼儿园附属用房改建</w:t>
      </w: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重点自评绩效报告</w:t>
      </w:r>
    </w:p>
    <w:p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</w:t>
      </w: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>
      <w:pPr>
        <w:spacing w:line="760" w:lineRule="exact"/>
        <w:rPr>
          <w:rFonts w:ascii="仿宋_GB2312" w:hAnsi="仿宋_GB2312" w:eastAsia="仿宋_GB2312" w:cs="仿宋_GB2312"/>
          <w:spacing w:val="-2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项 目 名 称：</w:t>
      </w:r>
      <w:r>
        <w:rPr>
          <w:rFonts w:hint="eastAsia" w:ascii="仿宋_GB2312" w:hAnsi="仿宋_GB2312" w:eastAsia="仿宋_GB2312" w:cs="仿宋_GB2312"/>
          <w:b/>
          <w:bCs/>
          <w:spacing w:val="11"/>
          <w:sz w:val="28"/>
          <w:szCs w:val="28"/>
          <w:u w:val="single"/>
          <w:lang w:val="en-US" w:eastAsia="zh-CN"/>
        </w:rPr>
        <w:t>白木</w:t>
      </w:r>
      <w:r>
        <w:rPr>
          <w:rFonts w:hint="eastAsia" w:ascii="仿宋_GB2312" w:hAnsi="仿宋_GB2312" w:eastAsia="仿宋_GB2312" w:cs="仿宋_GB2312"/>
          <w:b/>
          <w:bCs/>
          <w:spacing w:val="11"/>
          <w:sz w:val="28"/>
          <w:szCs w:val="28"/>
          <w:u w:val="single"/>
        </w:rPr>
        <w:t>幼儿园附属用房改建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</w:rPr>
        <w:t xml:space="preserve"> 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项目实施单位：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eastAsia="zh-CN"/>
        </w:rPr>
        <w:t>隆尧县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>山口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eastAsia="zh-CN"/>
        </w:rPr>
        <w:t>校区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项目总金额：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>126.7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万元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评 价 年 度：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2022年度</w:t>
      </w:r>
    </w:p>
    <w:p>
      <w:pPr>
        <w:spacing w:line="760" w:lineRule="exact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评价组组长：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刘文亮</w:t>
      </w:r>
    </w:p>
    <w:p>
      <w:pPr>
        <w:spacing w:line="760" w:lineRule="exac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评价组成员：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戴树成 靳云平 王占军  董现波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</w:t>
      </w:r>
    </w:p>
    <w:p>
      <w:pPr>
        <w:rPr>
          <w:rFonts w:ascii="仿宋_GB2312" w:hAnsi="仿宋_GB2312" w:eastAsia="仿宋_GB2312" w:cs="仿宋_GB2312"/>
        </w:rPr>
      </w:pPr>
      <w:bookmarkStart w:id="0" w:name="_Toc5909_WPSOffice_Level1"/>
      <w:bookmarkStart w:id="1" w:name="_Toc7470_WPSOffice_Level1"/>
    </w:p>
    <w:bookmarkEnd w:id="0"/>
    <w:bookmarkEnd w:id="1"/>
    <w:p>
      <w:pPr>
        <w:pStyle w:val="2"/>
        <w:spacing w:line="120" w:lineRule="exact"/>
        <w:ind w:firstLine="560"/>
        <w:rPr>
          <w:rFonts w:ascii="仿宋_GB2312" w:hAnsi="仿宋_GB2312" w:eastAsia="仿宋_GB2312" w:cs="仿宋_GB2312"/>
        </w:rPr>
      </w:pP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" w:name="_Toc16913"/>
      <w:bookmarkStart w:id="3" w:name="_Toc6314"/>
      <w:bookmarkStart w:id="4" w:name="_Toc23411"/>
      <w:bookmarkStart w:id="5" w:name="_Toc2245"/>
      <w:bookmarkStart w:id="6" w:name="_Toc9525"/>
      <w:bookmarkStart w:id="7" w:name="_Toc18334"/>
      <w:bookmarkStart w:id="8" w:name="_Toc4013"/>
      <w:bookmarkStart w:id="9" w:name="_Toc30335"/>
      <w:bookmarkStart w:id="10" w:name="_Toc11301"/>
      <w:bookmarkStart w:id="11" w:name="_Toc13153"/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一、项目概况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12" w:name="_Toc24784"/>
      <w:bookmarkStart w:id="13" w:name="_Toc22453"/>
      <w:bookmarkStart w:id="14" w:name="_Toc30895"/>
      <w:bookmarkStart w:id="15" w:name="_Toc19370"/>
      <w:bookmarkStart w:id="16" w:name="_Toc937"/>
      <w:bookmarkStart w:id="17" w:name="_Toc15831"/>
      <w:bookmarkStart w:id="18" w:name="_Toc19963"/>
      <w:bookmarkStart w:id="19" w:name="_Toc23957"/>
      <w:bookmarkStart w:id="20" w:name="_Toc22285"/>
      <w:bookmarkStart w:id="21" w:name="_Toc32742"/>
      <w:r>
        <w:rPr>
          <w:rFonts w:hint="eastAsia" w:ascii="仿宋_GB2312" w:hAnsi="仿宋_GB2312" w:eastAsia="仿宋_GB2312" w:cs="仿宋_GB2312"/>
          <w:sz w:val="32"/>
          <w:szCs w:val="40"/>
        </w:rPr>
        <w:t>（一）项目单位基本情况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spacing w:line="580" w:lineRule="exact"/>
        <w:ind w:firstLine="60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22" w:name="_Toc8843"/>
      <w:bookmarkStart w:id="23" w:name="_Toc15167"/>
      <w:bookmarkStart w:id="24" w:name="_Toc29308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白木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幼儿园位于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白木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小学内，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项目包含旧房拆除、旧房地面抬高、室内墙面粉刷、厕所改造等。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ab/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（二）项目基本情况</w:t>
      </w:r>
      <w:bookmarkEnd w:id="22"/>
      <w:bookmarkEnd w:id="23"/>
      <w:bookmarkEnd w:id="24"/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bookmarkStart w:id="25" w:name="_Toc32656"/>
      <w:bookmarkStart w:id="26" w:name="_Toc26594"/>
      <w:bookmarkStart w:id="27" w:name="_Toc24191"/>
      <w:bookmarkStart w:id="28" w:name="_Toc27552"/>
      <w:r>
        <w:rPr>
          <w:rFonts w:hint="eastAsia" w:ascii="仿宋_GB2312" w:hAnsi="仿宋_GB2312" w:eastAsia="仿宋_GB2312" w:cs="仿宋_GB2312"/>
          <w:sz w:val="32"/>
          <w:szCs w:val="40"/>
        </w:rPr>
        <w:t>项目资金数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126.7万元，中标数113万元。</w:t>
      </w:r>
    </w:p>
    <w:bookmarkEnd w:id="25"/>
    <w:bookmarkEnd w:id="26"/>
    <w:bookmarkEnd w:id="27"/>
    <w:bookmarkEnd w:id="28"/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9" w:name="_Toc14644"/>
      <w:bookmarkStart w:id="30" w:name="_Toc2988"/>
      <w:bookmarkStart w:id="31" w:name="_Toc4859"/>
      <w:bookmarkStart w:id="32" w:name="_Toc17782"/>
      <w:bookmarkStart w:id="33" w:name="_Toc12860"/>
      <w:bookmarkStart w:id="34" w:name="_Toc26109"/>
      <w:bookmarkStart w:id="35" w:name="_Toc7839"/>
      <w:bookmarkStart w:id="36" w:name="_Toc18992"/>
      <w:bookmarkStart w:id="37" w:name="_Toc28908"/>
      <w:bookmarkStart w:id="38" w:name="_Toc6781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二、项目实施情况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bookmarkStart w:id="39" w:name="_Toc17067"/>
      <w:bookmarkStart w:id="40" w:name="_Toc9227"/>
      <w:bookmarkStart w:id="41" w:name="_Toc20844"/>
      <w:bookmarkStart w:id="42" w:name="_Toc10886"/>
      <w:bookmarkStart w:id="43" w:name="_Toc17743"/>
      <w:bookmarkStart w:id="44" w:name="_Toc31876"/>
      <w:bookmarkStart w:id="45" w:name="_Toc11365"/>
      <w:bookmarkStart w:id="46" w:name="_Toc13114"/>
      <w:bookmarkStart w:id="47" w:name="_Toc22812"/>
      <w:bookmarkStart w:id="48" w:name="_Toc4138"/>
      <w:r>
        <w:rPr>
          <w:rFonts w:hint="eastAsia" w:ascii="仿宋_GB2312" w:hAnsi="仿宋_GB2312" w:eastAsia="仿宋_GB2312" w:cs="仿宋_GB2312"/>
          <w:sz w:val="32"/>
          <w:szCs w:val="40"/>
        </w:rPr>
        <w:t>我校区制定了详细可行的工作活动实施计划，项目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已进行施工，</w:t>
      </w:r>
      <w:r>
        <w:rPr>
          <w:rFonts w:hint="eastAsia" w:ascii="仿宋_GB2312" w:hAnsi="仿宋_GB2312" w:eastAsia="仿宋_GB2312" w:cs="仿宋_GB2312"/>
          <w:sz w:val="32"/>
          <w:szCs w:val="40"/>
        </w:rPr>
        <w:t>我校区健全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40"/>
        </w:rPr>
        <w:t>财务管理制度，对项目资金的使用，严格按照财务管理制度规范、安全运行，项目资金到位及时、严格按照程序进行支出。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49" w:name="_Toc12150"/>
      <w:bookmarkStart w:id="50" w:name="_Toc29800"/>
      <w:bookmarkStart w:id="51" w:name="_Toc20904"/>
      <w:bookmarkStart w:id="52" w:name="_Toc6451"/>
      <w:bookmarkStart w:id="53" w:name="_Toc5215"/>
      <w:bookmarkStart w:id="54" w:name="_Toc21501"/>
      <w:bookmarkStart w:id="55" w:name="_Toc5317"/>
      <w:bookmarkStart w:id="56" w:name="_Toc10651"/>
      <w:bookmarkStart w:id="57" w:name="_Toc26855"/>
      <w:bookmarkStart w:id="58" w:name="_Toc18915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三、绩效评价工作情况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59" w:name="_Toc22771"/>
      <w:bookmarkStart w:id="60" w:name="_Toc25600"/>
      <w:bookmarkStart w:id="61" w:name="_Toc8077"/>
      <w:bookmarkStart w:id="62" w:name="_Toc14742"/>
      <w:bookmarkStart w:id="63" w:name="_Toc7570"/>
      <w:bookmarkStart w:id="64" w:name="_Toc5105"/>
      <w:bookmarkStart w:id="65" w:name="_Toc23608"/>
      <w:bookmarkStart w:id="66" w:name="_Toc17355"/>
      <w:bookmarkStart w:id="67" w:name="_Toc4056"/>
      <w:bookmarkStart w:id="68" w:name="_Toc15730"/>
      <w:r>
        <w:rPr>
          <w:rFonts w:hint="eastAsia" w:ascii="仿宋_GB2312" w:hAnsi="仿宋_GB2312" w:eastAsia="仿宋_GB2312" w:cs="仿宋_GB2312"/>
          <w:sz w:val="32"/>
          <w:szCs w:val="40"/>
        </w:rPr>
        <w:t>（一）评价目的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>
      <w:pPr>
        <w:ind w:firstLine="640"/>
        <w:rPr>
          <w:color w:val="auto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  <w:t>通过项目自评，</w:t>
      </w:r>
      <w:r>
        <w:rPr>
          <w:rFonts w:hint="eastAsia" w:ascii="仿宋_GB2312" w:hAnsi="仿宋_GB2312" w:eastAsia="仿宋_GB2312" w:cs="仿宋_GB2312"/>
          <w:sz w:val="32"/>
          <w:szCs w:val="40"/>
        </w:rPr>
        <w:t>落实党中央、国务院及省、市、县党委和政府决策部署，把统筹推进县域内学前教育均衡发展作为实现教育现代化、全面建成小康社会、实施乡村振兴战略、打赢脱贫攻坚战的重大政治任务，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提高资金使用率，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  <w:t>加大白木幼儿园建设投资力度，创造良好的校园环境，提高学前教育阶段的办学水平，</w:t>
      </w:r>
      <w:r>
        <w:rPr>
          <w:rFonts w:hint="eastAsia" w:ascii="仿宋_GB2312" w:hAnsi="仿宋_GB2312" w:eastAsia="仿宋_GB2312" w:cs="仿宋_GB2312"/>
          <w:sz w:val="32"/>
          <w:szCs w:val="40"/>
        </w:rPr>
        <w:t>大力推动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山口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校区</w:t>
      </w:r>
      <w:r>
        <w:rPr>
          <w:rFonts w:hint="eastAsia" w:ascii="仿宋_GB2312" w:hAnsi="仿宋_GB2312" w:eastAsia="仿宋_GB2312" w:cs="仿宋_GB2312"/>
          <w:sz w:val="32"/>
          <w:szCs w:val="40"/>
        </w:rPr>
        <w:t>城乡学前教育一体化发展。</w:t>
      </w:r>
    </w:p>
    <w:p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69" w:name="_Toc3910"/>
      <w:bookmarkStart w:id="70" w:name="_Toc18502"/>
      <w:bookmarkStart w:id="71" w:name="_Toc27199"/>
      <w:bookmarkStart w:id="72" w:name="_Toc22727"/>
      <w:bookmarkStart w:id="73" w:name="_Toc16971"/>
      <w:bookmarkStart w:id="74" w:name="_Toc27346"/>
      <w:bookmarkStart w:id="75" w:name="_Toc30351"/>
      <w:bookmarkStart w:id="76" w:name="_Toc25746"/>
      <w:bookmarkStart w:id="77" w:name="_Toc8288"/>
      <w:bookmarkStart w:id="78" w:name="_Toc16121"/>
      <w:r>
        <w:rPr>
          <w:rFonts w:hint="eastAsia" w:ascii="仿宋_GB2312" w:hAnsi="仿宋_GB2312" w:eastAsia="仿宋_GB2312" w:cs="仿宋_GB2312"/>
          <w:sz w:val="32"/>
          <w:szCs w:val="40"/>
        </w:rPr>
        <w:t>（二）评价指标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>
      <w:pPr>
        <w:pStyle w:val="2"/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  <w:t>部门财政支出绩效评价是政府部门绩效考核的一项重要内容，本项目绩效评价指标主要分3级设置，通过绩效评价，提高财政资金使用效率。</w:t>
      </w:r>
    </w:p>
    <w:p>
      <w:pPr>
        <w:numPr>
          <w:ilvl w:val="0"/>
          <w:numId w:val="1"/>
        </w:num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79" w:name="_Toc5304"/>
      <w:bookmarkStart w:id="80" w:name="_Toc12572"/>
      <w:bookmarkStart w:id="81" w:name="_Toc19068"/>
      <w:bookmarkStart w:id="82" w:name="_Toc32306"/>
      <w:bookmarkStart w:id="83" w:name="_Toc32241"/>
      <w:bookmarkStart w:id="84" w:name="_Toc5587"/>
      <w:bookmarkStart w:id="85" w:name="_Toc23270"/>
      <w:bookmarkStart w:id="86" w:name="_Toc11684"/>
      <w:bookmarkStart w:id="87" w:name="_Toc19154"/>
      <w:bookmarkStart w:id="88" w:name="_Toc25343"/>
      <w:r>
        <w:rPr>
          <w:rFonts w:hint="eastAsia" w:ascii="仿宋_GB2312" w:hAnsi="仿宋_GB2312" w:eastAsia="仿宋_GB2312" w:cs="仿宋_GB2312"/>
          <w:sz w:val="32"/>
          <w:szCs w:val="40"/>
        </w:rPr>
        <w:t>评价依据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pPr>
        <w:ind w:firstLine="64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40"/>
        </w:rPr>
        <w:t>、预算管理制度、资金及财务管理办法、财务会计资料。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2、预算部门职能职责、中长期发展规划及年度工作计划。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3、相关行业政策、行业标准及专业技术规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范</w:t>
      </w:r>
      <w:r>
        <w:rPr>
          <w:rFonts w:hint="eastAsia" w:ascii="仿宋_GB2312" w:hAnsi="仿宋_GB2312" w:eastAsia="仿宋_GB2312" w:cs="仿宋_GB2312"/>
          <w:sz w:val="32"/>
          <w:szCs w:val="40"/>
        </w:rPr>
        <w:t>。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4、申请预算时提出的绩效目标及其他相关材料，财政部门预算批复，财政部门和预算部门年度预算执行情况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。</w:t>
      </w:r>
    </w:p>
    <w:p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89" w:name="_Toc13179"/>
      <w:bookmarkStart w:id="90" w:name="_Toc24302"/>
      <w:bookmarkStart w:id="91" w:name="_Toc22038"/>
      <w:bookmarkStart w:id="92" w:name="_Toc26780"/>
      <w:bookmarkStart w:id="93" w:name="_Toc12940"/>
      <w:bookmarkStart w:id="94" w:name="_Toc7393"/>
      <w:bookmarkStart w:id="95" w:name="_Toc11243"/>
      <w:bookmarkStart w:id="96" w:name="_Toc1868"/>
      <w:bookmarkStart w:id="97" w:name="_Toc9401"/>
      <w:bookmarkStart w:id="98" w:name="_Toc6747"/>
      <w:r>
        <w:rPr>
          <w:rFonts w:hint="eastAsia" w:ascii="仿宋_GB2312" w:hAnsi="仿宋_GB2312" w:eastAsia="仿宋_GB2312" w:cs="仿宋_GB2312"/>
          <w:sz w:val="32"/>
          <w:szCs w:val="40"/>
        </w:rPr>
        <w:t>（四）评价的主要方法及等级设定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>
      <w:pPr>
        <w:pStyle w:val="2"/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  <w:t>我校区十分重视，认真落实上级文件要求，积极组织和实施绩效自评工作，成立以校区校长为组长，财务室等相关股室工作人员为组员绩效自评小组，落实了专人负责绩效自评工作。精心制定实施方案，规范程序，严格质量：</w:t>
      </w:r>
    </w:p>
    <w:p>
      <w:pPr>
        <w:pStyle w:val="2"/>
        <w:numPr>
          <w:ilvl w:val="0"/>
          <w:numId w:val="2"/>
        </w:numP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  <w:t>是严格自评材料审核，确保自评材料全面真实。</w:t>
      </w:r>
    </w:p>
    <w:p>
      <w:pPr>
        <w:pStyle w:val="2"/>
        <w:numPr>
          <w:ilvl w:val="0"/>
          <w:numId w:val="2"/>
        </w:numP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  <w:t>是认真设计反映教育行业特点和项目特征的个性绩效指标，提高了绩效目标与指标的相关性，增强评价指标反映项目绩效水平和绩效目标实现程度的全面性。</w:t>
      </w:r>
    </w:p>
    <w:p>
      <w:pPr>
        <w:pStyle w:val="2"/>
        <w:numPr>
          <w:ilvl w:val="0"/>
          <w:numId w:val="2"/>
        </w:numPr>
        <w:ind w:left="0" w:leftChars="0" w:firstLine="640" w:firstLine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  <w:t>是认真撰写自评报告，严格按统一格式和要求撰写，完整、清晰、具体地反映项目资金、项目实施及绩效情况。</w:t>
      </w:r>
    </w:p>
    <w:p>
      <w:pPr>
        <w:numPr>
          <w:ilvl w:val="0"/>
          <w:numId w:val="0"/>
        </w:numPr>
        <w:ind w:firstLine="640" w:firstLineChars="2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4、评价等级设置为：优秀95分以上（含95分）、良好80分-94分（含80分）、合格60分-79分（含60分）、不合格（60分以下）四个等级。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《山口校区白木幼儿园附属用房改建及附属工程项目绩效自评为92.9分，自评结果为良好》</w:t>
      </w: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</w:rPr>
      </w:pPr>
      <w:bookmarkStart w:id="99" w:name="_Toc5623"/>
      <w:bookmarkStart w:id="100" w:name="_Toc20748"/>
      <w:bookmarkStart w:id="101" w:name="_Toc18842"/>
      <w:bookmarkStart w:id="102" w:name="_Toc6105"/>
      <w:bookmarkStart w:id="103" w:name="_Toc28621"/>
      <w:bookmarkStart w:id="104" w:name="_Toc10113"/>
      <w:bookmarkStart w:id="105" w:name="_Toc30508"/>
      <w:bookmarkStart w:id="106" w:name="_Toc21014"/>
      <w:bookmarkStart w:id="107" w:name="_Toc17025"/>
      <w:bookmarkStart w:id="108" w:name="_Toc22222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四、绩效评价指标体系及得分情况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val="en-US" w:eastAsia="zh-CN"/>
        </w:rPr>
        <w:t>白木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  <w:t>幼儿园附属用房改建及附属工程项目重点绩效评价指标表</w:t>
      </w:r>
    </w:p>
    <w:tbl>
      <w:tblPr>
        <w:tblStyle w:val="7"/>
        <w:tblW w:w="9098" w:type="dxa"/>
        <w:tblInd w:w="-1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491"/>
        <w:gridCol w:w="2498"/>
        <w:gridCol w:w="426"/>
        <w:gridCol w:w="3696"/>
        <w:gridCol w:w="7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一级指标  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 三级指标</w:t>
            </w:r>
          </w:p>
        </w:tc>
        <w:tc>
          <w:tcPr>
            <w:tcW w:w="426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2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3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“工作活动”设置（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有政府相关政策、规划、任务等文件得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7.5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分；无不得分。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工作活动与部门职责、工作规划和重点工作相关，工作活动项下确定的预算项目合理，与工作活动密切相关，工作活动和项目预算安排合理，得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7.5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分；否则不得分。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①是否将项目绩效目标细化分解为具体的绩效指标；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②是否通过清晰、可衡量的指标值予以体现；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③是否与项目年度任务数或计划数相对应；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④是否与预算确定的项目投资额或资金量相匹配。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缺少一项扣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分,扣完为止。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“工作活动”管理（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预算调整率=（预算调整数/预算数）×100%。预算调整率每大于1%扣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资金使用合规性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项目资金使用是否符合国家财经法规及相关的财务管理制度规定，资金支出程序是否规范,报账手续是否齐全。每存在一项不合规问题扣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5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是否建立责任机制，项目管理和责任落实到有关人。每存在一项问题扣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制定管理制度和措施（包括财务制度）是否明确、清晰、具有可操作性，能否保障工作活动顺利实施。每缺少一项制度扣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“工作活动”产出（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房屋维修及附属设施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平房砖混结构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715平米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项目竣工验收合格率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  <w:t>项目建设中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按期完成率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  <w:t>项目建设中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4.9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成本指标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项目实际成本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按照预算成本严格执行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“工作活动”效果（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满意度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  <w:t>校园环境问卷调查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幼儿园办学条件和环境得到改善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ind w:firstLine="220" w:firstLineChars="100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92.9</w:t>
            </w:r>
          </w:p>
        </w:tc>
      </w:tr>
    </w:tbl>
    <w:p>
      <w:pPr>
        <w:pStyle w:val="2"/>
        <w:spacing w:line="560" w:lineRule="exact"/>
        <w:ind w:left="420" w:leftChars="200" w:firstLine="320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109" w:name="_Toc2634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五、评价分析</w:t>
      </w:r>
      <w:bookmarkEnd w:id="109"/>
    </w:p>
    <w:p>
      <w:pPr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color w:val="000000"/>
          <w:sz w:val="32"/>
          <w:szCs w:val="40"/>
        </w:rPr>
      </w:pPr>
      <w:bookmarkStart w:id="110" w:name="_Toc18513_WPSOffice_Level2"/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（一）主要扣分事项及原因分析</w:t>
      </w:r>
      <w:bookmarkEnd w:id="110"/>
    </w:p>
    <w:p>
      <w:pPr>
        <w:pStyle w:val="2"/>
        <w:ind w:firstLine="560"/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eastAsia="zh-CN"/>
        </w:rPr>
        <w:t>因为疫情影响，工人不能到位，入场时间推迟。下一步，加班加点，按时交付使用。</w:t>
      </w:r>
    </w:p>
    <w:p>
      <w:pPr>
        <w:pStyle w:val="2"/>
        <w:spacing w:line="560" w:lineRule="exact"/>
        <w:ind w:left="420" w:leftChars="200" w:firstLine="320" w:firstLineChars="100"/>
        <w:outlineLvl w:val="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bookmarkStart w:id="111" w:name="_Toc11279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六、意见及建议</w:t>
      </w:r>
      <w:bookmarkEnd w:id="111"/>
    </w:p>
    <w:p>
      <w:pPr>
        <w:pStyle w:val="2"/>
        <w:ind w:firstLine="560"/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无</w:t>
      </w:r>
      <w:bookmarkStart w:id="112" w:name="_GoBack"/>
      <w:bookmarkEnd w:id="112"/>
    </w:p>
    <w:p/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5600" w:firstLineChars="17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>
      <w:pPr>
        <w:rPr>
          <w:rFonts w:ascii="仿宋_GB2312" w:hAnsi="仿宋_GB2312" w:eastAsia="仿宋_GB2312" w:cs="仿宋_GB2312"/>
        </w:rPr>
      </w:pPr>
    </w:p>
    <w:sectPr>
      <w:footerReference r:id="rId3" w:type="default"/>
      <w:pgSz w:w="11906" w:h="16838"/>
      <w:pgMar w:top="2154" w:right="1474" w:bottom="1984" w:left="158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B53D5A"/>
    <w:multiLevelType w:val="singleLevel"/>
    <w:tmpl w:val="3AB53D5A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DA88ECF"/>
    <w:multiLevelType w:val="singleLevel"/>
    <w:tmpl w:val="4DA88EC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mY0Njc4NDU1Zjg5NWI2NTA2NDU2YWYwNTJiOTFkZDgifQ=="/>
  </w:docVars>
  <w:rsids>
    <w:rsidRoot w:val="07CC499B"/>
    <w:rsid w:val="00092B14"/>
    <w:rsid w:val="000D47D0"/>
    <w:rsid w:val="001373BE"/>
    <w:rsid w:val="001F3212"/>
    <w:rsid w:val="002707C6"/>
    <w:rsid w:val="00280F82"/>
    <w:rsid w:val="003170CE"/>
    <w:rsid w:val="003C4354"/>
    <w:rsid w:val="00645DBC"/>
    <w:rsid w:val="007812E3"/>
    <w:rsid w:val="00814E39"/>
    <w:rsid w:val="008C7CF4"/>
    <w:rsid w:val="00A02C66"/>
    <w:rsid w:val="00AB413B"/>
    <w:rsid w:val="00B60E03"/>
    <w:rsid w:val="00D25A69"/>
    <w:rsid w:val="00D25CC3"/>
    <w:rsid w:val="00D3165F"/>
    <w:rsid w:val="00D471F4"/>
    <w:rsid w:val="00D5394A"/>
    <w:rsid w:val="00DB6DF3"/>
    <w:rsid w:val="00E30CAE"/>
    <w:rsid w:val="00E310A2"/>
    <w:rsid w:val="00EF2BA5"/>
    <w:rsid w:val="00EF6DA3"/>
    <w:rsid w:val="00FA340E"/>
    <w:rsid w:val="01B67D1F"/>
    <w:rsid w:val="01CA2AF2"/>
    <w:rsid w:val="03274687"/>
    <w:rsid w:val="04064A0C"/>
    <w:rsid w:val="04321BCD"/>
    <w:rsid w:val="04FF4482"/>
    <w:rsid w:val="057A0A50"/>
    <w:rsid w:val="064C4C17"/>
    <w:rsid w:val="076C3175"/>
    <w:rsid w:val="07CC499B"/>
    <w:rsid w:val="0815567D"/>
    <w:rsid w:val="0909607F"/>
    <w:rsid w:val="09A64785"/>
    <w:rsid w:val="09CA6A83"/>
    <w:rsid w:val="09E42419"/>
    <w:rsid w:val="0A3B4E4B"/>
    <w:rsid w:val="0B601B06"/>
    <w:rsid w:val="0BEB58BF"/>
    <w:rsid w:val="0C15027B"/>
    <w:rsid w:val="0C3B2A49"/>
    <w:rsid w:val="0DAA4EE9"/>
    <w:rsid w:val="0E3117D9"/>
    <w:rsid w:val="102B0836"/>
    <w:rsid w:val="1064155D"/>
    <w:rsid w:val="1156122B"/>
    <w:rsid w:val="11F11891"/>
    <w:rsid w:val="12C35BB4"/>
    <w:rsid w:val="140849FA"/>
    <w:rsid w:val="14583EA3"/>
    <w:rsid w:val="151D09B5"/>
    <w:rsid w:val="1689469A"/>
    <w:rsid w:val="16DB1E7D"/>
    <w:rsid w:val="178C6C5A"/>
    <w:rsid w:val="17CD646A"/>
    <w:rsid w:val="184F3049"/>
    <w:rsid w:val="1B3F225B"/>
    <w:rsid w:val="1B4269FF"/>
    <w:rsid w:val="1CF612E0"/>
    <w:rsid w:val="1D4B3C83"/>
    <w:rsid w:val="1DBD7AB3"/>
    <w:rsid w:val="1E0B387E"/>
    <w:rsid w:val="1EB5040A"/>
    <w:rsid w:val="2058475A"/>
    <w:rsid w:val="21460607"/>
    <w:rsid w:val="21FF1E9B"/>
    <w:rsid w:val="23C1122C"/>
    <w:rsid w:val="243D751D"/>
    <w:rsid w:val="24522B03"/>
    <w:rsid w:val="25ED2FD4"/>
    <w:rsid w:val="25FB4177"/>
    <w:rsid w:val="264A346A"/>
    <w:rsid w:val="270A41B9"/>
    <w:rsid w:val="274B3C4E"/>
    <w:rsid w:val="285356FD"/>
    <w:rsid w:val="288E37E0"/>
    <w:rsid w:val="290243B4"/>
    <w:rsid w:val="2A5C748F"/>
    <w:rsid w:val="2B10000E"/>
    <w:rsid w:val="2B2D56DA"/>
    <w:rsid w:val="2D391E20"/>
    <w:rsid w:val="30785FD3"/>
    <w:rsid w:val="31702E0D"/>
    <w:rsid w:val="33C32B3C"/>
    <w:rsid w:val="34E52524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85F5470"/>
    <w:rsid w:val="39B23A02"/>
    <w:rsid w:val="3A4766ED"/>
    <w:rsid w:val="3A713A3B"/>
    <w:rsid w:val="3AAB2217"/>
    <w:rsid w:val="3AD84E66"/>
    <w:rsid w:val="3CAE49E3"/>
    <w:rsid w:val="3CED6733"/>
    <w:rsid w:val="3DAE40CB"/>
    <w:rsid w:val="3E7103A9"/>
    <w:rsid w:val="3E7E746E"/>
    <w:rsid w:val="3EBE2184"/>
    <w:rsid w:val="3F5912F8"/>
    <w:rsid w:val="3F9B4FC0"/>
    <w:rsid w:val="41B74B09"/>
    <w:rsid w:val="43DC781A"/>
    <w:rsid w:val="441C7555"/>
    <w:rsid w:val="450A0AA4"/>
    <w:rsid w:val="45236574"/>
    <w:rsid w:val="46434BE2"/>
    <w:rsid w:val="46AA6AA7"/>
    <w:rsid w:val="478E0E32"/>
    <w:rsid w:val="48A2447B"/>
    <w:rsid w:val="49430BD9"/>
    <w:rsid w:val="494625CA"/>
    <w:rsid w:val="4BD23ED8"/>
    <w:rsid w:val="4C2846CD"/>
    <w:rsid w:val="4C7A4C55"/>
    <w:rsid w:val="4D397BE4"/>
    <w:rsid w:val="4F661A3A"/>
    <w:rsid w:val="4F6A54EE"/>
    <w:rsid w:val="4FDF6ED1"/>
    <w:rsid w:val="514C0EC5"/>
    <w:rsid w:val="51F50157"/>
    <w:rsid w:val="52866F20"/>
    <w:rsid w:val="52EE7A8B"/>
    <w:rsid w:val="535B290E"/>
    <w:rsid w:val="53F1208F"/>
    <w:rsid w:val="54DE5250"/>
    <w:rsid w:val="55495194"/>
    <w:rsid w:val="56115CEE"/>
    <w:rsid w:val="56D42516"/>
    <w:rsid w:val="56FE5044"/>
    <w:rsid w:val="57E03285"/>
    <w:rsid w:val="58A5788F"/>
    <w:rsid w:val="59394883"/>
    <w:rsid w:val="5AE71036"/>
    <w:rsid w:val="5B5F30DA"/>
    <w:rsid w:val="5BAF6F84"/>
    <w:rsid w:val="5BE03A0F"/>
    <w:rsid w:val="5D5C7CBD"/>
    <w:rsid w:val="5DF86B3F"/>
    <w:rsid w:val="5EF36AFB"/>
    <w:rsid w:val="5F1C1ADB"/>
    <w:rsid w:val="5F843D3B"/>
    <w:rsid w:val="60134031"/>
    <w:rsid w:val="60C120AA"/>
    <w:rsid w:val="6304094B"/>
    <w:rsid w:val="64165E4C"/>
    <w:rsid w:val="6536013A"/>
    <w:rsid w:val="67912524"/>
    <w:rsid w:val="68DA698B"/>
    <w:rsid w:val="6A3E1F45"/>
    <w:rsid w:val="6CCC6D4C"/>
    <w:rsid w:val="6D5F4EC3"/>
    <w:rsid w:val="6E3F5A2C"/>
    <w:rsid w:val="7008088F"/>
    <w:rsid w:val="712634CC"/>
    <w:rsid w:val="71A3781D"/>
    <w:rsid w:val="724E698E"/>
    <w:rsid w:val="73850B19"/>
    <w:rsid w:val="740958A3"/>
    <w:rsid w:val="756501CF"/>
    <w:rsid w:val="778F438E"/>
    <w:rsid w:val="7A055146"/>
    <w:rsid w:val="7A757A3F"/>
    <w:rsid w:val="7C647BFE"/>
    <w:rsid w:val="7D0E1020"/>
    <w:rsid w:val="7D9B64C3"/>
    <w:rsid w:val="7EFC7643"/>
    <w:rsid w:val="7FA857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9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0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1">
    <w:name w:val="页眉 Char"/>
    <w:basedOn w:val="8"/>
    <w:link w:val="5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1940</Words>
  <Characters>2012</Characters>
  <Lines>9</Lines>
  <Paragraphs>2</Paragraphs>
  <TotalTime>1</TotalTime>
  <ScaleCrop>false</ScaleCrop>
  <LinksUpToDate>false</LinksUpToDate>
  <CharactersWithSpaces>2094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2021-07-20T09:00:00Z</dcterms:created>
  <dc:creator>user</dc:creator>
  <cp:lastModifiedBy>郑洁</cp:lastModifiedBy>
  <cp:lastPrinted>2023-03-20T10:19:14Z</cp:lastPrinted>
  <dcterms:modified xsi:type="dcterms:W3CDTF">2023-03-20T10:19:25Z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62DC848653174774A9A4A438D279B3BB</vt:lpwstr>
  </property>
</Properties>
</file>