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ind w:firstLine="240" w:firstLineChars="100"/>
        <w:rPr>
          <w:rFonts w:ascii="仿宋_GB2312" w:hAnsi="仿宋_GB2312" w:eastAsia="仿宋_GB2312" w:cs="仿宋_GB2312"/>
          <w:color w:val="000000"/>
          <w:sz w:val="24"/>
        </w:rPr>
      </w:pPr>
      <w:r>
        <w:rPr>
          <w:rFonts w:hint="eastAsia" w:ascii="仿宋_GB2312" w:hAnsi="仿宋_GB2312" w:eastAsia="仿宋_GB2312" w:cs="仿宋_GB2312"/>
          <w:color w:val="000000"/>
          <w:sz w:val="24"/>
        </w:rPr>
        <w:t>附件5：</w:t>
      </w:r>
    </w:p>
    <w:p>
      <w:pPr>
        <w:spacing w:line="580" w:lineRule="exact"/>
        <w:ind w:firstLine="720" w:firstLineChars="199"/>
        <w:rPr>
          <w:rFonts w:ascii="仿宋_GB2312" w:hAnsi="仿宋_GB2312" w:eastAsia="仿宋_GB2312" w:cs="仿宋_GB2312"/>
          <w:b/>
          <w:bCs/>
          <w:spacing w:val="-20"/>
          <w:sz w:val="40"/>
          <w:szCs w:val="48"/>
        </w:rPr>
      </w:pPr>
    </w:p>
    <w:p>
      <w:pPr>
        <w:spacing w:line="580" w:lineRule="exact"/>
        <w:ind w:firstLine="879" w:firstLineChars="199"/>
        <w:jc w:val="center"/>
        <w:rPr>
          <w:rFonts w:hint="eastAsia" w:asciiTheme="majorEastAsia" w:hAnsiTheme="majorEastAsia" w:eastAsiaTheme="majorEastAsia" w:cstheme="majorEastAsia"/>
          <w:b/>
          <w:bCs/>
          <w:spacing w:val="-20"/>
          <w:sz w:val="48"/>
          <w:szCs w:val="48"/>
        </w:rPr>
      </w:pPr>
      <w:r>
        <w:rPr>
          <w:rFonts w:hint="eastAsia" w:asciiTheme="majorEastAsia" w:hAnsiTheme="majorEastAsia" w:eastAsiaTheme="majorEastAsia" w:cstheme="majorEastAsia"/>
          <w:b/>
          <w:bCs/>
          <w:spacing w:val="-20"/>
          <w:sz w:val="48"/>
          <w:szCs w:val="48"/>
        </w:rPr>
        <w:t>隆尧县实验中学</w:t>
      </w:r>
    </w:p>
    <w:p>
      <w:pPr>
        <w:spacing w:line="580" w:lineRule="exact"/>
        <w:ind w:firstLine="879" w:firstLineChars="199"/>
        <w:jc w:val="center"/>
        <w:rPr>
          <w:rFonts w:hint="eastAsia" w:asciiTheme="majorEastAsia" w:hAnsiTheme="majorEastAsia" w:eastAsiaTheme="majorEastAsia" w:cstheme="majorEastAsia"/>
          <w:b/>
          <w:bCs/>
          <w:sz w:val="48"/>
          <w:szCs w:val="48"/>
        </w:rPr>
      </w:pPr>
      <w:r>
        <w:rPr>
          <w:rFonts w:hint="eastAsia" w:asciiTheme="majorEastAsia" w:hAnsiTheme="majorEastAsia" w:eastAsiaTheme="majorEastAsia" w:cstheme="majorEastAsia"/>
          <w:b/>
          <w:bCs/>
          <w:spacing w:val="-20"/>
          <w:sz w:val="48"/>
          <w:szCs w:val="48"/>
        </w:rPr>
        <w:t>新建</w:t>
      </w:r>
      <w:r>
        <w:rPr>
          <w:rFonts w:hint="eastAsia" w:asciiTheme="majorEastAsia" w:hAnsiTheme="majorEastAsia" w:eastAsiaTheme="majorEastAsia" w:cstheme="majorEastAsia"/>
          <w:b/>
          <w:bCs/>
          <w:sz w:val="48"/>
          <w:szCs w:val="48"/>
        </w:rPr>
        <w:t>项目重点自评绩效报告</w:t>
      </w:r>
    </w:p>
    <w:p>
      <w:pPr>
        <w:rPr>
          <w:rFonts w:ascii="仿宋_GB2312" w:hAnsi="仿宋_GB2312" w:eastAsia="仿宋_GB2312" w:cs="仿宋_GB2312"/>
        </w:rPr>
      </w:pPr>
      <w:r>
        <w:rPr>
          <w:rFonts w:hint="eastAsia" w:ascii="仿宋_GB2312" w:hAnsi="仿宋_GB2312" w:eastAsia="仿宋_GB2312" w:cs="仿宋_GB2312"/>
          <w:sz w:val="28"/>
          <w:szCs w:val="28"/>
        </w:rPr>
        <w:t xml:space="preserve">                         </w:t>
      </w: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pStyle w:val="2"/>
        <w:ind w:firstLine="560"/>
      </w:pPr>
    </w:p>
    <w:p/>
    <w:p>
      <w:pPr>
        <w:pStyle w:val="2"/>
        <w:ind w:firstLine="560"/>
      </w:pPr>
    </w:p>
    <w:p/>
    <w:p>
      <w:pPr>
        <w:pStyle w:val="2"/>
        <w:ind w:firstLine="560"/>
      </w:pPr>
    </w:p>
    <w:p>
      <w:pPr>
        <w:spacing w:line="760" w:lineRule="exact"/>
        <w:rPr>
          <w:rFonts w:hint="eastAsia" w:ascii="仿宋" w:hAnsi="仿宋" w:eastAsia="仿宋" w:cs="仿宋"/>
          <w:spacing w:val="-20"/>
          <w:sz w:val="32"/>
          <w:szCs w:val="32"/>
          <w:u w:val="single"/>
        </w:rPr>
      </w:pPr>
      <w:r>
        <w:rPr>
          <w:rFonts w:hint="eastAsia" w:ascii="仿宋" w:hAnsi="仿宋" w:eastAsia="仿宋" w:cs="仿宋"/>
          <w:spacing w:val="11"/>
          <w:sz w:val="32"/>
          <w:szCs w:val="32"/>
        </w:rPr>
        <w:t>项 目 名 称：</w:t>
      </w:r>
      <w:r>
        <w:rPr>
          <w:rFonts w:hint="eastAsia" w:ascii="仿宋" w:hAnsi="仿宋" w:eastAsia="仿宋" w:cs="仿宋"/>
          <w:kern w:val="0"/>
          <w:sz w:val="32"/>
          <w:szCs w:val="32"/>
          <w:u w:val="single"/>
        </w:rPr>
        <w:t>河北省隆尧县实验中学新建</w:t>
      </w:r>
      <w:r>
        <w:rPr>
          <w:rFonts w:hint="eastAsia" w:ascii="仿宋" w:hAnsi="仿宋" w:eastAsia="仿宋" w:cs="仿宋"/>
          <w:sz w:val="32"/>
          <w:szCs w:val="32"/>
          <w:u w:val="single"/>
        </w:rPr>
        <w:t>项目</w:t>
      </w:r>
      <w:r>
        <w:rPr>
          <w:rFonts w:hint="eastAsia" w:ascii="仿宋" w:hAnsi="仿宋" w:eastAsia="仿宋" w:cs="仿宋"/>
          <w:b/>
          <w:bCs/>
          <w:sz w:val="32"/>
          <w:szCs w:val="32"/>
          <w:u w:val="single"/>
        </w:rPr>
        <w:t xml:space="preserve">  </w:t>
      </w:r>
    </w:p>
    <w:p>
      <w:pPr>
        <w:spacing w:line="760" w:lineRule="exact"/>
        <w:rPr>
          <w:rFonts w:hint="eastAsia" w:ascii="仿宋" w:hAnsi="仿宋" w:eastAsia="仿宋" w:cs="仿宋"/>
          <w:sz w:val="32"/>
          <w:szCs w:val="32"/>
          <w:u w:val="single"/>
        </w:rPr>
      </w:pPr>
      <w:r>
        <w:rPr>
          <w:rFonts w:hint="eastAsia" w:ascii="仿宋" w:hAnsi="仿宋" w:eastAsia="仿宋" w:cs="仿宋"/>
          <w:sz w:val="32"/>
          <w:szCs w:val="32"/>
        </w:rPr>
        <w:t>项目实施单位：</w:t>
      </w:r>
      <w:r>
        <w:rPr>
          <w:rFonts w:hint="eastAsia" w:ascii="仿宋" w:hAnsi="仿宋" w:eastAsia="仿宋" w:cs="仿宋"/>
          <w:kern w:val="0"/>
          <w:sz w:val="32"/>
          <w:szCs w:val="32"/>
          <w:u w:val="single"/>
        </w:rPr>
        <w:t>河北省隆尧县实验中学</w:t>
      </w:r>
    </w:p>
    <w:p>
      <w:pPr>
        <w:spacing w:line="760" w:lineRule="exact"/>
        <w:rPr>
          <w:rFonts w:hint="eastAsia" w:ascii="仿宋" w:hAnsi="仿宋" w:eastAsia="仿宋" w:cs="仿宋"/>
          <w:sz w:val="32"/>
          <w:szCs w:val="32"/>
          <w:u w:val="single"/>
        </w:rPr>
      </w:pPr>
      <w:r>
        <w:rPr>
          <w:rFonts w:hint="eastAsia" w:ascii="仿宋" w:hAnsi="仿宋" w:eastAsia="仿宋" w:cs="仿宋"/>
          <w:spacing w:val="28"/>
          <w:sz w:val="32"/>
          <w:szCs w:val="32"/>
        </w:rPr>
        <w:t>项目总金额：</w:t>
      </w:r>
      <w:r>
        <w:rPr>
          <w:rFonts w:hint="eastAsia" w:ascii="仿宋" w:hAnsi="仿宋" w:eastAsia="仿宋" w:cs="仿宋"/>
          <w:spacing w:val="28"/>
          <w:sz w:val="32"/>
          <w:szCs w:val="32"/>
          <w:lang w:val="en-US" w:eastAsia="zh-CN"/>
        </w:rPr>
        <w:t>5</w:t>
      </w:r>
      <w:r>
        <w:rPr>
          <w:rFonts w:hint="eastAsia" w:ascii="仿宋" w:hAnsi="仿宋" w:eastAsia="仿宋" w:cs="仿宋"/>
          <w:kern w:val="0"/>
          <w:sz w:val="32"/>
          <w:szCs w:val="32"/>
          <w:u w:val="single"/>
          <w:lang w:val="en-US" w:eastAsia="zh-CN"/>
        </w:rPr>
        <w:t>50</w:t>
      </w:r>
      <w:r>
        <w:rPr>
          <w:rFonts w:hint="eastAsia" w:ascii="仿宋" w:hAnsi="仿宋" w:eastAsia="仿宋" w:cs="仿宋"/>
          <w:kern w:val="0"/>
          <w:sz w:val="32"/>
          <w:szCs w:val="32"/>
          <w:u w:val="single"/>
        </w:rPr>
        <w:t>万元</w:t>
      </w:r>
      <w:bookmarkStart w:id="108" w:name="_GoBack"/>
      <w:bookmarkEnd w:id="108"/>
    </w:p>
    <w:p>
      <w:pPr>
        <w:spacing w:line="760" w:lineRule="exact"/>
        <w:rPr>
          <w:rFonts w:hint="eastAsia" w:ascii="仿宋" w:hAnsi="仿宋" w:eastAsia="仿宋" w:cs="仿宋"/>
          <w:sz w:val="32"/>
          <w:szCs w:val="32"/>
          <w:u w:val="single"/>
        </w:rPr>
      </w:pPr>
      <w:r>
        <w:rPr>
          <w:rFonts w:hint="eastAsia" w:ascii="仿宋" w:hAnsi="仿宋" w:eastAsia="仿宋" w:cs="仿宋"/>
          <w:spacing w:val="11"/>
          <w:sz w:val="32"/>
          <w:szCs w:val="32"/>
        </w:rPr>
        <w:t>评 价 年 度：</w:t>
      </w:r>
      <w:r>
        <w:rPr>
          <w:rFonts w:hint="eastAsia" w:ascii="仿宋" w:hAnsi="仿宋" w:eastAsia="仿宋" w:cs="仿宋"/>
          <w:sz w:val="32"/>
          <w:szCs w:val="32"/>
          <w:u w:val="single"/>
        </w:rPr>
        <w:t>2022年度</w:t>
      </w:r>
    </w:p>
    <w:p>
      <w:pPr>
        <w:spacing w:line="760" w:lineRule="exact"/>
        <w:rPr>
          <w:rFonts w:hint="eastAsia" w:ascii="仿宋" w:hAnsi="仿宋" w:eastAsia="仿宋" w:cs="仿宋"/>
          <w:sz w:val="32"/>
          <w:szCs w:val="32"/>
          <w:u w:val="single"/>
        </w:rPr>
      </w:pPr>
      <w:r>
        <w:rPr>
          <w:rFonts w:hint="eastAsia" w:ascii="仿宋" w:hAnsi="仿宋" w:eastAsia="仿宋" w:cs="仿宋"/>
          <w:spacing w:val="28"/>
          <w:sz w:val="32"/>
          <w:szCs w:val="32"/>
        </w:rPr>
        <w:t>评价组组长：</w:t>
      </w:r>
      <w:r>
        <w:rPr>
          <w:rFonts w:hint="eastAsia" w:ascii="仿宋" w:hAnsi="仿宋" w:eastAsia="仿宋" w:cs="仿宋"/>
          <w:sz w:val="32"/>
          <w:szCs w:val="32"/>
          <w:u w:val="single"/>
          <w:lang w:val="en-US" w:eastAsia="zh-CN"/>
        </w:rPr>
        <w:t>何利华</w:t>
      </w:r>
      <w:r>
        <w:rPr>
          <w:rFonts w:hint="eastAsia" w:ascii="仿宋" w:hAnsi="仿宋" w:eastAsia="仿宋" w:cs="仿宋"/>
          <w:sz w:val="32"/>
          <w:szCs w:val="32"/>
          <w:u w:val="single"/>
        </w:rPr>
        <w:t xml:space="preserve">      </w:t>
      </w:r>
    </w:p>
    <w:p>
      <w:pPr>
        <w:spacing w:line="760" w:lineRule="exact"/>
        <w:rPr>
          <w:rFonts w:hint="eastAsia" w:ascii="仿宋" w:hAnsi="仿宋" w:eastAsia="仿宋" w:cs="仿宋"/>
          <w:sz w:val="32"/>
          <w:szCs w:val="32"/>
        </w:rPr>
      </w:pPr>
      <w:r>
        <w:rPr>
          <w:rFonts w:hint="eastAsia" w:ascii="仿宋" w:hAnsi="仿宋" w:eastAsia="仿宋" w:cs="仿宋"/>
          <w:spacing w:val="28"/>
          <w:sz w:val="32"/>
          <w:szCs w:val="32"/>
        </w:rPr>
        <w:t>评价组成员：</w:t>
      </w:r>
      <w:r>
        <w:rPr>
          <w:rFonts w:hint="eastAsia" w:ascii="仿宋" w:hAnsi="仿宋" w:eastAsia="仿宋" w:cs="仿宋"/>
          <w:spacing w:val="28"/>
          <w:sz w:val="32"/>
          <w:szCs w:val="32"/>
          <w:u w:val="single"/>
          <w:lang w:val="en-US" w:eastAsia="zh-CN"/>
        </w:rPr>
        <w:t xml:space="preserve">韩志青 </w:t>
      </w:r>
      <w:r>
        <w:rPr>
          <w:rFonts w:hint="eastAsia" w:ascii="仿宋" w:hAnsi="仿宋" w:eastAsia="仿宋" w:cs="仿宋"/>
          <w:sz w:val="32"/>
          <w:szCs w:val="32"/>
          <w:u w:val="single"/>
          <w:lang w:val="en-US" w:eastAsia="zh-CN"/>
        </w:rPr>
        <w:t>王建平  何军华  王振红</w:t>
      </w:r>
      <w:r>
        <w:rPr>
          <w:rFonts w:hint="eastAsia" w:ascii="仿宋" w:hAnsi="仿宋" w:eastAsia="仿宋" w:cs="仿宋"/>
          <w:sz w:val="32"/>
          <w:szCs w:val="32"/>
          <w:u w:val="single"/>
        </w:rPr>
        <w:t xml:space="preserve">                                       </w:t>
      </w:r>
    </w:p>
    <w:p>
      <w:pPr>
        <w:rPr>
          <w:rFonts w:hint="eastAsia" w:ascii="仿宋" w:hAnsi="仿宋" w:eastAsia="仿宋" w:cs="仿宋"/>
          <w:sz w:val="32"/>
          <w:szCs w:val="32"/>
        </w:rPr>
      </w:pPr>
      <w:bookmarkStart w:id="0" w:name="_Toc5909_WPSOffice_Level1"/>
      <w:bookmarkStart w:id="1" w:name="_Toc7470_WPSOffice_Level1"/>
    </w:p>
    <w:bookmarkEnd w:id="0"/>
    <w:bookmarkEnd w:id="1"/>
    <w:p>
      <w:pPr>
        <w:pStyle w:val="2"/>
        <w:spacing w:line="120" w:lineRule="exact"/>
        <w:ind w:firstLine="560"/>
        <w:rPr>
          <w:rFonts w:hint="eastAsia" w:ascii="仿宋" w:hAnsi="仿宋" w:eastAsia="仿宋" w:cs="仿宋"/>
          <w:sz w:val="32"/>
          <w:szCs w:val="32"/>
        </w:rPr>
      </w:pPr>
    </w:p>
    <w:p>
      <w:pPr>
        <w:spacing w:line="580" w:lineRule="exact"/>
        <w:ind w:firstLine="643" w:firstLineChars="200"/>
        <w:outlineLvl w:val="0"/>
        <w:rPr>
          <w:rFonts w:ascii="仿宋_GB2312" w:hAnsi="仿宋_GB2312" w:eastAsia="仿宋_GB2312" w:cs="仿宋_GB2312"/>
          <w:b/>
          <w:bCs/>
          <w:sz w:val="32"/>
          <w:szCs w:val="40"/>
        </w:rPr>
      </w:pPr>
      <w:bookmarkStart w:id="2" w:name="_Toc18334"/>
      <w:bookmarkStart w:id="3" w:name="_Toc11301"/>
      <w:bookmarkStart w:id="4" w:name="_Toc16913"/>
      <w:bookmarkStart w:id="5" w:name="_Toc13153"/>
      <w:bookmarkStart w:id="6" w:name="_Toc2245"/>
      <w:bookmarkStart w:id="7" w:name="_Toc30335"/>
      <w:bookmarkStart w:id="8" w:name="_Toc23411"/>
      <w:bookmarkStart w:id="9" w:name="_Toc9525"/>
      <w:bookmarkStart w:id="10" w:name="_Toc4013"/>
      <w:bookmarkStart w:id="11" w:name="_Toc6314"/>
    </w:p>
    <w:p>
      <w:pPr>
        <w:spacing w:line="580" w:lineRule="exact"/>
        <w:ind w:firstLine="643" w:firstLineChars="200"/>
        <w:outlineLvl w:val="0"/>
        <w:rPr>
          <w:rFonts w:hint="eastAsia" w:ascii="仿宋" w:hAnsi="仿宋" w:eastAsia="仿宋" w:cs="仿宋"/>
          <w:b/>
          <w:bCs/>
          <w:sz w:val="32"/>
          <w:szCs w:val="32"/>
        </w:rPr>
      </w:pPr>
      <w:r>
        <w:rPr>
          <w:rFonts w:hint="eastAsia" w:ascii="仿宋" w:hAnsi="仿宋" w:eastAsia="仿宋" w:cs="仿宋"/>
          <w:b/>
          <w:bCs/>
          <w:sz w:val="32"/>
          <w:szCs w:val="32"/>
        </w:rPr>
        <w:t>一、项目概况</w:t>
      </w:r>
      <w:bookmarkEnd w:id="2"/>
      <w:bookmarkEnd w:id="3"/>
      <w:bookmarkEnd w:id="4"/>
      <w:bookmarkEnd w:id="5"/>
      <w:bookmarkEnd w:id="6"/>
      <w:bookmarkEnd w:id="7"/>
      <w:bookmarkEnd w:id="8"/>
      <w:bookmarkEnd w:id="9"/>
      <w:bookmarkEnd w:id="10"/>
      <w:bookmarkEnd w:id="11"/>
    </w:p>
    <w:p>
      <w:pPr>
        <w:spacing w:line="580" w:lineRule="exact"/>
        <w:ind w:firstLine="640" w:firstLineChars="200"/>
        <w:outlineLvl w:val="1"/>
        <w:rPr>
          <w:rFonts w:hint="eastAsia" w:ascii="仿宋" w:hAnsi="仿宋" w:eastAsia="仿宋" w:cs="仿宋"/>
          <w:sz w:val="32"/>
          <w:szCs w:val="32"/>
        </w:rPr>
      </w:pPr>
      <w:bookmarkStart w:id="12" w:name="_Toc30895"/>
      <w:bookmarkStart w:id="13" w:name="_Toc19370"/>
      <w:bookmarkStart w:id="14" w:name="_Toc32742"/>
      <w:bookmarkStart w:id="15" w:name="_Toc19963"/>
      <w:bookmarkStart w:id="16" w:name="_Toc24784"/>
      <w:bookmarkStart w:id="17" w:name="_Toc15831"/>
      <w:bookmarkStart w:id="18" w:name="_Toc22285"/>
      <w:bookmarkStart w:id="19" w:name="_Toc22453"/>
      <w:bookmarkStart w:id="20" w:name="_Toc937"/>
      <w:bookmarkStart w:id="21" w:name="_Toc23957"/>
      <w:r>
        <w:rPr>
          <w:rFonts w:hint="eastAsia" w:ascii="仿宋" w:hAnsi="仿宋" w:eastAsia="仿宋" w:cs="仿宋"/>
          <w:sz w:val="32"/>
          <w:szCs w:val="32"/>
        </w:rPr>
        <w:t>（一）项目单位基本情况</w:t>
      </w:r>
      <w:bookmarkEnd w:id="12"/>
      <w:bookmarkEnd w:id="13"/>
      <w:bookmarkEnd w:id="14"/>
      <w:bookmarkEnd w:id="15"/>
      <w:bookmarkEnd w:id="16"/>
      <w:bookmarkEnd w:id="17"/>
      <w:bookmarkEnd w:id="18"/>
      <w:bookmarkEnd w:id="19"/>
      <w:bookmarkEnd w:id="20"/>
      <w:bookmarkEnd w:id="21"/>
    </w:p>
    <w:p>
      <w:pPr>
        <w:spacing w:line="580" w:lineRule="exact"/>
        <w:ind w:firstLine="640" w:firstLineChars="200"/>
        <w:outlineLvl w:val="1"/>
        <w:rPr>
          <w:rFonts w:hint="eastAsia" w:ascii="仿宋" w:hAnsi="仿宋" w:eastAsia="仿宋" w:cs="仿宋"/>
          <w:sz w:val="32"/>
          <w:szCs w:val="32"/>
        </w:rPr>
      </w:pPr>
      <w:bookmarkStart w:id="22" w:name="_Toc29308"/>
      <w:bookmarkStart w:id="23" w:name="_Toc15167"/>
      <w:bookmarkStart w:id="24" w:name="_Toc8843"/>
      <w:r>
        <w:rPr>
          <w:rFonts w:hint="eastAsia" w:ascii="仿宋" w:hAnsi="仿宋" w:eastAsia="仿宋" w:cs="仿宋"/>
          <w:sz w:val="32"/>
          <w:szCs w:val="32"/>
        </w:rPr>
        <w:t>包括单位名称;河北省隆尧县实验中学</w:t>
      </w:r>
    </w:p>
    <w:p>
      <w:pPr>
        <w:spacing w:line="580" w:lineRule="exact"/>
        <w:ind w:firstLine="640" w:firstLineChars="200"/>
        <w:outlineLvl w:val="1"/>
        <w:rPr>
          <w:rFonts w:hint="eastAsia" w:ascii="仿宋" w:hAnsi="仿宋" w:eastAsia="仿宋" w:cs="仿宋"/>
          <w:sz w:val="32"/>
          <w:szCs w:val="32"/>
        </w:rPr>
      </w:pPr>
      <w:r>
        <w:rPr>
          <w:rFonts w:hint="eastAsia" w:ascii="仿宋" w:hAnsi="仿宋" w:eastAsia="仿宋" w:cs="仿宋"/>
          <w:sz w:val="32"/>
          <w:szCs w:val="32"/>
        </w:rPr>
        <w:t>地址：隆尧县北环北侧隆宁路西侧</w:t>
      </w:r>
    </w:p>
    <w:p>
      <w:pPr>
        <w:spacing w:line="580" w:lineRule="exact"/>
        <w:ind w:firstLine="640" w:firstLineChars="200"/>
        <w:outlineLvl w:val="1"/>
        <w:rPr>
          <w:rFonts w:hint="eastAsia" w:ascii="仿宋" w:hAnsi="仿宋" w:eastAsia="仿宋" w:cs="仿宋"/>
          <w:sz w:val="32"/>
          <w:szCs w:val="32"/>
        </w:rPr>
      </w:pPr>
      <w:r>
        <w:rPr>
          <w:rFonts w:hint="eastAsia" w:ascii="仿宋" w:hAnsi="仿宋" w:eastAsia="仿宋" w:cs="仿宋"/>
          <w:sz w:val="32"/>
          <w:szCs w:val="32"/>
        </w:rPr>
        <w:t>性质：公益一类事业单位</w:t>
      </w:r>
    </w:p>
    <w:p>
      <w:pPr>
        <w:spacing w:line="580" w:lineRule="exact"/>
        <w:ind w:firstLine="640" w:firstLineChars="200"/>
        <w:outlineLvl w:val="1"/>
        <w:rPr>
          <w:rFonts w:hint="eastAsia" w:ascii="仿宋" w:hAnsi="仿宋" w:eastAsia="仿宋" w:cs="仿宋"/>
          <w:sz w:val="32"/>
          <w:szCs w:val="32"/>
        </w:rPr>
      </w:pPr>
      <w:r>
        <w:rPr>
          <w:rFonts w:hint="eastAsia" w:ascii="仿宋" w:hAnsi="仿宋" w:eastAsia="仿宋" w:cs="仿宋"/>
          <w:sz w:val="32"/>
          <w:szCs w:val="32"/>
        </w:rPr>
        <w:t>承担的业务：实施初中义务教育，促进基础教育发展。</w:t>
      </w:r>
    </w:p>
    <w:p>
      <w:pPr>
        <w:spacing w:line="580" w:lineRule="exact"/>
        <w:ind w:firstLine="640" w:firstLineChars="200"/>
        <w:outlineLvl w:val="1"/>
        <w:rPr>
          <w:rFonts w:hint="eastAsia" w:ascii="仿宋" w:hAnsi="仿宋" w:eastAsia="仿宋" w:cs="仿宋"/>
          <w:sz w:val="32"/>
          <w:szCs w:val="32"/>
        </w:rPr>
      </w:pPr>
      <w:r>
        <w:rPr>
          <w:rFonts w:hint="eastAsia" w:ascii="仿宋" w:hAnsi="仿宋" w:eastAsia="仿宋" w:cs="仿宋"/>
          <w:sz w:val="32"/>
          <w:szCs w:val="32"/>
        </w:rPr>
        <w:t>（二）项目基本情况</w:t>
      </w:r>
      <w:bookmarkEnd w:id="22"/>
      <w:bookmarkEnd w:id="23"/>
      <w:bookmarkEnd w:id="24"/>
    </w:p>
    <w:p>
      <w:pPr>
        <w:spacing w:line="580" w:lineRule="exact"/>
        <w:ind w:firstLine="640" w:firstLineChars="200"/>
        <w:rPr>
          <w:rFonts w:hint="eastAsia" w:ascii="仿宋" w:hAnsi="仿宋" w:eastAsia="仿宋" w:cs="仿宋"/>
          <w:sz w:val="32"/>
          <w:szCs w:val="32"/>
        </w:rPr>
      </w:pPr>
      <w:bookmarkStart w:id="25" w:name="_Toc28908"/>
      <w:bookmarkStart w:id="26" w:name="_Toc2988"/>
      <w:bookmarkStart w:id="27" w:name="_Toc4859"/>
      <w:bookmarkStart w:id="28" w:name="_Toc26109"/>
      <w:bookmarkStart w:id="29" w:name="_Toc17782"/>
      <w:bookmarkStart w:id="30" w:name="_Toc18992"/>
      <w:bookmarkStart w:id="31" w:name="_Toc14644"/>
      <w:bookmarkStart w:id="32" w:name="_Toc7839"/>
      <w:bookmarkStart w:id="33" w:name="_Toc6781"/>
      <w:bookmarkStart w:id="34" w:name="_Toc12860"/>
      <w:r>
        <w:rPr>
          <w:rFonts w:hint="eastAsia" w:ascii="仿宋" w:hAnsi="仿宋" w:eastAsia="仿宋" w:cs="仿宋"/>
          <w:sz w:val="32"/>
          <w:szCs w:val="32"/>
        </w:rPr>
        <w:t>项目资金数：河北省隆尧县实验中学新建项目资金预算为：提前下达一般债券/隆尧县实验中学新建项目</w:t>
      </w:r>
      <w:r>
        <w:rPr>
          <w:rFonts w:hint="eastAsia" w:ascii="仿宋" w:hAnsi="仿宋" w:eastAsia="仿宋" w:cs="仿宋"/>
          <w:sz w:val="32"/>
          <w:szCs w:val="32"/>
          <w:lang w:val="en-US" w:eastAsia="zh-CN"/>
        </w:rPr>
        <w:t>550万</w:t>
      </w:r>
      <w:r>
        <w:rPr>
          <w:rFonts w:hint="eastAsia" w:ascii="仿宋" w:hAnsi="仿宋" w:eastAsia="仿宋" w:cs="仿宋"/>
          <w:sz w:val="32"/>
          <w:szCs w:val="32"/>
        </w:rPr>
        <w:t>元。</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具体项目数量：河北省隆尧县实验中学新建项目数量为1所。</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工程量与支付资金情况：项目实施周期为2022年</w:t>
      </w:r>
      <w:r>
        <w:rPr>
          <w:rFonts w:hint="eastAsia" w:ascii="仿宋" w:hAnsi="仿宋" w:eastAsia="仿宋" w:cs="仿宋"/>
          <w:sz w:val="32"/>
          <w:szCs w:val="32"/>
          <w:lang w:val="en-US" w:eastAsia="zh-CN"/>
        </w:rPr>
        <w:t>8</w:t>
      </w:r>
      <w:r>
        <w:rPr>
          <w:rFonts w:hint="eastAsia" w:ascii="仿宋" w:hAnsi="仿宋" w:eastAsia="仿宋" w:cs="仿宋"/>
          <w:sz w:val="32"/>
          <w:szCs w:val="32"/>
        </w:rPr>
        <w:t>月开工建设，到2023年</w:t>
      </w:r>
      <w:r>
        <w:rPr>
          <w:rFonts w:hint="eastAsia" w:ascii="仿宋" w:hAnsi="仿宋" w:eastAsia="仿宋" w:cs="仿宋"/>
          <w:sz w:val="32"/>
          <w:szCs w:val="32"/>
          <w:lang w:val="en-US" w:eastAsia="zh-CN"/>
        </w:rPr>
        <w:t>10</w:t>
      </w:r>
      <w:r>
        <w:rPr>
          <w:rFonts w:hint="eastAsia" w:ascii="仿宋" w:hAnsi="仿宋" w:eastAsia="仿宋" w:cs="仿宋"/>
          <w:sz w:val="32"/>
          <w:szCs w:val="32"/>
        </w:rPr>
        <w:t>月竣工，建设工期</w:t>
      </w:r>
      <w:r>
        <w:rPr>
          <w:rFonts w:hint="eastAsia" w:ascii="仿宋" w:hAnsi="仿宋" w:eastAsia="仿宋" w:cs="仿宋"/>
          <w:sz w:val="32"/>
          <w:szCs w:val="32"/>
          <w:lang w:val="en-US" w:eastAsia="zh-CN"/>
        </w:rPr>
        <w:t>14</w:t>
      </w:r>
      <w:r>
        <w:rPr>
          <w:rFonts w:hint="eastAsia" w:ascii="仿宋" w:hAnsi="仿宋" w:eastAsia="仿宋" w:cs="仿宋"/>
          <w:sz w:val="32"/>
          <w:szCs w:val="32"/>
        </w:rPr>
        <w:t>个月。</w:t>
      </w:r>
    </w:p>
    <w:p>
      <w:pPr>
        <w:spacing w:line="580" w:lineRule="exact"/>
        <w:ind w:firstLine="643" w:firstLineChars="200"/>
        <w:outlineLvl w:val="0"/>
        <w:rPr>
          <w:rFonts w:hint="eastAsia" w:ascii="仿宋" w:hAnsi="仿宋" w:eastAsia="仿宋" w:cs="仿宋"/>
          <w:b/>
          <w:bCs/>
          <w:sz w:val="32"/>
          <w:szCs w:val="32"/>
        </w:rPr>
      </w:pPr>
      <w:r>
        <w:rPr>
          <w:rFonts w:hint="eastAsia" w:ascii="仿宋" w:hAnsi="仿宋" w:eastAsia="仿宋" w:cs="仿宋"/>
          <w:b/>
          <w:bCs/>
          <w:sz w:val="32"/>
          <w:szCs w:val="32"/>
        </w:rPr>
        <w:t>二、项目实施情况</w:t>
      </w:r>
      <w:bookmarkEnd w:id="25"/>
      <w:bookmarkEnd w:id="26"/>
      <w:bookmarkEnd w:id="27"/>
      <w:bookmarkEnd w:id="28"/>
      <w:bookmarkEnd w:id="29"/>
      <w:bookmarkEnd w:id="30"/>
      <w:bookmarkEnd w:id="31"/>
      <w:bookmarkEnd w:id="32"/>
      <w:bookmarkEnd w:id="33"/>
      <w:bookmarkEnd w:id="34"/>
    </w:p>
    <w:p>
      <w:pPr>
        <w:spacing w:line="580" w:lineRule="exact"/>
        <w:ind w:firstLine="640" w:firstLineChars="200"/>
        <w:rPr>
          <w:rFonts w:hint="eastAsia" w:ascii="仿宋" w:hAnsi="仿宋" w:eastAsia="仿宋" w:cs="仿宋"/>
          <w:sz w:val="32"/>
          <w:szCs w:val="32"/>
        </w:rPr>
      </w:pPr>
      <w:bookmarkStart w:id="35" w:name="_Toc31876"/>
      <w:bookmarkStart w:id="36" w:name="_Toc11365"/>
      <w:bookmarkStart w:id="37" w:name="_Toc17067"/>
      <w:bookmarkStart w:id="38" w:name="_Toc4138"/>
      <w:bookmarkStart w:id="39" w:name="_Toc22812"/>
      <w:bookmarkStart w:id="40" w:name="_Toc17743"/>
      <w:bookmarkStart w:id="41" w:name="_Toc9227"/>
      <w:bookmarkStart w:id="42" w:name="_Toc10886"/>
      <w:bookmarkStart w:id="43" w:name="_Toc13114"/>
      <w:bookmarkStart w:id="44" w:name="_Toc20844"/>
      <w:r>
        <w:rPr>
          <w:rFonts w:hint="eastAsia" w:ascii="仿宋" w:hAnsi="仿宋" w:eastAsia="仿宋" w:cs="仿宋"/>
          <w:sz w:val="32"/>
          <w:szCs w:val="32"/>
        </w:rPr>
        <w:t>1.项目具体实施情况：自签订工程总承包合同以来，我校新建项目严格按照相关部门监管规定，落实承包合同内容，根据实地情况，目前正在进行回填土施工，截止今日已经回填土11.5万方左右。</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在限额系统中确定了招标代理公司为：河北润启工程项目管理有限公司；监理单位：新隆基项目管理有限公司；招标代理：河北千卉招标咨询有限公司；跟踪审计：河北兴土顺工程咨询有限公司；图纸评审：邢台志德工程设计服务有限公司。按照相关要求，于2022年7月22日最终确定中标单位：中诚投建工集团有限公司。</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3.财务管理情况</w:t>
      </w:r>
      <w:bookmarkEnd w:id="35"/>
      <w:bookmarkEnd w:id="36"/>
      <w:bookmarkEnd w:id="37"/>
      <w:bookmarkEnd w:id="38"/>
      <w:bookmarkEnd w:id="39"/>
      <w:bookmarkEnd w:id="40"/>
      <w:bookmarkEnd w:id="41"/>
      <w:bookmarkEnd w:id="42"/>
      <w:bookmarkEnd w:id="43"/>
      <w:bookmarkEnd w:id="44"/>
      <w:r>
        <w:rPr>
          <w:rFonts w:hint="eastAsia" w:ascii="仿宋" w:hAnsi="仿宋" w:eastAsia="仿宋" w:cs="仿宋"/>
          <w:sz w:val="32"/>
          <w:szCs w:val="32"/>
        </w:rPr>
        <w:t>：我校按照财政局、教育局要求健全财务管理制度，对项目资金的使用，严格按照财务管理制度规范、安全运行。学校成立了以何利华校长为组长，王建平校长为副组长，学校中层领导为成员的项目资金领导小组，对项目资金进行全过程监督管理，积极与施工方进行沟通协调，在保证工程质量的前提下，高标准的完成实验中学新建项目。按照合同要求并结合施工具体情况，报教育局同意，取得合法票据，组织报销手续，按照审批流程完成审批与资金拨付，项目资金到位后，及时、严格按照程序进行支付。</w:t>
      </w:r>
    </w:p>
    <w:p>
      <w:pPr>
        <w:spacing w:line="580" w:lineRule="exact"/>
        <w:ind w:firstLine="643" w:firstLineChars="200"/>
        <w:outlineLvl w:val="0"/>
        <w:rPr>
          <w:rFonts w:hint="eastAsia" w:ascii="仿宋" w:hAnsi="仿宋" w:eastAsia="仿宋" w:cs="仿宋"/>
          <w:b/>
          <w:bCs/>
          <w:sz w:val="32"/>
          <w:szCs w:val="32"/>
        </w:rPr>
      </w:pPr>
      <w:bookmarkStart w:id="45" w:name="_Toc5215"/>
      <w:bookmarkStart w:id="46" w:name="_Toc5317"/>
      <w:bookmarkStart w:id="47" w:name="_Toc10651"/>
      <w:bookmarkStart w:id="48" w:name="_Toc26855"/>
      <w:bookmarkStart w:id="49" w:name="_Toc29800"/>
      <w:bookmarkStart w:id="50" w:name="_Toc20904"/>
      <w:bookmarkStart w:id="51" w:name="_Toc18915"/>
      <w:bookmarkStart w:id="52" w:name="_Toc6451"/>
      <w:bookmarkStart w:id="53" w:name="_Toc21501"/>
      <w:bookmarkStart w:id="54" w:name="_Toc12150"/>
      <w:r>
        <w:rPr>
          <w:rFonts w:hint="eastAsia" w:ascii="仿宋" w:hAnsi="仿宋" w:eastAsia="仿宋" w:cs="仿宋"/>
          <w:b/>
          <w:bCs/>
          <w:sz w:val="32"/>
          <w:szCs w:val="32"/>
        </w:rPr>
        <w:t>三、绩效评价工作情况</w:t>
      </w:r>
      <w:bookmarkEnd w:id="45"/>
      <w:bookmarkEnd w:id="46"/>
      <w:bookmarkEnd w:id="47"/>
      <w:bookmarkEnd w:id="48"/>
      <w:bookmarkEnd w:id="49"/>
      <w:bookmarkEnd w:id="50"/>
      <w:bookmarkEnd w:id="51"/>
      <w:bookmarkEnd w:id="52"/>
      <w:bookmarkEnd w:id="53"/>
      <w:bookmarkEnd w:id="54"/>
    </w:p>
    <w:p>
      <w:pPr>
        <w:spacing w:line="580" w:lineRule="exact"/>
        <w:ind w:firstLine="640" w:firstLineChars="200"/>
        <w:outlineLvl w:val="1"/>
        <w:rPr>
          <w:rFonts w:hint="eastAsia" w:ascii="仿宋" w:hAnsi="仿宋" w:eastAsia="仿宋" w:cs="仿宋"/>
          <w:sz w:val="32"/>
          <w:szCs w:val="32"/>
        </w:rPr>
      </w:pPr>
      <w:bookmarkStart w:id="55" w:name="_Toc25600"/>
      <w:bookmarkStart w:id="56" w:name="_Toc4056"/>
      <w:bookmarkStart w:id="57" w:name="_Toc23608"/>
      <w:bookmarkStart w:id="58" w:name="_Toc8077"/>
      <w:bookmarkStart w:id="59" w:name="_Toc22771"/>
      <w:bookmarkStart w:id="60" w:name="_Toc5105"/>
      <w:bookmarkStart w:id="61" w:name="_Toc14742"/>
      <w:bookmarkStart w:id="62" w:name="_Toc7570"/>
      <w:bookmarkStart w:id="63" w:name="_Toc15730"/>
      <w:bookmarkStart w:id="64" w:name="_Toc17355"/>
      <w:r>
        <w:rPr>
          <w:rFonts w:hint="eastAsia" w:ascii="仿宋" w:hAnsi="仿宋" w:eastAsia="仿宋" w:cs="仿宋"/>
          <w:sz w:val="32"/>
          <w:szCs w:val="32"/>
        </w:rPr>
        <w:t>（一）评价目的</w:t>
      </w:r>
      <w:bookmarkEnd w:id="55"/>
      <w:bookmarkEnd w:id="56"/>
      <w:bookmarkEnd w:id="57"/>
      <w:bookmarkEnd w:id="58"/>
      <w:bookmarkEnd w:id="59"/>
      <w:bookmarkEnd w:id="60"/>
      <w:bookmarkEnd w:id="61"/>
      <w:bookmarkEnd w:id="62"/>
      <w:bookmarkEnd w:id="63"/>
      <w:bookmarkEnd w:id="64"/>
    </w:p>
    <w:p>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通过对实验中学新建项目资金进行绩效评价，了解和掌握项目的决策情况、具体实施情况、采取的工作措施等，提出加项目资金支出管理建议，促进一般债券资金使用绩效。</w:t>
      </w:r>
    </w:p>
    <w:p>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促使项目单位根据绩效评价中发现的问题，认真整改，及时调整和完善单位工作计划和绩效目标并加强项目管理，同时为项目后续资金投入、分配和管理提供决策依据。</w:t>
      </w:r>
    </w:p>
    <w:p>
      <w:pPr>
        <w:pStyle w:val="2"/>
        <w:ind w:firstLine="560"/>
        <w:rPr>
          <w:rFonts w:hint="eastAsia" w:ascii="仿宋" w:hAnsi="仿宋" w:eastAsia="仿宋" w:cs="仿宋"/>
          <w:sz w:val="32"/>
          <w:szCs w:val="32"/>
        </w:rPr>
      </w:pPr>
    </w:p>
    <w:p>
      <w:pPr>
        <w:numPr>
          <w:ilvl w:val="0"/>
          <w:numId w:val="1"/>
        </w:numPr>
        <w:spacing w:line="580" w:lineRule="exact"/>
        <w:ind w:firstLine="640" w:firstLineChars="200"/>
        <w:outlineLvl w:val="1"/>
        <w:rPr>
          <w:rFonts w:hint="eastAsia" w:ascii="仿宋" w:hAnsi="仿宋" w:eastAsia="仿宋" w:cs="仿宋"/>
          <w:sz w:val="32"/>
          <w:szCs w:val="32"/>
        </w:rPr>
      </w:pPr>
      <w:bookmarkStart w:id="65" w:name="_Toc3910"/>
      <w:bookmarkStart w:id="66" w:name="_Toc22727"/>
      <w:bookmarkStart w:id="67" w:name="_Toc25746"/>
      <w:bookmarkStart w:id="68" w:name="_Toc18502"/>
      <w:bookmarkStart w:id="69" w:name="_Toc16121"/>
      <w:bookmarkStart w:id="70" w:name="_Toc30351"/>
      <w:bookmarkStart w:id="71" w:name="_Toc8288"/>
      <w:bookmarkStart w:id="72" w:name="_Toc27346"/>
      <w:bookmarkStart w:id="73" w:name="_Toc27199"/>
      <w:bookmarkStart w:id="74" w:name="_Toc16971"/>
      <w:r>
        <w:rPr>
          <w:rFonts w:hint="eastAsia" w:ascii="仿宋" w:hAnsi="仿宋" w:eastAsia="仿宋" w:cs="仿宋"/>
          <w:sz w:val="32"/>
          <w:szCs w:val="32"/>
        </w:rPr>
        <w:t>评价指标</w:t>
      </w:r>
      <w:bookmarkEnd w:id="65"/>
      <w:bookmarkEnd w:id="66"/>
      <w:bookmarkEnd w:id="67"/>
      <w:bookmarkEnd w:id="68"/>
      <w:bookmarkEnd w:id="69"/>
      <w:bookmarkEnd w:id="70"/>
      <w:bookmarkEnd w:id="71"/>
      <w:bookmarkEnd w:id="72"/>
      <w:bookmarkEnd w:id="73"/>
      <w:bookmarkEnd w:id="74"/>
    </w:p>
    <w:p>
      <w:pPr>
        <w:pStyle w:val="2"/>
        <w:ind w:firstLine="640"/>
        <w:rPr>
          <w:rFonts w:hint="eastAsia" w:ascii="仿宋" w:hAnsi="仿宋" w:eastAsia="仿宋" w:cs="仿宋"/>
          <w:sz w:val="32"/>
          <w:szCs w:val="32"/>
        </w:rPr>
      </w:pPr>
      <w:r>
        <w:rPr>
          <w:rFonts w:hint="eastAsia" w:ascii="仿宋" w:hAnsi="仿宋" w:eastAsia="仿宋" w:cs="仿宋"/>
          <w:color w:val="auto"/>
          <w:sz w:val="32"/>
          <w:szCs w:val="32"/>
        </w:rPr>
        <w:t>设定隆尧县实验中学新建项目重点绩效评价指标表，如下表。</w:t>
      </w:r>
    </w:p>
    <w:p>
      <w:pPr>
        <w:numPr>
          <w:ilvl w:val="0"/>
          <w:numId w:val="1"/>
        </w:numPr>
        <w:spacing w:line="580" w:lineRule="exact"/>
        <w:ind w:firstLine="640" w:firstLineChars="200"/>
        <w:outlineLvl w:val="1"/>
        <w:rPr>
          <w:rFonts w:hint="eastAsia" w:ascii="仿宋" w:hAnsi="仿宋" w:eastAsia="仿宋" w:cs="仿宋"/>
          <w:sz w:val="32"/>
          <w:szCs w:val="32"/>
        </w:rPr>
      </w:pPr>
      <w:bookmarkStart w:id="75" w:name="_Toc12572"/>
      <w:bookmarkStart w:id="76" w:name="_Toc5587"/>
      <w:bookmarkStart w:id="77" w:name="_Toc19068"/>
      <w:bookmarkStart w:id="78" w:name="_Toc32241"/>
      <w:bookmarkStart w:id="79" w:name="_Toc32306"/>
      <w:bookmarkStart w:id="80" w:name="_Toc23270"/>
      <w:bookmarkStart w:id="81" w:name="_Toc25343"/>
      <w:bookmarkStart w:id="82" w:name="_Toc19154"/>
      <w:bookmarkStart w:id="83" w:name="_Toc11684"/>
      <w:bookmarkStart w:id="84" w:name="_Toc5304"/>
      <w:r>
        <w:rPr>
          <w:rFonts w:hint="eastAsia" w:ascii="仿宋" w:hAnsi="仿宋" w:eastAsia="仿宋" w:cs="仿宋"/>
          <w:sz w:val="32"/>
          <w:szCs w:val="32"/>
        </w:rPr>
        <w:t>评价依据</w:t>
      </w:r>
      <w:bookmarkEnd w:id="75"/>
      <w:bookmarkEnd w:id="76"/>
      <w:bookmarkEnd w:id="77"/>
      <w:bookmarkEnd w:id="78"/>
      <w:bookmarkEnd w:id="79"/>
      <w:bookmarkEnd w:id="80"/>
      <w:bookmarkEnd w:id="81"/>
      <w:bookmarkEnd w:id="82"/>
      <w:bookmarkEnd w:id="83"/>
      <w:bookmarkEnd w:id="84"/>
    </w:p>
    <w:p>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1.《中华人民共和国预算法》</w:t>
      </w:r>
    </w:p>
    <w:p>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2.《中华人民共和国会计法》</w:t>
      </w:r>
    </w:p>
    <w:p>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3.《中华人民共和国教育法》</w:t>
      </w:r>
    </w:p>
    <w:p>
      <w:pPr>
        <w:widowControl/>
        <w:spacing w:line="580" w:lineRule="exact"/>
        <w:ind w:firstLine="640" w:firstLineChars="200"/>
        <w:rPr>
          <w:rFonts w:hint="eastAsia" w:ascii="仿宋" w:hAnsi="仿宋" w:eastAsia="仿宋" w:cs="仿宋"/>
          <w:kern w:val="0"/>
          <w:sz w:val="32"/>
          <w:szCs w:val="32"/>
        </w:rPr>
      </w:pPr>
      <w:r>
        <w:rPr>
          <w:rFonts w:hint="eastAsia" w:ascii="仿宋" w:hAnsi="仿宋" w:eastAsia="仿宋" w:cs="仿宋"/>
          <w:color w:val="000000"/>
          <w:kern w:val="0"/>
          <w:sz w:val="32"/>
          <w:szCs w:val="32"/>
        </w:rPr>
        <w:t>4.《财政检查工作办法》（财政部令〔2006〕32号）</w:t>
      </w:r>
    </w:p>
    <w:p>
      <w:pPr>
        <w:spacing w:line="580" w:lineRule="exact"/>
        <w:ind w:firstLine="640" w:firstLineChars="200"/>
        <w:rPr>
          <w:rFonts w:hint="eastAsia" w:ascii="仿宋" w:hAnsi="仿宋" w:eastAsia="仿宋" w:cs="仿宋"/>
          <w:sz w:val="32"/>
          <w:szCs w:val="32"/>
          <w:lang w:val="zh-CN"/>
        </w:rPr>
      </w:pPr>
      <w:r>
        <w:rPr>
          <w:rFonts w:hint="eastAsia" w:ascii="仿宋" w:hAnsi="仿宋" w:eastAsia="仿宋" w:cs="仿宋"/>
          <w:sz w:val="32"/>
          <w:szCs w:val="32"/>
        </w:rPr>
        <w:t>5.</w:t>
      </w:r>
      <w:r>
        <w:rPr>
          <w:rFonts w:hint="eastAsia" w:ascii="仿宋" w:hAnsi="仿宋" w:eastAsia="仿宋" w:cs="仿宋"/>
          <w:sz w:val="32"/>
          <w:szCs w:val="32"/>
          <w:lang w:val="zh-CN"/>
        </w:rPr>
        <w:t>《</w:t>
      </w:r>
      <w:r>
        <w:rPr>
          <w:rFonts w:hint="eastAsia" w:ascii="仿宋" w:hAnsi="仿宋" w:eastAsia="仿宋" w:cs="仿宋"/>
          <w:sz w:val="32"/>
          <w:szCs w:val="32"/>
        </w:rPr>
        <w:t>财政部关于印发&lt;项目支出绩效评价管理办法&gt;的通知</w:t>
      </w:r>
      <w:r>
        <w:rPr>
          <w:rFonts w:hint="eastAsia" w:ascii="仿宋" w:hAnsi="仿宋" w:eastAsia="仿宋" w:cs="仿宋"/>
          <w:sz w:val="32"/>
          <w:szCs w:val="32"/>
          <w:lang w:val="zh-CN"/>
        </w:rPr>
        <w:t>》（</w:t>
      </w:r>
      <w:r>
        <w:rPr>
          <w:rFonts w:hint="eastAsia" w:ascii="仿宋" w:hAnsi="仿宋" w:eastAsia="仿宋" w:cs="仿宋"/>
          <w:sz w:val="32"/>
          <w:szCs w:val="32"/>
        </w:rPr>
        <w:t>财预</w:t>
      </w:r>
      <w:r>
        <w:rPr>
          <w:rFonts w:hint="eastAsia" w:ascii="仿宋" w:hAnsi="仿宋" w:eastAsia="仿宋" w:cs="仿宋"/>
          <w:sz w:val="32"/>
          <w:szCs w:val="32"/>
          <w:lang w:val="zh-CN"/>
        </w:rPr>
        <w:t>〔20</w:t>
      </w:r>
      <w:r>
        <w:rPr>
          <w:rFonts w:hint="eastAsia" w:ascii="仿宋" w:hAnsi="仿宋" w:eastAsia="仿宋" w:cs="仿宋"/>
          <w:sz w:val="32"/>
          <w:szCs w:val="32"/>
        </w:rPr>
        <w:t>20</w:t>
      </w:r>
      <w:r>
        <w:rPr>
          <w:rFonts w:hint="eastAsia" w:ascii="仿宋" w:hAnsi="仿宋" w:eastAsia="仿宋" w:cs="仿宋"/>
          <w:sz w:val="32"/>
          <w:szCs w:val="32"/>
          <w:lang w:val="zh-CN"/>
        </w:rPr>
        <w:t>〕</w:t>
      </w:r>
      <w:r>
        <w:rPr>
          <w:rFonts w:hint="eastAsia" w:ascii="仿宋" w:hAnsi="仿宋" w:eastAsia="仿宋" w:cs="仿宋"/>
          <w:sz w:val="32"/>
          <w:szCs w:val="32"/>
        </w:rPr>
        <w:t>10</w:t>
      </w:r>
      <w:r>
        <w:rPr>
          <w:rFonts w:hint="eastAsia" w:ascii="仿宋" w:hAnsi="仿宋" w:eastAsia="仿宋" w:cs="仿宋"/>
          <w:sz w:val="32"/>
          <w:szCs w:val="32"/>
          <w:lang w:val="zh-CN"/>
        </w:rPr>
        <w:t>号）</w:t>
      </w:r>
    </w:p>
    <w:p>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kern w:val="0"/>
          <w:sz w:val="32"/>
          <w:szCs w:val="32"/>
        </w:rPr>
        <w:t>6.《中共隆尧县委 隆尧县人民政府关于全面落实预算绩效管理的实施意见》（隆</w:t>
      </w:r>
      <w:r>
        <w:rPr>
          <w:rFonts w:hint="eastAsia" w:ascii="仿宋" w:hAnsi="仿宋" w:eastAsia="仿宋" w:cs="仿宋"/>
          <w:color w:val="000000"/>
          <w:sz w:val="32"/>
          <w:szCs w:val="32"/>
          <w:lang w:val="zh-CN"/>
        </w:rPr>
        <w:t>发</w:t>
      </w:r>
      <w:r>
        <w:rPr>
          <w:rFonts w:hint="eastAsia" w:ascii="仿宋" w:hAnsi="仿宋" w:eastAsia="仿宋" w:cs="仿宋"/>
          <w:sz w:val="32"/>
          <w:szCs w:val="32"/>
          <w:lang w:val="zh-CN"/>
        </w:rPr>
        <w:t>〔2019〕</w:t>
      </w:r>
      <w:r>
        <w:rPr>
          <w:rFonts w:hint="eastAsia" w:ascii="仿宋" w:hAnsi="仿宋" w:eastAsia="仿宋" w:cs="仿宋"/>
          <w:color w:val="000000"/>
          <w:sz w:val="32"/>
          <w:szCs w:val="32"/>
          <w:lang w:val="zh-CN"/>
        </w:rPr>
        <w:t>15号）</w:t>
      </w:r>
    </w:p>
    <w:p>
      <w:pPr>
        <w:widowControl/>
        <w:spacing w:line="580" w:lineRule="exact"/>
        <w:ind w:firstLine="640" w:firstLineChars="200"/>
        <w:rPr>
          <w:rFonts w:hint="eastAsia" w:ascii="仿宋" w:hAnsi="仿宋" w:eastAsia="仿宋" w:cs="仿宋"/>
          <w:sz w:val="32"/>
          <w:szCs w:val="32"/>
        </w:rPr>
      </w:pPr>
      <w:r>
        <w:rPr>
          <w:rFonts w:hint="eastAsia" w:ascii="仿宋" w:hAnsi="仿宋" w:eastAsia="仿宋" w:cs="仿宋"/>
          <w:color w:val="000000"/>
          <w:sz w:val="32"/>
          <w:szCs w:val="32"/>
        </w:rPr>
        <w:t>7.</w:t>
      </w:r>
      <w:r>
        <w:rPr>
          <w:rFonts w:hint="eastAsia" w:ascii="仿宋" w:hAnsi="仿宋" w:eastAsia="仿宋" w:cs="仿宋"/>
          <w:color w:val="000000"/>
          <w:sz w:val="32"/>
          <w:szCs w:val="32"/>
          <w:lang w:val="zh-CN"/>
        </w:rPr>
        <w:t>《隆尧县县级预算绩效重点评价管理办法》（隆财</w:t>
      </w:r>
      <w:r>
        <w:rPr>
          <w:rFonts w:hint="eastAsia" w:ascii="仿宋" w:hAnsi="仿宋" w:eastAsia="仿宋" w:cs="仿宋"/>
          <w:sz w:val="32"/>
          <w:szCs w:val="32"/>
          <w:lang w:val="zh-CN"/>
        </w:rPr>
        <w:t>〔2020〕</w:t>
      </w:r>
      <w:r>
        <w:rPr>
          <w:rFonts w:hint="eastAsia" w:ascii="仿宋" w:hAnsi="仿宋" w:eastAsia="仿宋" w:cs="仿宋"/>
          <w:color w:val="000000"/>
          <w:sz w:val="32"/>
          <w:szCs w:val="32"/>
          <w:lang w:val="zh-CN"/>
        </w:rPr>
        <w:t>143号）</w:t>
      </w:r>
    </w:p>
    <w:p>
      <w:pPr>
        <w:spacing w:line="580" w:lineRule="exact"/>
        <w:ind w:firstLine="640" w:firstLineChars="200"/>
        <w:outlineLvl w:val="1"/>
        <w:rPr>
          <w:rFonts w:hint="eastAsia" w:ascii="仿宋" w:hAnsi="仿宋" w:eastAsia="仿宋" w:cs="仿宋"/>
          <w:sz w:val="32"/>
          <w:szCs w:val="32"/>
        </w:rPr>
      </w:pPr>
      <w:bookmarkStart w:id="85" w:name="_Toc12940"/>
      <w:bookmarkStart w:id="86" w:name="_Toc7393"/>
      <w:bookmarkStart w:id="87" w:name="_Toc13179"/>
      <w:bookmarkStart w:id="88" w:name="_Toc9401"/>
      <w:bookmarkStart w:id="89" w:name="_Toc22038"/>
      <w:bookmarkStart w:id="90" w:name="_Toc24302"/>
      <w:bookmarkStart w:id="91" w:name="_Toc26780"/>
      <w:bookmarkStart w:id="92" w:name="_Toc11243"/>
      <w:bookmarkStart w:id="93" w:name="_Toc1868"/>
      <w:bookmarkStart w:id="94" w:name="_Toc6747"/>
      <w:r>
        <w:rPr>
          <w:rFonts w:hint="eastAsia" w:ascii="仿宋" w:hAnsi="仿宋" w:eastAsia="仿宋" w:cs="仿宋"/>
          <w:sz w:val="32"/>
          <w:szCs w:val="32"/>
        </w:rPr>
        <w:t>（四）评价的主要方法及等级设定</w:t>
      </w:r>
      <w:bookmarkEnd w:id="85"/>
      <w:bookmarkEnd w:id="86"/>
      <w:bookmarkEnd w:id="87"/>
      <w:bookmarkEnd w:id="88"/>
      <w:bookmarkEnd w:id="89"/>
      <w:bookmarkEnd w:id="90"/>
      <w:bookmarkEnd w:id="91"/>
      <w:bookmarkEnd w:id="92"/>
      <w:bookmarkEnd w:id="93"/>
      <w:bookmarkEnd w:id="94"/>
    </w:p>
    <w:p>
      <w:pPr>
        <w:spacing w:line="580" w:lineRule="exact"/>
        <w:ind w:firstLine="640" w:firstLineChars="200"/>
        <w:rPr>
          <w:rFonts w:hint="eastAsia" w:ascii="仿宋" w:hAnsi="仿宋" w:eastAsia="仿宋" w:cs="仿宋"/>
          <w:kern w:val="0"/>
          <w:sz w:val="32"/>
          <w:szCs w:val="32"/>
          <w:shd w:val="clear" w:color="auto" w:fill="FFFFFF"/>
        </w:rPr>
      </w:pPr>
      <w:r>
        <w:rPr>
          <w:rStyle w:val="9"/>
          <w:rFonts w:hint="eastAsia" w:ascii="仿宋" w:hAnsi="仿宋" w:eastAsia="仿宋" w:cs="仿宋"/>
          <w:b w:val="0"/>
          <w:bCs/>
          <w:sz w:val="32"/>
          <w:szCs w:val="32"/>
        </w:rPr>
        <w:t>根据相关</w:t>
      </w:r>
      <w:r>
        <w:rPr>
          <w:rFonts w:hint="eastAsia" w:ascii="仿宋" w:hAnsi="仿宋" w:eastAsia="仿宋" w:cs="仿宋"/>
          <w:sz w:val="32"/>
          <w:szCs w:val="32"/>
          <w:shd w:val="clear" w:color="auto" w:fill="FFFFFF"/>
        </w:rPr>
        <w:t>要求，评价工作进行</w:t>
      </w:r>
      <w:r>
        <w:rPr>
          <w:rFonts w:hint="eastAsia" w:ascii="仿宋" w:hAnsi="仿宋" w:eastAsia="仿宋" w:cs="仿宋"/>
          <w:kern w:val="0"/>
          <w:sz w:val="32"/>
          <w:szCs w:val="32"/>
        </w:rPr>
        <w:t>现场评价；数字资料与纸质资料评价相结合；会计资料评价与工程技术资料评价相结合</w:t>
      </w:r>
      <w:r>
        <w:rPr>
          <w:rFonts w:hint="eastAsia" w:ascii="仿宋" w:hAnsi="仿宋" w:eastAsia="仿宋" w:cs="仿宋"/>
          <w:kern w:val="0"/>
          <w:sz w:val="32"/>
          <w:szCs w:val="32"/>
          <w:shd w:val="clear" w:color="auto" w:fill="FFFFFF"/>
        </w:rPr>
        <w:t>。</w:t>
      </w:r>
    </w:p>
    <w:p>
      <w:pPr>
        <w:tabs>
          <w:tab w:val="left" w:pos="420"/>
        </w:tabs>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1.在听取项目总承包单位和学校资金领导小组各成员对项目实施情况汇报的基础上，核实相关资料的真实性、合法性、合理性，对项目资料中反映的或分析中发现的问题进行重点核查。</w:t>
      </w:r>
    </w:p>
    <w:p>
      <w:pPr>
        <w:tabs>
          <w:tab w:val="left" w:pos="420"/>
        </w:tabs>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2.实地检查的形式：采取座谈、现场核实、走访、调查问卷、查阅资料等方式。</w:t>
      </w:r>
    </w:p>
    <w:p>
      <w:pPr>
        <w:pStyle w:val="2"/>
        <w:ind w:firstLine="640"/>
        <w:rPr>
          <w:rFonts w:hint="eastAsia" w:ascii="仿宋" w:hAnsi="仿宋" w:eastAsia="仿宋" w:cs="仿宋"/>
          <w:color w:val="auto"/>
          <w:sz w:val="32"/>
          <w:szCs w:val="32"/>
        </w:rPr>
      </w:pPr>
      <w:r>
        <w:rPr>
          <w:rFonts w:hint="eastAsia" w:ascii="仿宋" w:hAnsi="仿宋" w:eastAsia="仿宋" w:cs="仿宋"/>
          <w:color w:val="auto"/>
          <w:sz w:val="32"/>
          <w:szCs w:val="32"/>
        </w:rPr>
        <w:t>3.综合评价。评价组在全面分析整理被评价项目的相关数据资料的基础上，总结评价情况，对照评价指标和标准，进行综合评议与打分，得出评价结论，撰写评价报告。</w:t>
      </w:r>
    </w:p>
    <w:p>
      <w:pPr>
        <w:spacing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4.评价等级设置为：优秀95分以上（含95分）、良好80分-94分（含80分）、合格60分-79分（含60分）、不合格（60分以下）四个等级。</w:t>
      </w:r>
    </w:p>
    <w:p>
      <w:pPr>
        <w:pStyle w:val="2"/>
        <w:ind w:firstLine="640"/>
        <w:rPr>
          <w:rFonts w:hint="eastAsia" w:ascii="仿宋" w:hAnsi="仿宋" w:eastAsia="仿宋" w:cs="仿宋"/>
          <w:sz w:val="32"/>
          <w:szCs w:val="32"/>
        </w:rPr>
      </w:pPr>
      <w:r>
        <w:rPr>
          <w:rFonts w:hint="eastAsia" w:ascii="仿宋" w:hAnsi="仿宋" w:eastAsia="仿宋" w:cs="仿宋"/>
          <w:color w:val="auto"/>
          <w:sz w:val="32"/>
          <w:szCs w:val="32"/>
        </w:rPr>
        <w:t>《隆尧县实验中学新建项目》绩效自评为9</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分，自评结果为优。</w:t>
      </w:r>
    </w:p>
    <w:p>
      <w:pPr>
        <w:spacing w:line="580" w:lineRule="exact"/>
        <w:ind w:firstLine="643" w:firstLineChars="200"/>
        <w:outlineLvl w:val="0"/>
        <w:rPr>
          <w:rFonts w:hint="eastAsia" w:ascii="仿宋" w:hAnsi="仿宋" w:eastAsia="仿宋" w:cs="仿宋"/>
          <w:b/>
          <w:bCs/>
          <w:sz w:val="32"/>
          <w:szCs w:val="32"/>
        </w:rPr>
      </w:pPr>
      <w:bookmarkStart w:id="95" w:name="_Toc21014"/>
      <w:bookmarkStart w:id="96" w:name="_Toc5623"/>
      <w:bookmarkStart w:id="97" w:name="_Toc20748"/>
      <w:bookmarkStart w:id="98" w:name="_Toc6105"/>
      <w:bookmarkStart w:id="99" w:name="_Toc18842"/>
      <w:bookmarkStart w:id="100" w:name="_Toc28621"/>
      <w:bookmarkStart w:id="101" w:name="_Toc22222"/>
      <w:bookmarkStart w:id="102" w:name="_Toc30508"/>
      <w:bookmarkStart w:id="103" w:name="_Toc10113"/>
      <w:bookmarkStart w:id="104" w:name="_Toc17025"/>
      <w:r>
        <w:rPr>
          <w:rFonts w:hint="eastAsia" w:ascii="仿宋" w:hAnsi="仿宋" w:eastAsia="仿宋" w:cs="仿宋"/>
          <w:b/>
          <w:bCs/>
          <w:sz w:val="32"/>
          <w:szCs w:val="32"/>
        </w:rPr>
        <w:t>四、绩效评价指标体系及得分情况</w:t>
      </w:r>
      <w:bookmarkEnd w:id="95"/>
      <w:bookmarkEnd w:id="96"/>
      <w:bookmarkEnd w:id="97"/>
      <w:bookmarkEnd w:id="98"/>
      <w:bookmarkEnd w:id="99"/>
      <w:bookmarkEnd w:id="100"/>
      <w:bookmarkEnd w:id="101"/>
      <w:bookmarkEnd w:id="102"/>
      <w:bookmarkEnd w:id="103"/>
      <w:bookmarkEnd w:id="104"/>
    </w:p>
    <w:p>
      <w:pPr>
        <w:ind w:firstLine="964" w:firstLineChars="300"/>
        <w:rPr>
          <w:rFonts w:hint="eastAsia" w:ascii="仿宋" w:hAnsi="仿宋" w:eastAsia="仿宋" w:cs="仿宋"/>
          <w:sz w:val="32"/>
          <w:szCs w:val="32"/>
        </w:rPr>
      </w:pPr>
      <w:r>
        <w:rPr>
          <w:rFonts w:hint="eastAsia" w:ascii="仿宋" w:hAnsi="仿宋" w:eastAsia="仿宋" w:cs="仿宋"/>
          <w:b/>
          <w:color w:val="000000"/>
          <w:kern w:val="0"/>
          <w:sz w:val="32"/>
          <w:szCs w:val="32"/>
        </w:rPr>
        <w:t>隆尧县实验中学新建项目重点绩效评价指标表</w:t>
      </w:r>
    </w:p>
    <w:tbl>
      <w:tblPr>
        <w:tblStyle w:val="7"/>
        <w:tblW w:w="9098" w:type="dxa"/>
        <w:tblInd w:w="-130" w:type="dxa"/>
        <w:tblLayout w:type="fixed"/>
        <w:tblCellMar>
          <w:top w:w="0" w:type="dxa"/>
          <w:left w:w="0" w:type="dxa"/>
          <w:bottom w:w="0" w:type="dxa"/>
          <w:right w:w="0" w:type="dxa"/>
        </w:tblCellMar>
      </w:tblPr>
      <w:tblGrid>
        <w:gridCol w:w="1276"/>
        <w:gridCol w:w="491"/>
        <w:gridCol w:w="2498"/>
        <w:gridCol w:w="426"/>
        <w:gridCol w:w="3696"/>
        <w:gridCol w:w="711"/>
      </w:tblGrid>
      <w:tr>
        <w:tblPrEx>
          <w:tblCellMar>
            <w:top w:w="0" w:type="dxa"/>
            <w:left w:w="0" w:type="dxa"/>
            <w:bottom w:w="0" w:type="dxa"/>
            <w:right w:w="0" w:type="dxa"/>
          </w:tblCellMar>
        </w:tblPrEx>
        <w:trPr>
          <w:trHeight w:val="590" w:hRule="atLeast"/>
        </w:trPr>
        <w:tc>
          <w:tcPr>
            <w:tcW w:w="1276" w:type="dxa"/>
            <w:tcBorders>
              <w:top w:val="single" w:color="000000" w:sz="4" w:space="0"/>
              <w:left w:val="single" w:color="000000" w:sz="4" w:space="0"/>
              <w:bottom w:val="single" w:color="000000" w:sz="4" w:space="0"/>
              <w:right w:val="nil"/>
            </w:tcBorders>
            <w:noWrap/>
            <w:tcMar>
              <w:top w:w="12" w:type="dxa"/>
              <w:left w:w="12" w:type="dxa"/>
              <w:right w:w="12" w:type="dxa"/>
            </w:tcMar>
            <w:vAlign w:val="center"/>
          </w:tcPr>
          <w:p>
            <w:pPr>
              <w:widowControl/>
              <w:jc w:val="center"/>
              <w:textAlignment w:val="center"/>
              <w:rPr>
                <w:rFonts w:hint="eastAsia" w:ascii="仿宋" w:hAnsi="仿宋" w:eastAsia="仿宋" w:cs="仿宋"/>
                <w:b/>
                <w:color w:val="000000"/>
                <w:sz w:val="24"/>
              </w:rPr>
            </w:pPr>
            <w:r>
              <w:rPr>
                <w:rFonts w:hint="eastAsia" w:ascii="仿宋" w:hAnsi="仿宋" w:eastAsia="仿宋" w:cs="仿宋"/>
                <w:b/>
                <w:color w:val="000000"/>
                <w:kern w:val="0"/>
                <w:sz w:val="24"/>
              </w:rPr>
              <w:t xml:space="preserve">一级指标  </w:t>
            </w:r>
          </w:p>
        </w:tc>
        <w:tc>
          <w:tcPr>
            <w:tcW w:w="49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b/>
                <w:color w:val="000000"/>
                <w:sz w:val="24"/>
              </w:rPr>
            </w:pPr>
            <w:r>
              <w:rPr>
                <w:rFonts w:hint="eastAsia" w:ascii="仿宋" w:hAnsi="仿宋" w:eastAsia="仿宋" w:cs="仿宋"/>
                <w:b/>
                <w:color w:val="000000"/>
                <w:kern w:val="0"/>
                <w:sz w:val="24"/>
              </w:rPr>
              <w:t>二级指标</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b/>
                <w:color w:val="000000"/>
                <w:sz w:val="24"/>
              </w:rPr>
            </w:pPr>
            <w:r>
              <w:rPr>
                <w:rFonts w:hint="eastAsia" w:ascii="仿宋" w:hAnsi="仿宋" w:eastAsia="仿宋" w:cs="仿宋"/>
                <w:b/>
                <w:color w:val="000000"/>
                <w:kern w:val="0"/>
                <w:sz w:val="24"/>
              </w:rPr>
              <w:t xml:space="preserve"> 三级指标</w:t>
            </w:r>
          </w:p>
        </w:tc>
        <w:tc>
          <w:tcPr>
            <w:tcW w:w="426" w:type="dxa"/>
            <w:vMerge w:val="restart"/>
            <w:tcBorders>
              <w:top w:val="single" w:color="000000" w:sz="4" w:space="0"/>
              <w:left w:val="nil"/>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b/>
                <w:color w:val="000000"/>
                <w:sz w:val="24"/>
              </w:rPr>
            </w:pPr>
            <w:r>
              <w:rPr>
                <w:rFonts w:hint="eastAsia" w:ascii="仿宋" w:hAnsi="仿宋" w:eastAsia="仿宋" w:cs="仿宋"/>
                <w:b/>
                <w:color w:val="000000"/>
                <w:kern w:val="0"/>
                <w:sz w:val="24"/>
              </w:rPr>
              <w:t>分值</w:t>
            </w:r>
          </w:p>
        </w:tc>
        <w:tc>
          <w:tcPr>
            <w:tcW w:w="3696"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b/>
                <w:color w:val="000000"/>
                <w:sz w:val="24"/>
              </w:rPr>
            </w:pPr>
            <w:r>
              <w:rPr>
                <w:rFonts w:hint="eastAsia" w:ascii="仿宋" w:hAnsi="仿宋" w:eastAsia="仿宋" w:cs="仿宋"/>
                <w:b/>
                <w:color w:val="000000"/>
                <w:kern w:val="0"/>
                <w:sz w:val="24"/>
              </w:rPr>
              <w:t>指标说明</w:t>
            </w:r>
          </w:p>
        </w:tc>
        <w:tc>
          <w:tcPr>
            <w:tcW w:w="711"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b/>
                <w:color w:val="000000"/>
                <w:sz w:val="24"/>
              </w:rPr>
            </w:pPr>
            <w:r>
              <w:rPr>
                <w:rFonts w:hint="eastAsia" w:ascii="仿宋" w:hAnsi="仿宋" w:eastAsia="仿宋" w:cs="仿宋"/>
                <w:b/>
                <w:color w:val="000000"/>
                <w:kern w:val="0"/>
                <w:sz w:val="24"/>
              </w:rPr>
              <w:t>得分</w:t>
            </w:r>
          </w:p>
        </w:tc>
      </w:tr>
      <w:tr>
        <w:tblPrEx>
          <w:tblCellMar>
            <w:top w:w="0" w:type="dxa"/>
            <w:left w:w="0" w:type="dxa"/>
            <w:bottom w:w="0" w:type="dxa"/>
            <w:right w:w="0" w:type="dxa"/>
          </w:tblCellMar>
        </w:tblPrEx>
        <w:trPr>
          <w:trHeight w:val="348" w:hRule="atLeast"/>
        </w:trPr>
        <w:tc>
          <w:tcPr>
            <w:tcW w:w="12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b/>
                <w:color w:val="000000"/>
                <w:sz w:val="24"/>
              </w:rPr>
            </w:pPr>
            <w:r>
              <w:rPr>
                <w:rFonts w:hint="eastAsia" w:ascii="仿宋" w:hAnsi="仿宋" w:eastAsia="仿宋" w:cs="仿宋"/>
                <w:b/>
                <w:color w:val="000000"/>
                <w:kern w:val="0"/>
                <w:sz w:val="24"/>
              </w:rPr>
              <w:t>名称</w:t>
            </w:r>
          </w:p>
        </w:tc>
        <w:tc>
          <w:tcPr>
            <w:tcW w:w="49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b/>
                <w:color w:val="000000"/>
                <w:sz w:val="24"/>
              </w:rPr>
            </w:pPr>
            <w:r>
              <w:rPr>
                <w:rFonts w:hint="eastAsia" w:ascii="仿宋" w:hAnsi="仿宋" w:eastAsia="仿宋" w:cs="仿宋"/>
                <w:b/>
                <w:color w:val="000000"/>
                <w:kern w:val="0"/>
                <w:sz w:val="24"/>
              </w:rPr>
              <w:t>名称</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b/>
                <w:color w:val="000000"/>
                <w:sz w:val="24"/>
              </w:rPr>
            </w:pPr>
            <w:r>
              <w:rPr>
                <w:rFonts w:hint="eastAsia" w:ascii="仿宋" w:hAnsi="仿宋" w:eastAsia="仿宋" w:cs="仿宋"/>
                <w:b/>
                <w:color w:val="000000"/>
                <w:kern w:val="0"/>
                <w:sz w:val="24"/>
              </w:rPr>
              <w:t>名称</w:t>
            </w:r>
          </w:p>
        </w:tc>
        <w:tc>
          <w:tcPr>
            <w:tcW w:w="426" w:type="dxa"/>
            <w:vMerge w:val="continue"/>
            <w:tcBorders>
              <w:top w:val="single" w:color="000000" w:sz="4" w:space="0"/>
              <w:left w:val="nil"/>
              <w:bottom w:val="single" w:color="000000" w:sz="4" w:space="0"/>
              <w:right w:val="single" w:color="000000" w:sz="4" w:space="0"/>
            </w:tcBorders>
            <w:noWrap/>
            <w:tcMar>
              <w:top w:w="12" w:type="dxa"/>
              <w:left w:w="12" w:type="dxa"/>
              <w:right w:w="12" w:type="dxa"/>
            </w:tcMar>
            <w:vAlign w:val="center"/>
          </w:tcPr>
          <w:p>
            <w:pPr>
              <w:jc w:val="center"/>
              <w:rPr>
                <w:rFonts w:hint="eastAsia" w:ascii="仿宋" w:hAnsi="仿宋" w:eastAsia="仿宋" w:cs="仿宋"/>
                <w:b/>
                <w:color w:val="000000"/>
                <w:sz w:val="24"/>
              </w:rPr>
            </w:pPr>
          </w:p>
        </w:tc>
        <w:tc>
          <w:tcPr>
            <w:tcW w:w="3696"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hint="eastAsia" w:ascii="仿宋" w:hAnsi="仿宋" w:eastAsia="仿宋" w:cs="仿宋"/>
                <w:b/>
                <w:color w:val="000000"/>
                <w:sz w:val="24"/>
              </w:rPr>
            </w:pPr>
          </w:p>
        </w:tc>
        <w:tc>
          <w:tcPr>
            <w:tcW w:w="711"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hint="eastAsia" w:ascii="仿宋" w:hAnsi="仿宋" w:eastAsia="仿宋" w:cs="仿宋"/>
                <w:b/>
                <w:color w:val="000000"/>
                <w:sz w:val="24"/>
              </w:rPr>
            </w:pPr>
          </w:p>
        </w:tc>
      </w:tr>
      <w:tr>
        <w:tblPrEx>
          <w:tblCellMar>
            <w:top w:w="0" w:type="dxa"/>
            <w:left w:w="0" w:type="dxa"/>
            <w:bottom w:w="0" w:type="dxa"/>
            <w:right w:w="0" w:type="dxa"/>
          </w:tblCellMar>
        </w:tblPrEx>
        <w:trPr>
          <w:trHeight w:val="666" w:hRule="atLeast"/>
        </w:trPr>
        <w:tc>
          <w:tcPr>
            <w:tcW w:w="1276"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rPr>
              <w:t>“工作活动”设置（30分）</w:t>
            </w:r>
          </w:p>
        </w:tc>
        <w:tc>
          <w:tcPr>
            <w:tcW w:w="491"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rPr>
              <w:t>项目立项情况</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rPr>
              <w:t>是否符合政府经济和社会总体发展规划</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7</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rPr>
              <w:t>有政府相关政策、规划、任务等文件得</w:t>
            </w:r>
            <w:r>
              <w:rPr>
                <w:rFonts w:hint="eastAsia" w:ascii="仿宋" w:hAnsi="仿宋" w:eastAsia="仿宋" w:cs="仿宋"/>
                <w:color w:val="000000"/>
                <w:kern w:val="0"/>
                <w:sz w:val="22"/>
                <w:szCs w:val="22"/>
                <w:lang w:val="en-US" w:eastAsia="zh-CN"/>
              </w:rPr>
              <w:t>7</w:t>
            </w:r>
            <w:r>
              <w:rPr>
                <w:rFonts w:hint="eastAsia" w:ascii="仿宋" w:hAnsi="仿宋" w:eastAsia="仿宋" w:cs="仿宋"/>
                <w:color w:val="000000"/>
                <w:kern w:val="0"/>
                <w:sz w:val="22"/>
                <w:szCs w:val="22"/>
              </w:rPr>
              <w:t>分；无不得分。</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lang w:eastAsia="zh-CN"/>
              </w:rPr>
            </w:pPr>
            <w:r>
              <w:rPr>
                <w:rFonts w:hint="eastAsia" w:ascii="仿宋" w:hAnsi="仿宋" w:eastAsia="仿宋" w:cs="仿宋"/>
                <w:color w:val="000000"/>
                <w:sz w:val="22"/>
                <w:szCs w:val="22"/>
                <w:lang w:val="en-US" w:eastAsia="zh-CN"/>
              </w:rPr>
              <w:t>7</w:t>
            </w:r>
          </w:p>
        </w:tc>
      </w:tr>
      <w:tr>
        <w:tblPrEx>
          <w:tblCellMar>
            <w:top w:w="0" w:type="dxa"/>
            <w:left w:w="0" w:type="dxa"/>
            <w:bottom w:w="0" w:type="dxa"/>
            <w:right w:w="0" w:type="dxa"/>
          </w:tblCellMar>
        </w:tblPrEx>
        <w:trPr>
          <w:trHeight w:val="1174" w:hRule="atLeast"/>
        </w:trPr>
        <w:tc>
          <w:tcPr>
            <w:tcW w:w="1276"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hint="eastAsia" w:ascii="仿宋" w:hAnsi="仿宋" w:eastAsia="仿宋" w:cs="仿宋"/>
                <w:color w:val="000000"/>
                <w:sz w:val="22"/>
                <w:szCs w:val="22"/>
              </w:rPr>
            </w:pPr>
          </w:p>
        </w:tc>
        <w:tc>
          <w:tcPr>
            <w:tcW w:w="491"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hint="eastAsia" w:ascii="仿宋" w:hAnsi="仿宋" w:eastAsia="仿宋" w:cs="仿宋"/>
                <w:color w:val="000000"/>
                <w:sz w:val="22"/>
                <w:szCs w:val="22"/>
              </w:rPr>
            </w:pP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rPr>
              <w:t>项目活动与职责相关性</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default"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7.5</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rPr>
              <w:t>工作活动与部门职责、工作规划和重点工作相关，工作活动项下确定的预算项目合理，与工作活动密切相关，工作活动和项目预算安排合理，得</w:t>
            </w:r>
            <w:r>
              <w:rPr>
                <w:rFonts w:hint="eastAsia" w:ascii="仿宋" w:hAnsi="仿宋" w:eastAsia="仿宋" w:cs="仿宋"/>
                <w:color w:val="000000"/>
                <w:kern w:val="0"/>
                <w:sz w:val="22"/>
                <w:szCs w:val="22"/>
                <w:lang w:val="en-US" w:eastAsia="zh-CN"/>
              </w:rPr>
              <w:t>7.5</w:t>
            </w:r>
            <w:r>
              <w:rPr>
                <w:rFonts w:hint="eastAsia" w:ascii="仿宋" w:hAnsi="仿宋" w:eastAsia="仿宋" w:cs="仿宋"/>
                <w:color w:val="000000"/>
                <w:kern w:val="0"/>
                <w:sz w:val="22"/>
                <w:szCs w:val="22"/>
              </w:rPr>
              <w:t>分；否则不得分。</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sz w:val="22"/>
                <w:szCs w:val="22"/>
              </w:rPr>
              <w:t>7.5</w:t>
            </w:r>
          </w:p>
        </w:tc>
      </w:tr>
      <w:tr>
        <w:tblPrEx>
          <w:tblCellMar>
            <w:top w:w="0" w:type="dxa"/>
            <w:left w:w="0" w:type="dxa"/>
            <w:bottom w:w="0" w:type="dxa"/>
            <w:right w:w="0" w:type="dxa"/>
          </w:tblCellMar>
        </w:tblPrEx>
        <w:trPr>
          <w:trHeight w:val="1472" w:hRule="atLeast"/>
        </w:trPr>
        <w:tc>
          <w:tcPr>
            <w:tcW w:w="1276"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hint="eastAsia" w:ascii="仿宋" w:hAnsi="仿宋" w:eastAsia="仿宋" w:cs="仿宋"/>
                <w:color w:val="000000"/>
                <w:sz w:val="22"/>
                <w:szCs w:val="22"/>
              </w:rPr>
            </w:pPr>
          </w:p>
        </w:tc>
        <w:tc>
          <w:tcPr>
            <w:tcW w:w="491"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hint="eastAsia" w:ascii="仿宋" w:hAnsi="仿宋" w:eastAsia="仿宋" w:cs="仿宋"/>
                <w:color w:val="000000"/>
                <w:sz w:val="22"/>
                <w:szCs w:val="22"/>
              </w:rPr>
            </w:pP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kern w:val="0"/>
                <w:sz w:val="22"/>
                <w:szCs w:val="22"/>
              </w:rPr>
            </w:pPr>
            <w:r>
              <w:rPr>
                <w:rFonts w:hint="eastAsia" w:ascii="仿宋_GB2312" w:hAnsi="仿宋_GB2312" w:eastAsia="仿宋_GB2312" w:cs="仿宋_GB2312"/>
                <w:color w:val="000000"/>
                <w:kern w:val="0"/>
                <w:sz w:val="22"/>
                <w:szCs w:val="22"/>
              </w:rPr>
              <w:t>项目设立绩效目标合理性</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8</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textAlignment w:val="center"/>
              <w:rPr>
                <w:rFonts w:hint="eastAsia" w:ascii="仿宋" w:hAnsi="仿宋" w:eastAsia="仿宋" w:cs="仿宋"/>
                <w:color w:val="000000"/>
                <w:kern w:val="0"/>
                <w:sz w:val="22"/>
                <w:szCs w:val="22"/>
              </w:rPr>
            </w:pPr>
            <w:r>
              <w:rPr>
                <w:rFonts w:hint="eastAsia" w:ascii="仿宋_GB2312" w:hAnsi="仿宋_GB2312" w:eastAsia="仿宋_GB2312" w:cs="仿宋_GB2312"/>
                <w:color w:val="000000"/>
                <w:kern w:val="0"/>
                <w:sz w:val="22"/>
                <w:szCs w:val="22"/>
              </w:rPr>
              <w:t>①是否将项目绩效目标细化分解为具体的绩效指标；</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②是否通过清晰、可衡量的指标值予以</w:t>
            </w:r>
          </w:p>
          <w:p>
            <w:pPr>
              <w:widowControl/>
              <w:textAlignment w:val="center"/>
              <w:rPr>
                <w:rFonts w:hint="eastAsia" w:ascii="仿宋" w:hAnsi="仿宋" w:eastAsia="仿宋" w:cs="仿宋"/>
                <w:color w:val="000000"/>
                <w:kern w:val="0"/>
                <w:sz w:val="22"/>
                <w:szCs w:val="22"/>
              </w:rPr>
            </w:pPr>
            <w:r>
              <w:rPr>
                <w:rFonts w:hint="eastAsia" w:ascii="仿宋" w:hAnsi="仿宋" w:eastAsia="仿宋" w:cs="仿宋"/>
                <w:color w:val="000000"/>
                <w:kern w:val="0"/>
                <w:sz w:val="22"/>
                <w:szCs w:val="22"/>
              </w:rPr>
              <w:t>体现；</w:t>
            </w:r>
          </w:p>
          <w:p>
            <w:pPr>
              <w:widowControl/>
              <w:textAlignment w:val="center"/>
              <w:rPr>
                <w:rFonts w:hint="eastAsia" w:ascii="仿宋" w:hAnsi="仿宋" w:eastAsia="仿宋" w:cs="仿宋"/>
                <w:color w:val="000000"/>
                <w:kern w:val="0"/>
                <w:sz w:val="22"/>
                <w:szCs w:val="22"/>
              </w:rPr>
            </w:pPr>
            <w:r>
              <w:rPr>
                <w:rFonts w:hint="eastAsia" w:ascii="仿宋" w:hAnsi="仿宋" w:eastAsia="仿宋" w:cs="仿宋"/>
                <w:color w:val="000000"/>
                <w:kern w:val="0"/>
                <w:sz w:val="22"/>
                <w:szCs w:val="22"/>
              </w:rPr>
              <w:t>③是否与项目年度任务数或计划数相对应；</w:t>
            </w:r>
          </w:p>
          <w:p>
            <w:pPr>
              <w:widowControl/>
              <w:textAlignment w:val="center"/>
              <w:rPr>
                <w:rFonts w:hint="eastAsia" w:ascii="仿宋" w:hAnsi="仿宋" w:eastAsia="仿宋" w:cs="仿宋"/>
                <w:color w:val="000000"/>
                <w:kern w:val="0"/>
                <w:sz w:val="22"/>
                <w:szCs w:val="22"/>
              </w:rPr>
            </w:pPr>
            <w:r>
              <w:rPr>
                <w:rFonts w:hint="eastAsia" w:ascii="仿宋" w:hAnsi="仿宋" w:eastAsia="仿宋" w:cs="仿宋"/>
                <w:color w:val="000000"/>
                <w:kern w:val="0"/>
                <w:sz w:val="22"/>
                <w:szCs w:val="22"/>
              </w:rPr>
              <w:t>④是否与预算确定的项目投资额或资金量相匹配。</w:t>
            </w:r>
          </w:p>
          <w:p>
            <w:pPr>
              <w:widowControl/>
              <w:textAlignment w:val="center"/>
              <w:rPr>
                <w:rFonts w:hint="eastAsia" w:ascii="仿宋" w:hAnsi="仿宋" w:eastAsia="仿宋" w:cs="仿宋"/>
                <w:color w:val="000000"/>
                <w:kern w:val="0"/>
                <w:sz w:val="22"/>
                <w:szCs w:val="22"/>
              </w:rPr>
            </w:pPr>
            <w:r>
              <w:rPr>
                <w:rFonts w:hint="eastAsia" w:ascii="仿宋" w:hAnsi="仿宋" w:eastAsia="仿宋" w:cs="仿宋"/>
                <w:color w:val="000000"/>
                <w:kern w:val="0"/>
                <w:sz w:val="22"/>
                <w:szCs w:val="22"/>
              </w:rPr>
              <w:t>缺少一项扣</w:t>
            </w:r>
            <w:r>
              <w:rPr>
                <w:rFonts w:hint="eastAsia" w:ascii="仿宋" w:hAnsi="仿宋" w:eastAsia="仿宋" w:cs="仿宋"/>
                <w:color w:val="000000"/>
                <w:kern w:val="0"/>
                <w:sz w:val="22"/>
                <w:szCs w:val="22"/>
                <w:lang w:val="en-US" w:eastAsia="zh-CN"/>
              </w:rPr>
              <w:t>2</w:t>
            </w:r>
            <w:r>
              <w:rPr>
                <w:rFonts w:hint="eastAsia" w:ascii="仿宋" w:hAnsi="仿宋" w:eastAsia="仿宋" w:cs="仿宋"/>
                <w:color w:val="000000"/>
                <w:kern w:val="0"/>
                <w:sz w:val="22"/>
                <w:szCs w:val="22"/>
              </w:rPr>
              <w:t>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lang w:eastAsia="zh-CN"/>
              </w:rPr>
            </w:pPr>
            <w:r>
              <w:rPr>
                <w:rFonts w:hint="eastAsia" w:ascii="仿宋" w:hAnsi="仿宋" w:eastAsia="仿宋" w:cs="仿宋"/>
                <w:color w:val="000000"/>
                <w:sz w:val="22"/>
                <w:szCs w:val="22"/>
                <w:lang w:val="en-US" w:eastAsia="zh-CN"/>
              </w:rPr>
              <w:t>8</w:t>
            </w:r>
          </w:p>
        </w:tc>
      </w:tr>
      <w:tr>
        <w:tblPrEx>
          <w:tblCellMar>
            <w:top w:w="0" w:type="dxa"/>
            <w:left w:w="0" w:type="dxa"/>
            <w:bottom w:w="0" w:type="dxa"/>
            <w:right w:w="0" w:type="dxa"/>
          </w:tblCellMar>
        </w:tblPrEx>
        <w:trPr>
          <w:trHeight w:val="1472" w:hRule="atLeast"/>
        </w:trPr>
        <w:tc>
          <w:tcPr>
            <w:tcW w:w="1276"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hint="eastAsia" w:ascii="仿宋" w:hAnsi="仿宋" w:eastAsia="仿宋" w:cs="仿宋"/>
                <w:color w:val="000000"/>
                <w:sz w:val="22"/>
                <w:szCs w:val="22"/>
              </w:rPr>
            </w:pPr>
          </w:p>
        </w:tc>
        <w:tc>
          <w:tcPr>
            <w:tcW w:w="491"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hint="eastAsia" w:ascii="仿宋" w:hAnsi="仿宋" w:eastAsia="仿宋" w:cs="仿宋"/>
                <w:color w:val="000000"/>
                <w:sz w:val="22"/>
                <w:szCs w:val="22"/>
              </w:rPr>
            </w:pP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rPr>
              <w:t>自评报告情况</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default"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7.5</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rPr>
              <w:t>是否有绩效评价报告，报告是否依据充分、内容真实完整；数据准确、分析透彻。每存在一项问题扣</w:t>
            </w:r>
            <w:r>
              <w:rPr>
                <w:rFonts w:hint="eastAsia" w:ascii="仿宋" w:hAnsi="仿宋" w:eastAsia="仿宋" w:cs="仿宋"/>
                <w:color w:val="000000"/>
                <w:kern w:val="0"/>
                <w:sz w:val="22"/>
                <w:szCs w:val="22"/>
                <w:lang w:val="en-US" w:eastAsia="zh-CN"/>
              </w:rPr>
              <w:t>1.5</w:t>
            </w:r>
            <w:r>
              <w:rPr>
                <w:rFonts w:hint="eastAsia" w:ascii="仿宋" w:hAnsi="仿宋" w:eastAsia="仿宋" w:cs="仿宋"/>
                <w:color w:val="000000"/>
                <w:kern w:val="0"/>
                <w:sz w:val="22"/>
                <w:szCs w:val="22"/>
              </w:rPr>
              <w:t>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7.5</w:t>
            </w:r>
          </w:p>
        </w:tc>
      </w:tr>
      <w:tr>
        <w:tblPrEx>
          <w:tblCellMar>
            <w:top w:w="0" w:type="dxa"/>
            <w:left w:w="0" w:type="dxa"/>
            <w:bottom w:w="0" w:type="dxa"/>
            <w:right w:w="0" w:type="dxa"/>
          </w:tblCellMar>
        </w:tblPrEx>
        <w:trPr>
          <w:trHeight w:val="1029" w:hRule="atLeast"/>
        </w:trPr>
        <w:tc>
          <w:tcPr>
            <w:tcW w:w="1276"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rPr>
              <w:t>“工作活动”管理（30分）</w:t>
            </w:r>
          </w:p>
        </w:tc>
        <w:tc>
          <w:tcPr>
            <w:tcW w:w="491"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rPr>
              <w:t>资金管理</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rPr>
              <w:t>预算调整率</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6</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rPr>
              <w:t>预算调整率=（预算调整数/预算数）×100%。预算调整率每大于1%扣</w:t>
            </w:r>
            <w:r>
              <w:rPr>
                <w:rFonts w:hint="eastAsia" w:ascii="仿宋" w:hAnsi="仿宋" w:eastAsia="仿宋" w:cs="仿宋"/>
                <w:color w:val="000000"/>
                <w:kern w:val="0"/>
                <w:sz w:val="22"/>
                <w:szCs w:val="22"/>
                <w:lang w:val="en-US" w:eastAsia="zh-CN"/>
              </w:rPr>
              <w:t>0.5</w:t>
            </w:r>
            <w:r>
              <w:rPr>
                <w:rFonts w:hint="eastAsia" w:ascii="仿宋" w:hAnsi="仿宋" w:eastAsia="仿宋" w:cs="仿宋"/>
                <w:color w:val="000000"/>
                <w:kern w:val="0"/>
                <w:sz w:val="22"/>
                <w:szCs w:val="22"/>
              </w:rPr>
              <w:t>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sz w:val="22"/>
                <w:szCs w:val="22"/>
              </w:rPr>
              <w:t>6</w:t>
            </w:r>
          </w:p>
        </w:tc>
      </w:tr>
      <w:tr>
        <w:tblPrEx>
          <w:tblCellMar>
            <w:top w:w="0" w:type="dxa"/>
            <w:left w:w="0" w:type="dxa"/>
            <w:bottom w:w="0" w:type="dxa"/>
            <w:right w:w="0" w:type="dxa"/>
          </w:tblCellMar>
        </w:tblPrEx>
        <w:trPr>
          <w:trHeight w:val="1029" w:hRule="atLeast"/>
        </w:trPr>
        <w:tc>
          <w:tcPr>
            <w:tcW w:w="1276" w:type="dxa"/>
            <w:vMerge w:val="continue"/>
            <w:tcBorders>
              <w:top w:val="single" w:color="000000" w:sz="4" w:space="0"/>
              <w:left w:val="single" w:color="000000" w:sz="4" w:space="0"/>
              <w:bottom w:val="nil"/>
              <w:right w:val="single" w:color="000000" w:sz="4" w:space="0"/>
            </w:tcBorders>
            <w:shd w:val="clear" w:color="auto" w:fill="auto"/>
            <w:noWrap/>
            <w:tcMar>
              <w:top w:w="12" w:type="dxa"/>
              <w:left w:w="12" w:type="dxa"/>
              <w:right w:w="12" w:type="dxa"/>
            </w:tcMar>
            <w:vAlign w:val="center"/>
          </w:tcPr>
          <w:p>
            <w:pPr>
              <w:jc w:val="center"/>
              <w:rPr>
                <w:rFonts w:hint="eastAsia" w:ascii="仿宋" w:hAnsi="仿宋" w:eastAsia="仿宋" w:cs="仿宋"/>
                <w:color w:val="000000"/>
                <w:sz w:val="22"/>
                <w:szCs w:val="22"/>
              </w:rPr>
            </w:pPr>
          </w:p>
        </w:tc>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仿宋" w:hAnsi="仿宋" w:eastAsia="仿宋" w:cs="仿宋"/>
                <w:color w:val="000000"/>
                <w:sz w:val="22"/>
                <w:szCs w:val="22"/>
              </w:rPr>
            </w:pPr>
          </w:p>
        </w:tc>
        <w:tc>
          <w:tcPr>
            <w:tcW w:w="2498"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rPr>
              <w:t>资金使用合规性</w:t>
            </w:r>
          </w:p>
        </w:tc>
        <w:tc>
          <w:tcPr>
            <w:tcW w:w="42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6</w:t>
            </w:r>
          </w:p>
        </w:tc>
        <w:tc>
          <w:tcPr>
            <w:tcW w:w="3696"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widowControl/>
              <w:jc w:val="left"/>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rPr>
              <w:t>项目资金使用是否符合国家财经法规及相关的财务管理制度规定，资金支出程序是否规范,报账手续是否齐全。每存在一项不合规问题扣</w:t>
            </w:r>
            <w:r>
              <w:rPr>
                <w:rFonts w:hint="eastAsia" w:ascii="仿宋" w:hAnsi="仿宋" w:eastAsia="仿宋" w:cs="仿宋"/>
                <w:color w:val="000000"/>
                <w:kern w:val="0"/>
                <w:sz w:val="22"/>
                <w:szCs w:val="22"/>
                <w:lang w:val="en-US" w:eastAsia="zh-CN"/>
              </w:rPr>
              <w:t>2</w:t>
            </w:r>
            <w:r>
              <w:rPr>
                <w:rFonts w:hint="eastAsia" w:ascii="仿宋" w:hAnsi="仿宋" w:eastAsia="仿宋" w:cs="仿宋"/>
                <w:color w:val="000000"/>
                <w:kern w:val="0"/>
                <w:sz w:val="22"/>
                <w:szCs w:val="22"/>
              </w:rPr>
              <w:t>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sz w:val="22"/>
                <w:szCs w:val="22"/>
              </w:rPr>
              <w:t>6</w:t>
            </w:r>
          </w:p>
        </w:tc>
      </w:tr>
      <w:tr>
        <w:tblPrEx>
          <w:tblCellMar>
            <w:top w:w="0" w:type="dxa"/>
            <w:left w:w="0" w:type="dxa"/>
            <w:bottom w:w="0" w:type="dxa"/>
            <w:right w:w="0" w:type="dxa"/>
          </w:tblCellMar>
        </w:tblPrEx>
        <w:trPr>
          <w:trHeight w:val="836" w:hRule="atLeast"/>
        </w:trPr>
        <w:tc>
          <w:tcPr>
            <w:tcW w:w="1276" w:type="dxa"/>
            <w:vMerge w:val="continue"/>
            <w:tcBorders>
              <w:top w:val="single" w:color="000000" w:sz="4" w:space="0"/>
              <w:left w:val="single" w:color="000000" w:sz="4" w:space="0"/>
              <w:bottom w:val="nil"/>
              <w:right w:val="single" w:color="000000" w:sz="4" w:space="0"/>
            </w:tcBorders>
            <w:noWrap/>
            <w:tcMar>
              <w:top w:w="12" w:type="dxa"/>
              <w:left w:w="12" w:type="dxa"/>
              <w:right w:w="12" w:type="dxa"/>
            </w:tcMar>
            <w:vAlign w:val="center"/>
          </w:tcPr>
          <w:p>
            <w:pPr>
              <w:jc w:val="center"/>
              <w:rPr>
                <w:rFonts w:hint="eastAsia" w:ascii="仿宋" w:hAnsi="仿宋" w:eastAsia="仿宋" w:cs="仿宋"/>
                <w:color w:val="000000"/>
                <w:sz w:val="22"/>
                <w:szCs w:val="22"/>
              </w:rPr>
            </w:pPr>
          </w:p>
        </w:tc>
        <w:tc>
          <w:tcPr>
            <w:tcW w:w="491"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hint="eastAsia" w:ascii="仿宋" w:hAnsi="仿宋" w:eastAsia="仿宋" w:cs="仿宋"/>
                <w:color w:val="000000"/>
                <w:sz w:val="22"/>
                <w:szCs w:val="22"/>
              </w:rPr>
            </w:pP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rPr>
              <w:t>会计核算规范性</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6</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rPr>
              <w:t>会计核算是否符合《会计法》、《政府会计制度》、《会计基础工作规范》等法律法规和相关制度规定。每存在一项不合规问题扣</w:t>
            </w:r>
            <w:r>
              <w:rPr>
                <w:rFonts w:hint="eastAsia" w:ascii="仿宋" w:hAnsi="仿宋" w:eastAsia="仿宋" w:cs="仿宋"/>
                <w:color w:val="000000"/>
                <w:kern w:val="0"/>
                <w:sz w:val="22"/>
                <w:szCs w:val="22"/>
                <w:lang w:val="en-US" w:eastAsia="zh-CN"/>
              </w:rPr>
              <w:t>2</w:t>
            </w:r>
            <w:r>
              <w:rPr>
                <w:rFonts w:hint="eastAsia" w:ascii="仿宋" w:hAnsi="仿宋" w:eastAsia="仿宋" w:cs="仿宋"/>
                <w:color w:val="000000"/>
                <w:kern w:val="0"/>
                <w:sz w:val="22"/>
                <w:szCs w:val="22"/>
              </w:rPr>
              <w:t>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sz w:val="22"/>
                <w:szCs w:val="22"/>
              </w:rPr>
              <w:t>6</w:t>
            </w:r>
          </w:p>
        </w:tc>
      </w:tr>
      <w:tr>
        <w:tblPrEx>
          <w:tblCellMar>
            <w:top w:w="0" w:type="dxa"/>
            <w:left w:w="0" w:type="dxa"/>
            <w:bottom w:w="0" w:type="dxa"/>
            <w:right w:w="0" w:type="dxa"/>
          </w:tblCellMar>
        </w:tblPrEx>
        <w:trPr>
          <w:trHeight w:val="1437" w:hRule="atLeast"/>
        </w:trPr>
        <w:tc>
          <w:tcPr>
            <w:tcW w:w="1276" w:type="dxa"/>
            <w:vMerge w:val="continue"/>
            <w:tcBorders>
              <w:top w:val="single" w:color="000000" w:sz="4" w:space="0"/>
              <w:left w:val="single" w:color="000000" w:sz="4" w:space="0"/>
              <w:bottom w:val="nil"/>
              <w:right w:val="single" w:color="000000" w:sz="4" w:space="0"/>
            </w:tcBorders>
            <w:noWrap/>
            <w:tcMar>
              <w:top w:w="12" w:type="dxa"/>
              <w:left w:w="12" w:type="dxa"/>
              <w:right w:w="12" w:type="dxa"/>
            </w:tcMar>
            <w:vAlign w:val="center"/>
          </w:tcPr>
          <w:p>
            <w:pPr>
              <w:jc w:val="center"/>
              <w:rPr>
                <w:rFonts w:hint="eastAsia" w:ascii="仿宋" w:hAnsi="仿宋" w:eastAsia="仿宋" w:cs="仿宋"/>
                <w:color w:val="000000"/>
                <w:sz w:val="22"/>
                <w:szCs w:val="22"/>
              </w:rPr>
            </w:pPr>
          </w:p>
        </w:tc>
        <w:tc>
          <w:tcPr>
            <w:tcW w:w="491"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rPr>
              <w:t>项目管理</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rPr>
              <w:t>项目责任机制是否健全</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6</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rPr>
              <w:t>是否建立责任机制，项目管理和责任落实到有关人。每存在一项问题扣</w:t>
            </w:r>
            <w:r>
              <w:rPr>
                <w:rFonts w:hint="eastAsia" w:ascii="仿宋" w:hAnsi="仿宋" w:eastAsia="仿宋" w:cs="仿宋"/>
                <w:color w:val="000000"/>
                <w:kern w:val="0"/>
                <w:sz w:val="22"/>
                <w:szCs w:val="22"/>
                <w:lang w:val="en-US" w:eastAsia="zh-CN"/>
              </w:rPr>
              <w:t>2</w:t>
            </w:r>
            <w:r>
              <w:rPr>
                <w:rFonts w:hint="eastAsia" w:ascii="仿宋" w:hAnsi="仿宋" w:eastAsia="仿宋" w:cs="仿宋"/>
                <w:color w:val="000000"/>
                <w:kern w:val="0"/>
                <w:sz w:val="22"/>
                <w:szCs w:val="22"/>
              </w:rPr>
              <w:t>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sz w:val="22"/>
                <w:szCs w:val="22"/>
              </w:rPr>
              <w:t>6</w:t>
            </w:r>
          </w:p>
        </w:tc>
      </w:tr>
      <w:tr>
        <w:tblPrEx>
          <w:tblCellMar>
            <w:top w:w="0" w:type="dxa"/>
            <w:left w:w="0" w:type="dxa"/>
            <w:bottom w:w="0" w:type="dxa"/>
            <w:right w:w="0" w:type="dxa"/>
          </w:tblCellMar>
        </w:tblPrEx>
        <w:trPr>
          <w:trHeight w:val="762" w:hRule="atLeast"/>
        </w:trPr>
        <w:tc>
          <w:tcPr>
            <w:tcW w:w="1276" w:type="dxa"/>
            <w:vMerge w:val="continue"/>
            <w:tcBorders>
              <w:top w:val="single" w:color="000000" w:sz="4" w:space="0"/>
              <w:left w:val="single" w:color="000000" w:sz="4" w:space="0"/>
              <w:bottom w:val="nil"/>
              <w:right w:val="single" w:color="000000" w:sz="4" w:space="0"/>
            </w:tcBorders>
            <w:noWrap/>
            <w:tcMar>
              <w:top w:w="12" w:type="dxa"/>
              <w:left w:w="12" w:type="dxa"/>
              <w:right w:w="12" w:type="dxa"/>
            </w:tcMar>
            <w:vAlign w:val="center"/>
          </w:tcPr>
          <w:p>
            <w:pPr>
              <w:jc w:val="center"/>
              <w:rPr>
                <w:rFonts w:hint="eastAsia" w:ascii="仿宋" w:hAnsi="仿宋" w:eastAsia="仿宋" w:cs="仿宋"/>
                <w:color w:val="000000"/>
                <w:sz w:val="22"/>
                <w:szCs w:val="22"/>
              </w:rPr>
            </w:pPr>
          </w:p>
        </w:tc>
        <w:tc>
          <w:tcPr>
            <w:tcW w:w="491"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hint="eastAsia" w:ascii="仿宋" w:hAnsi="仿宋" w:eastAsia="仿宋" w:cs="仿宋"/>
                <w:color w:val="000000"/>
                <w:sz w:val="22"/>
                <w:szCs w:val="22"/>
              </w:rPr>
            </w:pP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rPr>
              <w:t>管理制度健全性</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6</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rPr>
              <w:t>制定管理制度和措施（包括财务制度）是否明确、清晰、具有可操作性，能否保障工作活动顺利实施。每缺少一项制度扣</w:t>
            </w:r>
            <w:r>
              <w:rPr>
                <w:rFonts w:hint="eastAsia" w:ascii="仿宋" w:hAnsi="仿宋" w:eastAsia="仿宋" w:cs="仿宋"/>
                <w:color w:val="000000"/>
                <w:kern w:val="0"/>
                <w:sz w:val="22"/>
                <w:szCs w:val="22"/>
                <w:lang w:val="en-US" w:eastAsia="zh-CN"/>
              </w:rPr>
              <w:t>2</w:t>
            </w:r>
            <w:r>
              <w:rPr>
                <w:rFonts w:hint="eastAsia" w:ascii="仿宋" w:hAnsi="仿宋" w:eastAsia="仿宋" w:cs="仿宋"/>
                <w:color w:val="000000"/>
                <w:kern w:val="0"/>
                <w:sz w:val="22"/>
                <w:szCs w:val="22"/>
              </w:rPr>
              <w:t>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default"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6</w:t>
            </w:r>
          </w:p>
        </w:tc>
      </w:tr>
      <w:tr>
        <w:tblPrEx>
          <w:tblCellMar>
            <w:top w:w="0" w:type="dxa"/>
            <w:left w:w="0" w:type="dxa"/>
            <w:bottom w:w="0" w:type="dxa"/>
            <w:right w:w="0" w:type="dxa"/>
          </w:tblCellMar>
        </w:tblPrEx>
        <w:trPr>
          <w:trHeight w:val="501" w:hRule="atLeast"/>
        </w:trPr>
        <w:tc>
          <w:tcPr>
            <w:tcW w:w="1276" w:type="dxa"/>
            <w:vMerge w:val="restart"/>
            <w:tcBorders>
              <w:top w:val="single" w:color="000000" w:sz="4" w:space="0"/>
              <w:left w:val="single" w:color="000000" w:sz="4" w:space="0"/>
              <w:bottom w:val="nil"/>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rPr>
              <w:t>“工作活动”产出（30分）</w:t>
            </w:r>
          </w:p>
        </w:tc>
        <w:tc>
          <w:tcPr>
            <w:tcW w:w="491" w:type="dxa"/>
            <w:vMerge w:val="restart"/>
            <w:tcBorders>
              <w:top w:val="single" w:color="000000" w:sz="4" w:space="0"/>
              <w:left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rPr>
              <w:t>数量指标</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default" w:ascii="仿宋" w:hAnsi="仿宋" w:eastAsia="仿宋" w:cs="仿宋"/>
                <w:color w:val="000000"/>
                <w:sz w:val="22"/>
                <w:szCs w:val="22"/>
                <w:lang w:val="en-US" w:eastAsia="zh-CN"/>
              </w:rPr>
            </w:pPr>
            <w:r>
              <w:rPr>
                <w:rFonts w:hint="eastAsia" w:ascii="仿宋" w:hAnsi="仿宋" w:eastAsia="仿宋" w:cs="仿宋"/>
                <w:color w:val="000000"/>
                <w:kern w:val="0"/>
                <w:sz w:val="22"/>
                <w:szCs w:val="22"/>
                <w:lang w:val="en-US" w:eastAsia="zh-CN"/>
              </w:rPr>
              <w:t>建设情况</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6</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hint="eastAsia" w:ascii="仿宋" w:hAnsi="仿宋" w:eastAsia="仿宋" w:cs="仿宋"/>
                <w:color w:val="000000"/>
                <w:sz w:val="22"/>
                <w:szCs w:val="22"/>
              </w:rPr>
            </w:pPr>
            <w:r>
              <w:rPr>
                <w:rFonts w:hint="eastAsia" w:ascii="仿宋" w:hAnsi="仿宋" w:eastAsia="仿宋" w:cs="仿宋"/>
                <w:color w:val="000000"/>
                <w:sz w:val="22"/>
                <w:szCs w:val="22"/>
              </w:rPr>
              <w:t>按照《可行性研究报告》执行</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lang w:eastAsia="zh-CN"/>
              </w:rPr>
            </w:pPr>
            <w:r>
              <w:rPr>
                <w:rFonts w:hint="eastAsia" w:ascii="仿宋" w:hAnsi="仿宋" w:eastAsia="仿宋" w:cs="仿宋"/>
                <w:color w:val="000000"/>
                <w:sz w:val="22"/>
                <w:szCs w:val="22"/>
                <w:lang w:val="en-US" w:eastAsia="zh-CN"/>
              </w:rPr>
              <w:t>3</w:t>
            </w:r>
          </w:p>
        </w:tc>
      </w:tr>
      <w:tr>
        <w:tblPrEx>
          <w:tblCellMar>
            <w:top w:w="0" w:type="dxa"/>
            <w:left w:w="0" w:type="dxa"/>
            <w:bottom w:w="0" w:type="dxa"/>
            <w:right w:w="0" w:type="dxa"/>
          </w:tblCellMar>
        </w:tblPrEx>
        <w:trPr>
          <w:trHeight w:val="501" w:hRule="atLeast"/>
        </w:trPr>
        <w:tc>
          <w:tcPr>
            <w:tcW w:w="1276" w:type="dxa"/>
            <w:vMerge w:val="continue"/>
            <w:tcBorders>
              <w:left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kern w:val="0"/>
                <w:sz w:val="22"/>
                <w:szCs w:val="22"/>
              </w:rPr>
            </w:pPr>
          </w:p>
        </w:tc>
        <w:tc>
          <w:tcPr>
            <w:tcW w:w="491" w:type="dxa"/>
            <w:vMerge w:val="continue"/>
            <w:tcBorders>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kern w:val="0"/>
                <w:sz w:val="22"/>
                <w:szCs w:val="22"/>
              </w:rPr>
            </w:pP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kern w:val="0"/>
                <w:sz w:val="22"/>
                <w:szCs w:val="22"/>
              </w:rPr>
            </w:pPr>
            <w:r>
              <w:rPr>
                <w:rFonts w:hint="eastAsia" w:ascii="仿宋" w:hAnsi="仿宋" w:eastAsia="仿宋" w:cs="仿宋"/>
                <w:color w:val="000000"/>
                <w:kern w:val="0"/>
                <w:sz w:val="22"/>
                <w:szCs w:val="22"/>
              </w:rPr>
              <w:t>享受住宿环境改善</w:t>
            </w:r>
            <w:r>
              <w:rPr>
                <w:rFonts w:hint="eastAsia" w:ascii="仿宋" w:hAnsi="仿宋" w:eastAsia="仿宋" w:cs="仿宋"/>
                <w:color w:val="000000"/>
                <w:kern w:val="0"/>
                <w:sz w:val="22"/>
                <w:szCs w:val="22"/>
                <w:lang w:val="en-US" w:eastAsia="zh-CN"/>
              </w:rPr>
              <w:t>的学生</w:t>
            </w:r>
            <w:r>
              <w:rPr>
                <w:rFonts w:hint="eastAsia" w:ascii="仿宋" w:hAnsi="仿宋" w:eastAsia="仿宋" w:cs="仿宋"/>
                <w:color w:val="000000"/>
                <w:kern w:val="0"/>
                <w:sz w:val="22"/>
                <w:szCs w:val="22"/>
              </w:rPr>
              <w:t>数量</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6</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hint="eastAsia" w:ascii="仿宋" w:hAnsi="仿宋" w:eastAsia="仿宋" w:cs="仿宋"/>
                <w:color w:val="000000"/>
                <w:sz w:val="22"/>
                <w:szCs w:val="22"/>
              </w:rPr>
            </w:pPr>
            <w:r>
              <w:rPr>
                <w:rFonts w:hint="eastAsia" w:ascii="仿宋" w:hAnsi="仿宋" w:eastAsia="仿宋" w:cs="仿宋"/>
                <w:color w:val="000000"/>
                <w:sz w:val="22"/>
                <w:szCs w:val="22"/>
              </w:rPr>
              <w:t>按照《可行性研究报告》执行</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lang w:eastAsia="zh-CN"/>
              </w:rPr>
            </w:pPr>
            <w:r>
              <w:rPr>
                <w:rFonts w:hint="eastAsia" w:ascii="仿宋" w:hAnsi="仿宋" w:eastAsia="仿宋" w:cs="仿宋"/>
                <w:color w:val="000000"/>
                <w:sz w:val="22"/>
                <w:szCs w:val="22"/>
                <w:lang w:val="en-US" w:eastAsia="zh-CN"/>
              </w:rPr>
              <w:t>5</w:t>
            </w:r>
          </w:p>
        </w:tc>
      </w:tr>
      <w:tr>
        <w:tblPrEx>
          <w:tblCellMar>
            <w:top w:w="0" w:type="dxa"/>
            <w:left w:w="0" w:type="dxa"/>
            <w:bottom w:w="0" w:type="dxa"/>
            <w:right w:w="0" w:type="dxa"/>
          </w:tblCellMar>
        </w:tblPrEx>
        <w:trPr>
          <w:trHeight w:val="647" w:hRule="atLeast"/>
        </w:trPr>
        <w:tc>
          <w:tcPr>
            <w:tcW w:w="1276" w:type="dxa"/>
            <w:vMerge w:val="continue"/>
            <w:tcBorders>
              <w:top w:val="single" w:color="000000" w:sz="4" w:space="0"/>
              <w:left w:val="single" w:color="000000" w:sz="4" w:space="0"/>
              <w:bottom w:val="nil"/>
              <w:right w:val="single" w:color="000000" w:sz="4" w:space="0"/>
            </w:tcBorders>
            <w:noWrap/>
            <w:tcMar>
              <w:top w:w="12" w:type="dxa"/>
              <w:left w:w="12" w:type="dxa"/>
              <w:right w:w="12" w:type="dxa"/>
            </w:tcMar>
            <w:vAlign w:val="center"/>
          </w:tcPr>
          <w:p>
            <w:pPr>
              <w:jc w:val="center"/>
              <w:rPr>
                <w:rFonts w:hint="eastAsia" w:ascii="仿宋" w:hAnsi="仿宋" w:eastAsia="仿宋" w:cs="仿宋"/>
                <w:color w:val="000000"/>
                <w:sz w:val="22"/>
                <w:szCs w:val="22"/>
              </w:rPr>
            </w:pPr>
          </w:p>
        </w:tc>
        <w:tc>
          <w:tcPr>
            <w:tcW w:w="491" w:type="dxa"/>
            <w:vMerge w:val="restart"/>
            <w:tcBorders>
              <w:top w:val="single" w:color="000000" w:sz="4" w:space="0"/>
              <w:left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rPr>
              <w:t>质量指标</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rPr>
              <w:t>工程安全达标率</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6</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hint="eastAsia" w:ascii="仿宋" w:hAnsi="仿宋" w:eastAsia="仿宋" w:cs="仿宋"/>
                <w:color w:val="000000"/>
                <w:sz w:val="22"/>
                <w:szCs w:val="22"/>
              </w:rPr>
            </w:pPr>
            <w:r>
              <w:rPr>
                <w:rFonts w:hint="eastAsia" w:ascii="仿宋" w:hAnsi="仿宋" w:eastAsia="仿宋" w:cs="仿宋"/>
                <w:color w:val="000000"/>
                <w:sz w:val="22"/>
                <w:szCs w:val="22"/>
              </w:rPr>
              <w:t>按照《可行性研究报告》执行</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sz w:val="22"/>
                <w:szCs w:val="22"/>
              </w:rPr>
              <w:t>6</w:t>
            </w:r>
          </w:p>
        </w:tc>
      </w:tr>
      <w:tr>
        <w:tblPrEx>
          <w:tblCellMar>
            <w:top w:w="0" w:type="dxa"/>
            <w:left w:w="0" w:type="dxa"/>
            <w:bottom w:w="0" w:type="dxa"/>
            <w:right w:w="0" w:type="dxa"/>
          </w:tblCellMar>
        </w:tblPrEx>
        <w:trPr>
          <w:trHeight w:val="647" w:hRule="atLeast"/>
        </w:trPr>
        <w:tc>
          <w:tcPr>
            <w:tcW w:w="1276" w:type="dxa"/>
            <w:vMerge w:val="continue"/>
            <w:tcBorders>
              <w:top w:val="single" w:color="000000" w:sz="4" w:space="0"/>
              <w:left w:val="single" w:color="000000" w:sz="4" w:space="0"/>
              <w:bottom w:val="nil"/>
              <w:right w:val="single" w:color="000000" w:sz="4" w:space="0"/>
            </w:tcBorders>
            <w:noWrap/>
            <w:tcMar>
              <w:top w:w="12" w:type="dxa"/>
              <w:left w:w="12" w:type="dxa"/>
              <w:right w:w="12" w:type="dxa"/>
            </w:tcMar>
            <w:vAlign w:val="center"/>
          </w:tcPr>
          <w:p>
            <w:pPr>
              <w:jc w:val="center"/>
              <w:rPr>
                <w:rFonts w:hint="eastAsia" w:ascii="仿宋" w:hAnsi="仿宋" w:eastAsia="仿宋" w:cs="仿宋"/>
                <w:color w:val="000000"/>
                <w:sz w:val="22"/>
                <w:szCs w:val="22"/>
              </w:rPr>
            </w:pPr>
          </w:p>
        </w:tc>
        <w:tc>
          <w:tcPr>
            <w:tcW w:w="491" w:type="dxa"/>
            <w:vMerge w:val="continue"/>
            <w:tcBorders>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kern w:val="0"/>
                <w:sz w:val="22"/>
                <w:szCs w:val="22"/>
              </w:rPr>
            </w:pP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kern w:val="0"/>
                <w:sz w:val="22"/>
                <w:szCs w:val="22"/>
              </w:rPr>
            </w:pPr>
            <w:r>
              <w:rPr>
                <w:rFonts w:hint="eastAsia" w:ascii="仿宋" w:hAnsi="仿宋" w:eastAsia="仿宋" w:cs="仿宋"/>
                <w:color w:val="000000"/>
                <w:kern w:val="0"/>
                <w:sz w:val="22"/>
                <w:szCs w:val="22"/>
              </w:rPr>
              <w:t>资金拨付率</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6</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hint="eastAsia" w:ascii="仿宋" w:hAnsi="仿宋" w:eastAsia="仿宋" w:cs="仿宋"/>
                <w:color w:val="000000"/>
                <w:sz w:val="22"/>
                <w:szCs w:val="22"/>
              </w:rPr>
            </w:pPr>
            <w:r>
              <w:rPr>
                <w:rFonts w:hint="eastAsia" w:ascii="仿宋" w:hAnsi="仿宋" w:eastAsia="仿宋" w:cs="仿宋"/>
                <w:color w:val="000000"/>
                <w:sz w:val="22"/>
                <w:szCs w:val="22"/>
              </w:rPr>
              <w:t>是否到达年度工作计划目标</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sz w:val="22"/>
                <w:szCs w:val="22"/>
              </w:rPr>
              <w:t>6</w:t>
            </w:r>
          </w:p>
        </w:tc>
      </w:tr>
      <w:tr>
        <w:tblPrEx>
          <w:tblCellMar>
            <w:top w:w="0" w:type="dxa"/>
            <w:left w:w="0" w:type="dxa"/>
            <w:bottom w:w="0" w:type="dxa"/>
            <w:right w:w="0" w:type="dxa"/>
          </w:tblCellMar>
        </w:tblPrEx>
        <w:trPr>
          <w:trHeight w:val="591" w:hRule="atLeast"/>
        </w:trPr>
        <w:tc>
          <w:tcPr>
            <w:tcW w:w="1276"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hint="eastAsia" w:ascii="仿宋" w:hAnsi="仿宋" w:eastAsia="仿宋" w:cs="仿宋"/>
                <w:color w:val="000000"/>
                <w:sz w:val="22"/>
                <w:szCs w:val="22"/>
              </w:rPr>
            </w:pPr>
          </w:p>
        </w:tc>
        <w:tc>
          <w:tcPr>
            <w:tcW w:w="49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rPr>
              <w:t>时效指标</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rPr>
              <w:t>实验中学新建项目周期</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6</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hint="eastAsia" w:ascii="仿宋" w:hAnsi="仿宋" w:eastAsia="仿宋" w:cs="仿宋"/>
                <w:color w:val="000000"/>
                <w:sz w:val="22"/>
                <w:szCs w:val="22"/>
              </w:rPr>
            </w:pPr>
            <w:r>
              <w:rPr>
                <w:rFonts w:hint="eastAsia" w:ascii="仿宋" w:hAnsi="仿宋" w:eastAsia="仿宋" w:cs="仿宋"/>
                <w:color w:val="000000"/>
                <w:sz w:val="22"/>
                <w:szCs w:val="22"/>
              </w:rPr>
              <w:t>按照《可行性研究报告》执行</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lang w:eastAsia="zh-CN"/>
              </w:rPr>
            </w:pPr>
            <w:r>
              <w:rPr>
                <w:rFonts w:hint="eastAsia" w:ascii="仿宋" w:hAnsi="仿宋" w:eastAsia="仿宋" w:cs="仿宋"/>
                <w:color w:val="000000"/>
                <w:sz w:val="22"/>
                <w:szCs w:val="22"/>
                <w:lang w:val="en-US" w:eastAsia="zh-CN"/>
              </w:rPr>
              <w:t>3</w:t>
            </w:r>
          </w:p>
        </w:tc>
      </w:tr>
      <w:tr>
        <w:tblPrEx>
          <w:tblCellMar>
            <w:top w:w="0" w:type="dxa"/>
            <w:left w:w="0" w:type="dxa"/>
            <w:bottom w:w="0" w:type="dxa"/>
            <w:right w:w="0" w:type="dxa"/>
          </w:tblCellMar>
        </w:tblPrEx>
        <w:trPr>
          <w:trHeight w:val="408" w:hRule="atLeast"/>
        </w:trPr>
        <w:tc>
          <w:tcPr>
            <w:tcW w:w="1276" w:type="dxa"/>
            <w:tcBorders>
              <w:top w:val="single" w:color="000000" w:sz="4" w:space="0"/>
              <w:left w:val="single" w:color="000000" w:sz="4" w:space="0"/>
              <w:right w:val="single" w:color="000000" w:sz="4" w:space="0"/>
            </w:tcBorders>
            <w:noWrap/>
            <w:tcMar>
              <w:top w:w="12" w:type="dxa"/>
              <w:left w:w="12" w:type="dxa"/>
              <w:right w:w="12" w:type="dxa"/>
            </w:tcMar>
            <w:vAlign w:val="center"/>
          </w:tcPr>
          <w:p>
            <w:pPr>
              <w:jc w:val="center"/>
              <w:rPr>
                <w:rFonts w:hint="eastAsia" w:ascii="仿宋" w:hAnsi="仿宋" w:eastAsia="仿宋" w:cs="仿宋"/>
                <w:color w:val="000000"/>
                <w:sz w:val="22"/>
                <w:szCs w:val="22"/>
              </w:rPr>
            </w:pPr>
            <w:r>
              <w:rPr>
                <w:rFonts w:hint="eastAsia" w:ascii="仿宋" w:hAnsi="仿宋" w:eastAsia="仿宋" w:cs="仿宋"/>
                <w:color w:val="000000"/>
                <w:sz w:val="22"/>
                <w:szCs w:val="22"/>
              </w:rPr>
              <w:t>“工作活动”效果（</w:t>
            </w:r>
            <w:r>
              <w:rPr>
                <w:rFonts w:hint="eastAsia" w:ascii="仿宋" w:hAnsi="仿宋" w:eastAsia="仿宋" w:cs="仿宋"/>
                <w:color w:val="000000"/>
                <w:kern w:val="0"/>
                <w:sz w:val="22"/>
                <w:szCs w:val="22"/>
              </w:rPr>
              <w:t>10</w:t>
            </w:r>
            <w:r>
              <w:rPr>
                <w:rFonts w:hint="eastAsia" w:ascii="仿宋" w:hAnsi="仿宋" w:eastAsia="仿宋" w:cs="仿宋"/>
                <w:color w:val="000000"/>
                <w:sz w:val="22"/>
                <w:szCs w:val="22"/>
              </w:rPr>
              <w:t>分）</w:t>
            </w:r>
          </w:p>
        </w:tc>
        <w:tc>
          <w:tcPr>
            <w:tcW w:w="491" w:type="dxa"/>
            <w:tcBorders>
              <w:top w:val="single" w:color="000000" w:sz="4" w:space="0"/>
              <w:left w:val="single" w:color="000000" w:sz="4" w:space="0"/>
              <w:right w:val="single" w:color="000000" w:sz="4" w:space="0"/>
            </w:tcBorders>
            <w:noWrap/>
            <w:tcMar>
              <w:top w:w="12" w:type="dxa"/>
              <w:left w:w="12" w:type="dxa"/>
              <w:right w:w="12" w:type="dxa"/>
            </w:tcMar>
            <w:vAlign w:val="center"/>
          </w:tcPr>
          <w:p>
            <w:pPr>
              <w:jc w:val="center"/>
              <w:rPr>
                <w:rFonts w:hint="eastAsia" w:ascii="仿宋" w:hAnsi="仿宋" w:eastAsia="仿宋" w:cs="仿宋"/>
              </w:rPr>
            </w:pPr>
            <w:r>
              <w:rPr>
                <w:rFonts w:hint="eastAsia" w:ascii="仿宋" w:hAnsi="仿宋" w:eastAsia="仿宋" w:cs="仿宋"/>
              </w:rPr>
              <w:t>满意度</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kern w:val="0"/>
                <w:sz w:val="22"/>
                <w:szCs w:val="22"/>
              </w:rPr>
            </w:pPr>
            <w:r>
              <w:rPr>
                <w:rFonts w:hint="eastAsia" w:ascii="仿宋" w:hAnsi="仿宋" w:eastAsia="仿宋" w:cs="仿宋"/>
                <w:color w:val="000000"/>
                <w:kern w:val="0"/>
                <w:sz w:val="22"/>
                <w:szCs w:val="22"/>
              </w:rPr>
              <w:t>享受住宿环境改善学生的满意度</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default" w:ascii="仿宋" w:hAnsi="仿宋" w:eastAsia="仿宋" w:cs="仿宋"/>
                <w:color w:val="000000"/>
                <w:kern w:val="0"/>
                <w:sz w:val="22"/>
                <w:szCs w:val="22"/>
                <w:lang w:val="en-US" w:eastAsia="zh-CN"/>
              </w:rPr>
            </w:pPr>
            <w:r>
              <w:rPr>
                <w:rFonts w:hint="eastAsia" w:ascii="仿宋" w:hAnsi="仿宋" w:eastAsia="仿宋" w:cs="仿宋"/>
                <w:color w:val="000000"/>
                <w:kern w:val="0"/>
                <w:sz w:val="22"/>
                <w:szCs w:val="22"/>
                <w:lang w:val="en-US" w:eastAsia="zh-CN"/>
              </w:rPr>
              <w:t>10</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hint="eastAsia" w:ascii="仿宋" w:hAnsi="仿宋" w:eastAsia="仿宋" w:cs="仿宋"/>
                <w:color w:val="000000"/>
                <w:kern w:val="0"/>
                <w:sz w:val="22"/>
                <w:szCs w:val="22"/>
              </w:rPr>
            </w:pPr>
            <w:r>
              <w:rPr>
                <w:rFonts w:hint="eastAsia" w:ascii="仿宋" w:hAnsi="仿宋" w:eastAsia="仿宋" w:cs="仿宋"/>
                <w:color w:val="000000"/>
                <w:sz w:val="22"/>
                <w:szCs w:val="22"/>
              </w:rPr>
              <w:t>按照《可行性研究报告》执行</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default" w:ascii="仿宋" w:hAnsi="仿宋" w:eastAsia="仿宋" w:cs="仿宋"/>
                <w:color w:val="000000"/>
                <w:kern w:val="0"/>
                <w:sz w:val="22"/>
                <w:szCs w:val="22"/>
                <w:lang w:val="en-US" w:eastAsia="zh-CN"/>
              </w:rPr>
            </w:pPr>
            <w:r>
              <w:rPr>
                <w:rFonts w:hint="eastAsia" w:ascii="仿宋" w:hAnsi="仿宋" w:eastAsia="仿宋" w:cs="仿宋"/>
                <w:color w:val="000000"/>
                <w:kern w:val="0"/>
                <w:sz w:val="22"/>
                <w:szCs w:val="22"/>
                <w:lang w:val="en-US" w:eastAsia="zh-CN"/>
              </w:rPr>
              <w:t>9</w:t>
            </w:r>
          </w:p>
        </w:tc>
      </w:tr>
      <w:tr>
        <w:tblPrEx>
          <w:tblCellMar>
            <w:top w:w="0" w:type="dxa"/>
            <w:left w:w="0" w:type="dxa"/>
            <w:bottom w:w="0" w:type="dxa"/>
            <w:right w:w="0" w:type="dxa"/>
          </w:tblCellMar>
        </w:tblPrEx>
        <w:trPr>
          <w:trHeight w:val="408" w:hRule="atLeast"/>
        </w:trPr>
        <w:tc>
          <w:tcPr>
            <w:tcW w:w="12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ind w:firstLine="220" w:firstLineChars="100"/>
              <w:rPr>
                <w:rFonts w:hint="eastAsia" w:ascii="仿宋" w:hAnsi="仿宋" w:eastAsia="仿宋" w:cs="仿宋"/>
                <w:color w:val="000000"/>
                <w:sz w:val="22"/>
                <w:szCs w:val="22"/>
              </w:rPr>
            </w:pPr>
            <w:r>
              <w:rPr>
                <w:rFonts w:hint="eastAsia" w:ascii="仿宋" w:hAnsi="仿宋" w:eastAsia="仿宋" w:cs="仿宋"/>
                <w:color w:val="000000"/>
                <w:sz w:val="22"/>
                <w:szCs w:val="22"/>
              </w:rPr>
              <w:t>合计</w:t>
            </w:r>
          </w:p>
        </w:tc>
        <w:tc>
          <w:tcPr>
            <w:tcW w:w="49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hint="eastAsia" w:ascii="仿宋" w:hAnsi="仿宋" w:eastAsia="仿宋" w:cs="仿宋"/>
              </w:rPr>
            </w:pP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kern w:val="0"/>
                <w:sz w:val="22"/>
                <w:szCs w:val="22"/>
              </w:rPr>
            </w:pP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kern w:val="0"/>
                <w:sz w:val="22"/>
                <w:szCs w:val="22"/>
              </w:rPr>
            </w:pPr>
            <w:r>
              <w:rPr>
                <w:rFonts w:hint="eastAsia" w:ascii="仿宋" w:hAnsi="仿宋" w:eastAsia="仿宋" w:cs="仿宋"/>
                <w:color w:val="000000"/>
                <w:kern w:val="0"/>
                <w:sz w:val="22"/>
                <w:szCs w:val="22"/>
              </w:rPr>
              <w:t>100</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hint="eastAsia" w:ascii="仿宋" w:hAnsi="仿宋" w:eastAsia="仿宋" w:cs="仿宋"/>
                <w:color w:val="000000"/>
                <w:kern w:val="0"/>
                <w:sz w:val="22"/>
                <w:szCs w:val="22"/>
              </w:rPr>
            </w:pP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kern w:val="0"/>
                <w:sz w:val="22"/>
                <w:szCs w:val="22"/>
                <w:lang w:val="en-US" w:eastAsia="zh-CN"/>
              </w:rPr>
            </w:pPr>
            <w:r>
              <w:rPr>
                <w:rFonts w:hint="eastAsia" w:ascii="仿宋" w:hAnsi="仿宋" w:eastAsia="仿宋" w:cs="仿宋"/>
                <w:color w:val="000000"/>
                <w:kern w:val="0"/>
                <w:sz w:val="22"/>
                <w:szCs w:val="22"/>
              </w:rPr>
              <w:t>9</w:t>
            </w:r>
            <w:r>
              <w:rPr>
                <w:rFonts w:hint="eastAsia" w:ascii="仿宋" w:hAnsi="仿宋" w:eastAsia="仿宋" w:cs="仿宋"/>
                <w:color w:val="000000"/>
                <w:kern w:val="0"/>
                <w:sz w:val="22"/>
                <w:szCs w:val="22"/>
                <w:lang w:val="en-US" w:eastAsia="zh-CN"/>
              </w:rPr>
              <w:t>2</w:t>
            </w:r>
          </w:p>
        </w:tc>
      </w:tr>
    </w:tbl>
    <w:p>
      <w:pPr>
        <w:pStyle w:val="2"/>
        <w:spacing w:line="560" w:lineRule="exact"/>
        <w:ind w:left="420" w:leftChars="200" w:firstLine="320" w:firstLineChars="100"/>
        <w:outlineLvl w:val="0"/>
        <w:rPr>
          <w:rFonts w:hint="eastAsia" w:ascii="仿宋" w:hAnsi="仿宋" w:eastAsia="仿宋" w:cs="仿宋"/>
          <w:color w:val="000000"/>
          <w:sz w:val="32"/>
          <w:szCs w:val="32"/>
        </w:rPr>
      </w:pPr>
      <w:bookmarkStart w:id="105" w:name="_Toc2634_WPSOffice_Level1"/>
      <w:r>
        <w:rPr>
          <w:rFonts w:hint="eastAsia" w:ascii="仿宋" w:hAnsi="仿宋" w:eastAsia="仿宋" w:cs="仿宋"/>
          <w:color w:val="000000"/>
          <w:sz w:val="32"/>
          <w:szCs w:val="32"/>
        </w:rPr>
        <w:t>五、评价分析</w:t>
      </w:r>
      <w:bookmarkEnd w:id="105"/>
    </w:p>
    <w:p>
      <w:pPr>
        <w:spacing w:line="560" w:lineRule="exact"/>
        <w:ind w:firstLine="640" w:firstLineChars="200"/>
        <w:outlineLvl w:val="1"/>
        <w:rPr>
          <w:rFonts w:hint="eastAsia" w:ascii="仿宋" w:hAnsi="仿宋" w:eastAsia="仿宋" w:cs="仿宋"/>
          <w:color w:val="000000"/>
          <w:sz w:val="32"/>
          <w:szCs w:val="32"/>
        </w:rPr>
      </w:pPr>
      <w:bookmarkStart w:id="106" w:name="_Toc18513_WPSOffice_Level2"/>
      <w:r>
        <w:rPr>
          <w:rFonts w:hint="eastAsia" w:ascii="仿宋" w:hAnsi="仿宋" w:eastAsia="仿宋" w:cs="仿宋"/>
          <w:color w:val="000000"/>
          <w:sz w:val="32"/>
          <w:szCs w:val="32"/>
        </w:rPr>
        <w:t>（一）主要扣分事项及原因分析</w:t>
      </w:r>
      <w:bookmarkEnd w:id="106"/>
    </w:p>
    <w:p>
      <w:pPr>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color w:val="000000"/>
          <w:sz w:val="32"/>
          <w:szCs w:val="32"/>
        </w:rPr>
        <w:t>因为疫情影响，延误了工程前期的进度。下一步将加大施工进度。</w:t>
      </w:r>
    </w:p>
    <w:p>
      <w:pPr>
        <w:pStyle w:val="2"/>
        <w:tabs>
          <w:tab w:val="left" w:pos="5362"/>
        </w:tabs>
        <w:ind w:firstLine="640"/>
        <w:rPr>
          <w:rFonts w:hint="eastAsia" w:ascii="仿宋" w:hAnsi="仿宋" w:eastAsia="仿宋" w:cs="仿宋"/>
          <w:color w:val="000000"/>
          <w:sz w:val="32"/>
          <w:szCs w:val="32"/>
        </w:rPr>
      </w:pPr>
      <w:bookmarkStart w:id="107" w:name="_Toc11279_WPSOffice_Level1"/>
      <w:r>
        <w:rPr>
          <w:rFonts w:hint="eastAsia" w:ascii="仿宋" w:hAnsi="仿宋" w:eastAsia="仿宋" w:cs="仿宋"/>
          <w:color w:val="000000"/>
          <w:sz w:val="32"/>
          <w:szCs w:val="32"/>
        </w:rPr>
        <w:t>六、意见及建议</w:t>
      </w:r>
      <w:bookmarkEnd w:id="107"/>
    </w:p>
    <w:p>
      <w:pPr>
        <w:rPr>
          <w:rFonts w:hint="eastAsia" w:ascii="仿宋" w:hAnsi="仿宋" w:eastAsia="仿宋" w:cs="仿宋"/>
          <w:sz w:val="32"/>
          <w:szCs w:val="32"/>
          <w:lang w:val="en-US" w:eastAsia="zh-CN"/>
        </w:rPr>
      </w:pPr>
      <w:r>
        <w:rPr>
          <w:rFonts w:hint="eastAsia" w:ascii="仿宋" w:hAnsi="仿宋" w:eastAsia="仿宋" w:cs="仿宋"/>
          <w:sz w:val="32"/>
          <w:szCs w:val="32"/>
        </w:rPr>
        <w:t xml:space="preserve">      根据本着教育是百年大计的基本思想，要求承包方严格落实合同内容，把每一分钱都要花的有意义，严把质量关；并且严格按照债券相关规定严格落实相关支付制度和进度，确保项目正常顺利施工</w:t>
      </w:r>
      <w:r>
        <w:rPr>
          <w:rFonts w:hint="eastAsia" w:ascii="仿宋" w:hAnsi="仿宋" w:eastAsia="仿宋" w:cs="仿宋"/>
          <w:sz w:val="32"/>
          <w:szCs w:val="32"/>
          <w:lang w:eastAsia="zh-CN"/>
        </w:rPr>
        <w:t>。</w:t>
      </w:r>
    </w:p>
    <w:p>
      <w:pPr>
        <w:pStyle w:val="2"/>
        <w:spacing w:line="560" w:lineRule="exact"/>
        <w:ind w:left="420" w:leftChars="200" w:firstLine="4960" w:firstLineChars="1550"/>
        <w:outlineLvl w:val="0"/>
        <w:rPr>
          <w:rFonts w:hint="eastAsia" w:ascii="仿宋" w:hAnsi="仿宋" w:eastAsia="仿宋" w:cs="仿宋"/>
          <w:color w:val="000000"/>
          <w:sz w:val="32"/>
          <w:szCs w:val="32"/>
        </w:rPr>
      </w:pPr>
    </w:p>
    <w:p>
      <w:pPr>
        <w:pStyle w:val="2"/>
        <w:spacing w:line="560" w:lineRule="exact"/>
        <w:ind w:left="420" w:leftChars="200" w:firstLine="4960" w:firstLineChars="1550"/>
        <w:outlineLvl w:val="0"/>
        <w:rPr>
          <w:rFonts w:hint="eastAsia" w:ascii="仿宋" w:hAnsi="仿宋" w:eastAsia="仿宋" w:cs="仿宋"/>
          <w:color w:val="000000"/>
          <w:sz w:val="32"/>
          <w:szCs w:val="32"/>
        </w:rPr>
      </w:pPr>
    </w:p>
    <w:p>
      <w:pPr>
        <w:pStyle w:val="2"/>
        <w:spacing w:line="560" w:lineRule="exact"/>
        <w:ind w:left="420" w:leftChars="200" w:firstLine="4960" w:firstLineChars="1550"/>
        <w:outlineLvl w:val="0"/>
        <w:rPr>
          <w:rFonts w:hint="eastAsia" w:ascii="仿宋" w:hAnsi="仿宋" w:eastAsia="仿宋" w:cs="仿宋"/>
          <w:color w:val="000000"/>
          <w:sz w:val="32"/>
          <w:szCs w:val="32"/>
        </w:rPr>
      </w:pPr>
    </w:p>
    <w:p>
      <w:pPr>
        <w:pStyle w:val="2"/>
        <w:spacing w:line="560" w:lineRule="exact"/>
        <w:ind w:left="420" w:leftChars="200" w:firstLine="4960" w:firstLineChars="1550"/>
        <w:outlineLvl w:val="0"/>
        <w:rPr>
          <w:rFonts w:hint="eastAsia" w:ascii="仿宋" w:hAnsi="仿宋" w:eastAsia="仿宋" w:cs="仿宋"/>
          <w:color w:val="000000"/>
          <w:sz w:val="32"/>
          <w:szCs w:val="32"/>
        </w:rPr>
      </w:pPr>
    </w:p>
    <w:p>
      <w:pPr>
        <w:pStyle w:val="2"/>
        <w:spacing w:line="560" w:lineRule="exact"/>
        <w:ind w:left="420" w:leftChars="200" w:firstLine="4960" w:firstLineChars="1550"/>
        <w:outlineLvl w:val="0"/>
        <w:rPr>
          <w:rFonts w:hint="eastAsia" w:ascii="仿宋" w:hAnsi="仿宋" w:eastAsia="仿宋" w:cs="仿宋"/>
          <w:color w:val="000000"/>
          <w:sz w:val="32"/>
          <w:szCs w:val="32"/>
        </w:rPr>
      </w:pPr>
    </w:p>
    <w:p>
      <w:pPr>
        <w:pStyle w:val="2"/>
        <w:spacing w:line="560" w:lineRule="exact"/>
        <w:ind w:left="420" w:leftChars="200" w:firstLine="4960" w:firstLineChars="1550"/>
        <w:outlineLvl w:val="0"/>
        <w:rPr>
          <w:rFonts w:hint="eastAsia" w:ascii="仿宋" w:hAnsi="仿宋" w:eastAsia="仿宋" w:cs="仿宋"/>
          <w:color w:val="000000"/>
          <w:sz w:val="32"/>
          <w:szCs w:val="32"/>
        </w:rPr>
      </w:pPr>
      <w:r>
        <w:rPr>
          <w:rFonts w:hint="eastAsia" w:ascii="仿宋" w:hAnsi="仿宋" w:eastAsia="仿宋" w:cs="仿宋"/>
          <w:color w:val="000000"/>
          <w:sz w:val="32"/>
          <w:szCs w:val="32"/>
        </w:rPr>
        <w:t>2023年3月18日</w:t>
      </w:r>
    </w:p>
    <w:p>
      <w:pPr>
        <w:rPr>
          <w:rFonts w:hint="eastAsia" w:ascii="仿宋" w:hAnsi="仿宋" w:eastAsia="仿宋" w:cs="仿宋"/>
          <w:sz w:val="32"/>
          <w:szCs w:val="32"/>
        </w:rPr>
      </w:pPr>
    </w:p>
    <w:sectPr>
      <w:footerReference r:id="rId3" w:type="default"/>
      <w:pgSz w:w="11906" w:h="16838"/>
      <w:pgMar w:top="2154" w:right="1474" w:bottom="1984" w:left="1587"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ml5N0zAEAAKcDAAAOAAAAAAAAAAEAIAAAAB4BAABkcnMvZTJv&#10;RG9jLnhtbFBLBQYAAAAABgAGAFkBAABcBQ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3D5B9C"/>
    <w:multiLevelType w:val="singleLevel"/>
    <w:tmpl w:val="F63D5B9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YzYzVjOGZjYjAwNWExZTRhZTMzMzNkNmVjYmMyZGQifQ=="/>
    <w:docVar w:name="KSO_WPS_MARK_KEY" w:val="f776f32f-b663-4955-84a9-2942027ad134"/>
  </w:docVars>
  <w:rsids>
    <w:rsidRoot w:val="07CC499B"/>
    <w:rsid w:val="00064099"/>
    <w:rsid w:val="00065504"/>
    <w:rsid w:val="00082815"/>
    <w:rsid w:val="00092B14"/>
    <w:rsid w:val="000D47D0"/>
    <w:rsid w:val="000E53E5"/>
    <w:rsid w:val="00114F1B"/>
    <w:rsid w:val="001373BE"/>
    <w:rsid w:val="001F3212"/>
    <w:rsid w:val="0022308A"/>
    <w:rsid w:val="002707C6"/>
    <w:rsid w:val="00280F82"/>
    <w:rsid w:val="003170CE"/>
    <w:rsid w:val="003C4354"/>
    <w:rsid w:val="003D229A"/>
    <w:rsid w:val="004C52E2"/>
    <w:rsid w:val="00502279"/>
    <w:rsid w:val="00592ACE"/>
    <w:rsid w:val="005D3B3A"/>
    <w:rsid w:val="005E3413"/>
    <w:rsid w:val="00645DBC"/>
    <w:rsid w:val="006A784F"/>
    <w:rsid w:val="006B7269"/>
    <w:rsid w:val="007812E3"/>
    <w:rsid w:val="00814E39"/>
    <w:rsid w:val="008A1D29"/>
    <w:rsid w:val="008C7CF4"/>
    <w:rsid w:val="0096774B"/>
    <w:rsid w:val="009F612B"/>
    <w:rsid w:val="00A02C66"/>
    <w:rsid w:val="00A467A5"/>
    <w:rsid w:val="00AB413B"/>
    <w:rsid w:val="00B60E03"/>
    <w:rsid w:val="00B94C10"/>
    <w:rsid w:val="00BF2BA4"/>
    <w:rsid w:val="00C000C5"/>
    <w:rsid w:val="00C350F3"/>
    <w:rsid w:val="00D12A86"/>
    <w:rsid w:val="00D25A69"/>
    <w:rsid w:val="00D25CC3"/>
    <w:rsid w:val="00D3165F"/>
    <w:rsid w:val="00D471F4"/>
    <w:rsid w:val="00D5394A"/>
    <w:rsid w:val="00D71CAC"/>
    <w:rsid w:val="00DB6DF3"/>
    <w:rsid w:val="00E30CAE"/>
    <w:rsid w:val="00E310A2"/>
    <w:rsid w:val="00E84622"/>
    <w:rsid w:val="00EF2BA5"/>
    <w:rsid w:val="00EF6DA3"/>
    <w:rsid w:val="00F800C8"/>
    <w:rsid w:val="00FA340E"/>
    <w:rsid w:val="018D7EF2"/>
    <w:rsid w:val="01B67D1F"/>
    <w:rsid w:val="01CA2AF2"/>
    <w:rsid w:val="01E513B5"/>
    <w:rsid w:val="02497AEA"/>
    <w:rsid w:val="0254199D"/>
    <w:rsid w:val="02EC598D"/>
    <w:rsid w:val="03274687"/>
    <w:rsid w:val="04064A0C"/>
    <w:rsid w:val="04321BCD"/>
    <w:rsid w:val="04FF4482"/>
    <w:rsid w:val="05525522"/>
    <w:rsid w:val="057A0A50"/>
    <w:rsid w:val="064C4C17"/>
    <w:rsid w:val="06575F5D"/>
    <w:rsid w:val="06B321F8"/>
    <w:rsid w:val="073C31C4"/>
    <w:rsid w:val="076C3175"/>
    <w:rsid w:val="07846919"/>
    <w:rsid w:val="079A5E12"/>
    <w:rsid w:val="07CC499B"/>
    <w:rsid w:val="0815567D"/>
    <w:rsid w:val="0846788A"/>
    <w:rsid w:val="08A75568"/>
    <w:rsid w:val="0909607F"/>
    <w:rsid w:val="092D370C"/>
    <w:rsid w:val="09A64785"/>
    <w:rsid w:val="0A3B4E4B"/>
    <w:rsid w:val="0ADB26E6"/>
    <w:rsid w:val="0B4868DB"/>
    <w:rsid w:val="0B601B06"/>
    <w:rsid w:val="0BEB58BF"/>
    <w:rsid w:val="0BEF0CC8"/>
    <w:rsid w:val="0BF11918"/>
    <w:rsid w:val="0C15027B"/>
    <w:rsid w:val="0C3B2A49"/>
    <w:rsid w:val="0DAA4EE9"/>
    <w:rsid w:val="0E3117D9"/>
    <w:rsid w:val="102B0836"/>
    <w:rsid w:val="1064155D"/>
    <w:rsid w:val="11427B0D"/>
    <w:rsid w:val="1156122B"/>
    <w:rsid w:val="11586E4C"/>
    <w:rsid w:val="11E83CD4"/>
    <w:rsid w:val="11F11891"/>
    <w:rsid w:val="12C35BB4"/>
    <w:rsid w:val="140849FA"/>
    <w:rsid w:val="14583EA3"/>
    <w:rsid w:val="14F46F2F"/>
    <w:rsid w:val="151D09B5"/>
    <w:rsid w:val="16046F64"/>
    <w:rsid w:val="16351E52"/>
    <w:rsid w:val="1689469A"/>
    <w:rsid w:val="16DB1E7D"/>
    <w:rsid w:val="178C6C5A"/>
    <w:rsid w:val="17CD646A"/>
    <w:rsid w:val="184F3049"/>
    <w:rsid w:val="1B3F225B"/>
    <w:rsid w:val="1B4269FF"/>
    <w:rsid w:val="1CE874FA"/>
    <w:rsid w:val="1CED01C5"/>
    <w:rsid w:val="1D4B3C83"/>
    <w:rsid w:val="1DBD7AB3"/>
    <w:rsid w:val="1E0B387E"/>
    <w:rsid w:val="210C59C8"/>
    <w:rsid w:val="21460607"/>
    <w:rsid w:val="215361B4"/>
    <w:rsid w:val="21FF1E9B"/>
    <w:rsid w:val="23C1122C"/>
    <w:rsid w:val="243D751D"/>
    <w:rsid w:val="24522B03"/>
    <w:rsid w:val="24DF1E39"/>
    <w:rsid w:val="25ED2FD4"/>
    <w:rsid w:val="264A346A"/>
    <w:rsid w:val="26C4552D"/>
    <w:rsid w:val="270A41B9"/>
    <w:rsid w:val="274B3C4E"/>
    <w:rsid w:val="277346FC"/>
    <w:rsid w:val="285356FD"/>
    <w:rsid w:val="288E37E0"/>
    <w:rsid w:val="28CE18BA"/>
    <w:rsid w:val="28EE05B3"/>
    <w:rsid w:val="290243B4"/>
    <w:rsid w:val="29503BAF"/>
    <w:rsid w:val="2A5C748F"/>
    <w:rsid w:val="2A9304D7"/>
    <w:rsid w:val="2B10000E"/>
    <w:rsid w:val="2B2D56DA"/>
    <w:rsid w:val="2C0E0907"/>
    <w:rsid w:val="2D391E20"/>
    <w:rsid w:val="2F414A87"/>
    <w:rsid w:val="302E44E1"/>
    <w:rsid w:val="30785FD3"/>
    <w:rsid w:val="30C04DAB"/>
    <w:rsid w:val="31702E0D"/>
    <w:rsid w:val="332141D3"/>
    <w:rsid w:val="332350B4"/>
    <w:rsid w:val="335F4901"/>
    <w:rsid w:val="33C32B3C"/>
    <w:rsid w:val="34E52524"/>
    <w:rsid w:val="35CA4ECD"/>
    <w:rsid w:val="35CE5164"/>
    <w:rsid w:val="35F07825"/>
    <w:rsid w:val="360C2FBA"/>
    <w:rsid w:val="363913FE"/>
    <w:rsid w:val="36D6548C"/>
    <w:rsid w:val="376918C7"/>
    <w:rsid w:val="37832AC7"/>
    <w:rsid w:val="37F25055"/>
    <w:rsid w:val="38195BED"/>
    <w:rsid w:val="385E093C"/>
    <w:rsid w:val="39B23A02"/>
    <w:rsid w:val="3A4766ED"/>
    <w:rsid w:val="3A713A3B"/>
    <w:rsid w:val="3AAB2217"/>
    <w:rsid w:val="3CAE49E3"/>
    <w:rsid w:val="3CE03B5D"/>
    <w:rsid w:val="3DAE40CB"/>
    <w:rsid w:val="3E7103A9"/>
    <w:rsid w:val="3E7E746E"/>
    <w:rsid w:val="3EBE2184"/>
    <w:rsid w:val="3F063730"/>
    <w:rsid w:val="3F26568B"/>
    <w:rsid w:val="3F5912F8"/>
    <w:rsid w:val="3F9B4224"/>
    <w:rsid w:val="3F9B4FC0"/>
    <w:rsid w:val="411967CB"/>
    <w:rsid w:val="41B74B09"/>
    <w:rsid w:val="43DC781A"/>
    <w:rsid w:val="441C7555"/>
    <w:rsid w:val="450A0AA4"/>
    <w:rsid w:val="45236574"/>
    <w:rsid w:val="459060F5"/>
    <w:rsid w:val="46434BE2"/>
    <w:rsid w:val="46AA6AA7"/>
    <w:rsid w:val="475F756A"/>
    <w:rsid w:val="478E0E32"/>
    <w:rsid w:val="47DF3FDA"/>
    <w:rsid w:val="485D6F61"/>
    <w:rsid w:val="48A2447B"/>
    <w:rsid w:val="49331971"/>
    <w:rsid w:val="49430BD9"/>
    <w:rsid w:val="494625CA"/>
    <w:rsid w:val="49BC1773"/>
    <w:rsid w:val="4A0A7332"/>
    <w:rsid w:val="4BD23ED8"/>
    <w:rsid w:val="4C2846CD"/>
    <w:rsid w:val="4C7A4C55"/>
    <w:rsid w:val="4D8A3570"/>
    <w:rsid w:val="4F6A54EE"/>
    <w:rsid w:val="4FDF6ED1"/>
    <w:rsid w:val="50A8393E"/>
    <w:rsid w:val="514C0EC5"/>
    <w:rsid w:val="51F50157"/>
    <w:rsid w:val="52866F20"/>
    <w:rsid w:val="52EE7A8B"/>
    <w:rsid w:val="53422EDD"/>
    <w:rsid w:val="535B290E"/>
    <w:rsid w:val="53F1208F"/>
    <w:rsid w:val="54DE5250"/>
    <w:rsid w:val="55180705"/>
    <w:rsid w:val="55495194"/>
    <w:rsid w:val="56115CEE"/>
    <w:rsid w:val="562722FF"/>
    <w:rsid w:val="56D42516"/>
    <w:rsid w:val="56FE5044"/>
    <w:rsid w:val="57E03285"/>
    <w:rsid w:val="5AE71036"/>
    <w:rsid w:val="5B0967A9"/>
    <w:rsid w:val="5B5F30DA"/>
    <w:rsid w:val="5BAF6F84"/>
    <w:rsid w:val="5BE03A0F"/>
    <w:rsid w:val="5C1318BA"/>
    <w:rsid w:val="5D5C7CBD"/>
    <w:rsid w:val="5D7521CD"/>
    <w:rsid w:val="5DF86B3F"/>
    <w:rsid w:val="5F1C1ADB"/>
    <w:rsid w:val="5F96578B"/>
    <w:rsid w:val="600B4656"/>
    <w:rsid w:val="60134031"/>
    <w:rsid w:val="60C120AA"/>
    <w:rsid w:val="6304094B"/>
    <w:rsid w:val="64165E4C"/>
    <w:rsid w:val="6424218B"/>
    <w:rsid w:val="64930C78"/>
    <w:rsid w:val="64E96A47"/>
    <w:rsid w:val="652F7039"/>
    <w:rsid w:val="6536013A"/>
    <w:rsid w:val="675E268C"/>
    <w:rsid w:val="688600B0"/>
    <w:rsid w:val="68DA698B"/>
    <w:rsid w:val="68F762CF"/>
    <w:rsid w:val="6A3E1F45"/>
    <w:rsid w:val="6B9F560F"/>
    <w:rsid w:val="6CBF73E3"/>
    <w:rsid w:val="6CCC6D4C"/>
    <w:rsid w:val="6D0645FE"/>
    <w:rsid w:val="6D5F4EC3"/>
    <w:rsid w:val="6E3F5A2C"/>
    <w:rsid w:val="7008088F"/>
    <w:rsid w:val="712634CC"/>
    <w:rsid w:val="71A3781D"/>
    <w:rsid w:val="71DD6DB1"/>
    <w:rsid w:val="71F724F7"/>
    <w:rsid w:val="722E49E6"/>
    <w:rsid w:val="724E698E"/>
    <w:rsid w:val="72EC7885"/>
    <w:rsid w:val="756501CF"/>
    <w:rsid w:val="75B74C0D"/>
    <w:rsid w:val="778F438E"/>
    <w:rsid w:val="78D73B0D"/>
    <w:rsid w:val="79905EA0"/>
    <w:rsid w:val="7A055146"/>
    <w:rsid w:val="7A757A3F"/>
    <w:rsid w:val="7BBF044F"/>
    <w:rsid w:val="7C647BFE"/>
    <w:rsid w:val="7D9B64C3"/>
    <w:rsid w:val="7FA8571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ind w:firstLine="420"/>
    </w:pPr>
  </w:style>
  <w:style w:type="paragraph" w:styleId="3">
    <w:name w:val="Body Text Indent"/>
    <w:basedOn w:val="1"/>
    <w:qFormat/>
    <w:uiPriority w:val="0"/>
    <w:pPr>
      <w:spacing w:line="600" w:lineRule="exact"/>
      <w:ind w:firstLine="560" w:firstLineChars="200"/>
      <w:textAlignment w:val="center"/>
    </w:pPr>
    <w:rPr>
      <w:rFonts w:ascii="宋体" w:hAnsi="宋体"/>
      <w:color w:val="FF0000"/>
      <w:sz w:val="28"/>
      <w:szCs w:val="2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100" w:beforeAutospacing="1" w:after="100" w:afterAutospacing="1"/>
      <w:jc w:val="left"/>
    </w:pPr>
    <w:rPr>
      <w:kern w:val="0"/>
      <w:sz w:val="24"/>
    </w:rPr>
  </w:style>
  <w:style w:type="character" w:styleId="9">
    <w:name w:val="Strong"/>
    <w:basedOn w:val="8"/>
    <w:qFormat/>
    <w:uiPriority w:val="0"/>
    <w:rPr>
      <w:b/>
    </w:rPr>
  </w:style>
  <w:style w:type="paragraph" w:customStyle="1" w:styleId="10">
    <w:name w:val="WPSOffice手动目录 1"/>
    <w:qFormat/>
    <w:uiPriority w:val="0"/>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12">
    <w:name w:val="页眉 Char"/>
    <w:basedOn w:val="8"/>
    <w:link w:val="5"/>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2544</Words>
  <Characters>2641</Characters>
  <Lines>20</Lines>
  <Paragraphs>5</Paragraphs>
  <TotalTime>8</TotalTime>
  <ScaleCrop>false</ScaleCrop>
  <LinksUpToDate>false</LinksUpToDate>
  <CharactersWithSpaces>2740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2021-07-20T09:00:00Z</dcterms:created>
  <dc:creator>user</dc:creator>
  <cp:lastModifiedBy>lenovo</cp:lastModifiedBy>
  <cp:lastPrinted>2023-03-21T03:34:00Z</cp:lastPrinted>
  <dcterms:modified xsi:type="dcterms:W3CDTF">2023-03-23T02:41:51Z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53CF8162C765424FB8B91664B6E7AA8A</vt:lpwstr>
  </property>
</Properties>
</file>