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0</w:t>
      </w:r>
      <w:bookmarkStart w:id="60" w:name="_GoBack"/>
      <w:bookmarkEnd w:id="60"/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20" w:firstLineChars="199"/>
        <w:jc w:val="center"/>
        <w:rPr>
          <w:rFonts w:hint="eastAsia" w:ascii="仿宋国标_GB2312" w:hAnsi="仿宋_GB2312" w:eastAsia="仿宋国标_GB2312" w:cs="仿宋_GB2312"/>
          <w:b/>
          <w:bCs/>
          <w:spacing w:val="-20"/>
          <w:sz w:val="40"/>
          <w:szCs w:val="40"/>
        </w:rPr>
      </w:pPr>
      <w:r>
        <w:rPr>
          <w:rFonts w:hint="eastAsia" w:ascii="仿宋国标_GB2312" w:hAnsi="仿宋_GB2312" w:eastAsia="仿宋国标_GB2312" w:cs="仿宋_GB2312"/>
          <w:b/>
          <w:bCs/>
          <w:spacing w:val="-20"/>
          <w:sz w:val="40"/>
          <w:szCs w:val="40"/>
        </w:rPr>
        <w:t>隆尧县城关校区</w:t>
      </w:r>
    </w:p>
    <w:p>
      <w:pPr>
        <w:spacing w:line="580" w:lineRule="exact"/>
        <w:ind w:firstLine="720" w:firstLineChars="199"/>
        <w:jc w:val="center"/>
        <w:rPr>
          <w:rFonts w:hint="eastAsia" w:ascii="仿宋国标_GB2312" w:hAnsi="仿宋_GB2312" w:eastAsia="仿宋国标_GB2312" w:cs="仿宋_GB2312"/>
          <w:b/>
          <w:bCs/>
          <w:spacing w:val="-20"/>
          <w:sz w:val="40"/>
          <w:szCs w:val="40"/>
        </w:rPr>
      </w:pPr>
      <w:r>
        <w:rPr>
          <w:rFonts w:hint="eastAsia" w:ascii="仿宋国标_GB2312" w:hAnsi="仿宋_GB2312" w:eastAsia="仿宋国标_GB2312" w:cs="仿宋_GB2312"/>
          <w:b/>
          <w:bCs/>
          <w:spacing w:val="-20"/>
          <w:sz w:val="40"/>
          <w:szCs w:val="40"/>
        </w:rPr>
        <w:t>柳行小学教学楼</w:t>
      </w:r>
      <w:r>
        <w:rPr>
          <w:rFonts w:hint="eastAsia" w:ascii="仿宋国标_GB2312" w:hAnsi="仿宋_GB2312" w:eastAsia="仿宋国标_GB2312" w:cs="仿宋_GB2312"/>
          <w:b/>
          <w:bCs/>
          <w:sz w:val="40"/>
          <w:szCs w:val="40"/>
        </w:rPr>
        <w:t>项目重点自评绩效报告</w:t>
      </w:r>
    </w:p>
    <w:p>
      <w:pPr>
        <w:rPr>
          <w:rFonts w:ascii="仿宋_GB2312" w:hAnsi="仿宋_GB2312" w:eastAsia="仿宋_GB2312" w:cs="仿宋_GB2312"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40"/>
          <w:szCs w:val="40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>
      <w:pPr>
        <w:spacing w:line="760" w:lineRule="exact"/>
        <w:rPr>
          <w:rFonts w:hint="eastAsia" w:ascii="仿宋国标2312" w:hAnsi="仿宋_GB2312" w:eastAsia="仿宋国标2312" w:cs="仿宋_GB2312"/>
          <w:color w:val="000000" w:themeColor="text1"/>
          <w:spacing w:val="-20"/>
          <w:sz w:val="32"/>
          <w:szCs w:val="32"/>
          <w:u w:val="single"/>
        </w:rPr>
      </w:pPr>
      <w:r>
        <w:rPr>
          <w:rFonts w:hint="eastAsia" w:ascii="仿宋国标2312" w:hAnsi="仿宋_GB2312" w:eastAsia="仿宋国标2312" w:cs="仿宋_GB2312"/>
          <w:color w:val="000000" w:themeColor="text1"/>
          <w:spacing w:val="11"/>
          <w:sz w:val="32"/>
          <w:szCs w:val="32"/>
        </w:rPr>
        <w:t>项 目 名 称：</w:t>
      </w:r>
      <w:r>
        <w:rPr>
          <w:rFonts w:hint="eastAsia" w:ascii="仿宋国标2312" w:hAnsi="仿宋_GB2312" w:eastAsia="仿宋国标2312" w:cs="仿宋_GB2312"/>
          <w:color w:val="000000" w:themeColor="text1"/>
          <w:kern w:val="0"/>
          <w:sz w:val="32"/>
          <w:szCs w:val="32"/>
          <w:u w:val="single"/>
        </w:rPr>
        <w:t>隆尧县柳行小学教学楼</w:t>
      </w:r>
      <w:r>
        <w:rPr>
          <w:rFonts w:hint="eastAsia" w:ascii="仿宋国标2312" w:hAnsi="仿宋_GB2312" w:eastAsia="仿宋国标2312" w:cs="仿宋_GB2312"/>
          <w:b w:val="0"/>
          <w:bCs w:val="0"/>
          <w:color w:val="000000" w:themeColor="text1"/>
          <w:sz w:val="32"/>
          <w:szCs w:val="32"/>
          <w:u w:val="single"/>
        </w:rPr>
        <w:t xml:space="preserve">项目  </w:t>
      </w:r>
    </w:p>
    <w:p>
      <w:pPr>
        <w:spacing w:line="760" w:lineRule="exact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项目实施单位：</w:t>
      </w:r>
      <w:r>
        <w:rPr>
          <w:rFonts w:hint="eastAsia" w:ascii="仿宋国标2312" w:hAnsi="仿宋_GB2312" w:eastAsia="仿宋国标2312" w:cs="仿宋_GB2312"/>
          <w:color w:val="000000" w:themeColor="text1"/>
          <w:kern w:val="0"/>
          <w:sz w:val="32"/>
          <w:szCs w:val="32"/>
          <w:u w:val="single"/>
        </w:rPr>
        <w:t>隆尧县城关校区</w:t>
      </w:r>
    </w:p>
    <w:p>
      <w:pPr>
        <w:spacing w:line="760" w:lineRule="exact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国标2312" w:hAnsi="仿宋_GB2312" w:eastAsia="仿宋国标2312" w:cs="仿宋_GB2312"/>
          <w:color w:val="000000" w:themeColor="text1"/>
          <w:spacing w:val="28"/>
          <w:sz w:val="32"/>
          <w:szCs w:val="32"/>
        </w:rPr>
        <w:t>项目总金额：</w:t>
      </w:r>
      <w:r>
        <w:rPr>
          <w:rFonts w:hint="eastAsia" w:ascii="仿宋国标2312" w:hAnsi="仿宋_GB2312" w:eastAsia="仿宋国标2312" w:cs="仿宋_GB2312"/>
          <w:color w:val="000000" w:themeColor="text1"/>
          <w:kern w:val="0"/>
          <w:sz w:val="32"/>
          <w:szCs w:val="32"/>
          <w:u w:val="single"/>
        </w:rPr>
        <w:t>400万元</w:t>
      </w:r>
    </w:p>
    <w:p>
      <w:pPr>
        <w:spacing w:line="760" w:lineRule="exact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国标2312" w:hAnsi="仿宋_GB2312" w:eastAsia="仿宋国标2312" w:cs="仿宋_GB2312"/>
          <w:color w:val="000000" w:themeColor="text1"/>
          <w:spacing w:val="11"/>
          <w:sz w:val="32"/>
          <w:szCs w:val="32"/>
        </w:rPr>
        <w:t>评 价 年 度：</w:t>
      </w: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u w:val="single"/>
        </w:rPr>
        <w:t>2022年度</w:t>
      </w:r>
    </w:p>
    <w:p>
      <w:pPr>
        <w:spacing w:line="760" w:lineRule="exact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国标2312" w:hAnsi="仿宋_GB2312" w:eastAsia="仿宋国标2312" w:cs="仿宋_GB2312"/>
          <w:color w:val="000000" w:themeColor="text1"/>
          <w:spacing w:val="28"/>
          <w:sz w:val="32"/>
          <w:szCs w:val="32"/>
        </w:rPr>
        <w:t>评价组组长：</w:t>
      </w:r>
      <w:r>
        <w:rPr>
          <w:rFonts w:hint="eastAsia" w:ascii="仿宋国标2312" w:hAnsi="仿宋_GB2312" w:eastAsia="仿宋国标2312" w:cs="仿宋_GB2312"/>
          <w:color w:val="000000" w:themeColor="text1"/>
          <w:spacing w:val="28"/>
          <w:sz w:val="32"/>
          <w:szCs w:val="32"/>
          <w:u w:val="single"/>
        </w:rPr>
        <w:t>郑计春</w:t>
      </w:r>
    </w:p>
    <w:p>
      <w:pPr>
        <w:spacing w:line="760" w:lineRule="exact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pacing w:val="28"/>
          <w:sz w:val="32"/>
          <w:szCs w:val="32"/>
        </w:rPr>
        <w:t>评价组成员：</w:t>
      </w:r>
      <w:r>
        <w:rPr>
          <w:rFonts w:hint="eastAsia" w:ascii="仿宋国标2312" w:hAnsi="仿宋_GB2312" w:eastAsia="仿宋国标2312" w:cs="仿宋_GB2312"/>
          <w:color w:val="000000" w:themeColor="text1"/>
          <w:spacing w:val="28"/>
          <w:sz w:val="32"/>
          <w:szCs w:val="32"/>
          <w:u w:val="single"/>
        </w:rPr>
        <w:t xml:space="preserve">郑运华 雷宪法 李戈平 李志华 </w:t>
      </w:r>
      <w:r>
        <w:rPr>
          <w:rFonts w:hint="eastAsia" w:ascii="仿宋国标2312" w:hAnsi="仿宋_GB2312" w:eastAsia="仿宋国标2312" w:cs="仿宋_GB2312"/>
          <w:color w:val="000000" w:themeColor="text1"/>
          <w:spacing w:val="28"/>
          <w:sz w:val="32"/>
          <w:szCs w:val="32"/>
        </w:rPr>
        <w:t xml:space="preserve"> </w:t>
      </w:r>
      <w:bookmarkStart w:id="0" w:name="_Toc5909_WPSOffice_Level1"/>
      <w:bookmarkStart w:id="1" w:name="_Toc7470_WPSOffice_Level1"/>
    </w:p>
    <w:bookmarkEnd w:id="0"/>
    <w:bookmarkEnd w:id="1"/>
    <w:p>
      <w:pPr>
        <w:pStyle w:val="2"/>
        <w:spacing w:line="120" w:lineRule="exact"/>
        <w:ind w:firstLine="560"/>
        <w:rPr>
          <w:rFonts w:hint="eastAsia" w:ascii="仿宋国标2312" w:hAnsi="仿宋_GB2312" w:eastAsia="仿宋国标2312" w:cs="仿宋_GB2312"/>
          <w:color w:val="000000" w:themeColor="text1"/>
        </w:rPr>
      </w:pPr>
    </w:p>
    <w:p>
      <w:pPr>
        <w:spacing w:line="580" w:lineRule="exact"/>
        <w:ind w:firstLine="562" w:firstLineChars="200"/>
        <w:outlineLvl w:val="0"/>
        <w:rPr>
          <w:rFonts w:hint="eastAsia" w:ascii="仿宋国标2312" w:hAnsi="仿宋_GB2312" w:eastAsia="仿宋国标2312" w:cs="仿宋_GB2312"/>
          <w:b/>
          <w:bCs/>
          <w:color w:val="000000" w:themeColor="text1"/>
          <w:sz w:val="28"/>
          <w:szCs w:val="28"/>
        </w:rPr>
      </w:pPr>
      <w:bookmarkStart w:id="2" w:name="_Toc4013"/>
      <w:bookmarkStart w:id="3" w:name="_Toc16913"/>
      <w:bookmarkStart w:id="4" w:name="_Toc9525"/>
      <w:bookmarkStart w:id="5" w:name="_Toc11301"/>
      <w:bookmarkStart w:id="6" w:name="_Toc23411"/>
      <w:bookmarkStart w:id="7" w:name="_Toc6314"/>
      <w:bookmarkStart w:id="8" w:name="_Toc2245"/>
      <w:bookmarkStart w:id="9" w:name="_Toc30335"/>
      <w:bookmarkStart w:id="10" w:name="_Toc18334"/>
      <w:bookmarkStart w:id="11" w:name="_Toc13153"/>
    </w:p>
    <w:p>
      <w:pPr>
        <w:spacing w:line="580" w:lineRule="exact"/>
        <w:ind w:firstLine="643" w:firstLineChars="200"/>
        <w:outlineLvl w:val="0"/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bookmarkStart w:id="12" w:name="_Toc23957"/>
      <w:bookmarkStart w:id="13" w:name="_Toc30895"/>
      <w:bookmarkStart w:id="14" w:name="_Toc19370"/>
      <w:bookmarkStart w:id="15" w:name="_Toc24784"/>
      <w:bookmarkStart w:id="16" w:name="_Toc22285"/>
      <w:bookmarkStart w:id="17" w:name="_Toc19963"/>
      <w:bookmarkStart w:id="18" w:name="_Toc32742"/>
      <w:bookmarkStart w:id="19" w:name="_Toc22453"/>
      <w:bookmarkStart w:id="20" w:name="_Toc15831"/>
      <w:bookmarkStart w:id="21" w:name="_Toc937"/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pacing w:line="580" w:lineRule="exact"/>
        <w:ind w:firstLine="640" w:firstLineChars="200"/>
        <w:outlineLvl w:val="1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bookmarkStart w:id="22" w:name="_Toc15167"/>
      <w:bookmarkStart w:id="23" w:name="_Toc29308"/>
      <w:bookmarkStart w:id="24" w:name="_Toc8843"/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隆尧县城关校区位于隆尧县隆尧镇东关村，校区秉承以实施素质教育为核心，以规范管理为重点，以质量效益为主题，以学校布局调整和新课程改造为契机，坚持以人为本，促进学生教师学校全面和谐发展的办学目标，以开放、民主、和谐、发展的精神引领学校各项工作顺利开展，积极实施“规范化、现代化、特色化”的办学思想，推行民主化、人性化、制度化、精细化的管理模式，把提高教育教学质量作为工作中心，把培养学生创新精神、综合素质、良好的思想品质作为重点，以建立高尚的师德师风和转变管理人员的工作作风为突破口，加快教育现代化和教育教学改革的步伐，推动了学校各项工作的快速发展，为培养新世纪人才奠定了扎实的基础。。</w:t>
      </w:r>
    </w:p>
    <w:p>
      <w:pPr>
        <w:spacing w:line="580" w:lineRule="exact"/>
        <w:ind w:firstLine="640" w:firstLineChars="200"/>
        <w:outlineLvl w:val="1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（二）项目基本情况</w:t>
      </w:r>
      <w:bookmarkEnd w:id="22"/>
      <w:bookmarkEnd w:id="23"/>
      <w:bookmarkEnd w:id="24"/>
    </w:p>
    <w:p>
      <w:pPr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bookmarkStart w:id="25" w:name="_Toc26594"/>
      <w:bookmarkStart w:id="26" w:name="_Toc24191"/>
      <w:bookmarkStart w:id="27" w:name="_Toc32656"/>
      <w:bookmarkStart w:id="28" w:name="_Toc27552"/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1、项目名称：隆尧县柳行小学教学楼</w:t>
      </w:r>
    </w:p>
    <w:p>
      <w:pPr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2、建设性质：新建</w:t>
      </w:r>
    </w:p>
    <w:p>
      <w:pPr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3、建设单位：隆尧县城关校区</w:t>
      </w:r>
    </w:p>
    <w:p>
      <w:pPr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4、建设地点：隆尧县柳行路南侧柳行小学院内</w:t>
      </w:r>
    </w:p>
    <w:p>
      <w:pPr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5、建设内容和规模：项目总占地1080平方米，总建筑面积4510平方米，主要建设教学楼一栋,设计为4层，框架结构。</w:t>
      </w:r>
    </w:p>
    <w:p>
      <w:pPr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6、项目中标金额：本项目由河北康盈建筑有限公司以839.899164万元中标承建，合同约定于2021年8月28日开工建设；</w:t>
      </w: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lang w:val="en-US" w:eastAsia="zh-CN"/>
        </w:rPr>
        <w:t>2022年6月完工</w:t>
      </w: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。</w:t>
      </w:r>
    </w:p>
    <w:bookmarkEnd w:id="25"/>
    <w:bookmarkEnd w:id="26"/>
    <w:bookmarkEnd w:id="27"/>
    <w:bookmarkEnd w:id="28"/>
    <w:p>
      <w:pPr>
        <w:pStyle w:val="2"/>
        <w:ind w:firstLine="562"/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</w:pPr>
      <w:bookmarkStart w:id="29" w:name="_Toc6781"/>
      <w:bookmarkStart w:id="30" w:name="_Toc14644"/>
      <w:bookmarkStart w:id="31" w:name="_Toc7839"/>
      <w:bookmarkStart w:id="32" w:name="_Toc28908"/>
      <w:bookmarkStart w:id="33" w:name="_Toc26109"/>
      <w:bookmarkStart w:id="34" w:name="_Toc17782"/>
      <w:bookmarkStart w:id="35" w:name="_Toc2988"/>
      <w:bookmarkStart w:id="36" w:name="_Toc12860"/>
      <w:bookmarkStart w:id="37" w:name="_Toc18992"/>
      <w:bookmarkStart w:id="38" w:name="_Toc4859"/>
      <w:r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2"/>
        <w:ind w:firstLine="56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本项目由隆尧县限额交易系统选取勘察、设计、造价等前期咨询单位，通过公开招标的方式选取施工、监理中标单位。严格按照国家及省市县相关要求进行财务管理，执行国家有关法律、法规和财务规章制度，坚持勤俭办一切事业的方针，在单位负责人的领导下，由单位财务部门统一管理。</w:t>
      </w:r>
    </w:p>
    <w:p>
      <w:pPr>
        <w:spacing w:line="580" w:lineRule="exact"/>
        <w:ind w:firstLine="643" w:firstLineChars="200"/>
        <w:jc w:val="left"/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</w:pPr>
      <w:bookmarkStart w:id="39" w:name="_Toc6451"/>
      <w:bookmarkStart w:id="40" w:name="_Toc21501"/>
      <w:bookmarkStart w:id="41" w:name="_Toc18915"/>
      <w:bookmarkStart w:id="42" w:name="_Toc10651"/>
      <w:bookmarkStart w:id="43" w:name="_Toc20904"/>
      <w:bookmarkStart w:id="44" w:name="_Toc26855"/>
      <w:bookmarkStart w:id="45" w:name="_Toc5317"/>
      <w:bookmarkStart w:id="46" w:name="_Toc5215"/>
      <w:bookmarkStart w:id="47" w:name="_Toc29800"/>
      <w:bookmarkStart w:id="48" w:name="_Toc12150"/>
      <w:r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  <w:t>三、绩效评价工作情况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spacing w:line="580" w:lineRule="exact"/>
        <w:ind w:firstLine="640" w:firstLineChars="200"/>
        <w:jc w:val="left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（一）评价目的：</w:t>
      </w:r>
      <w:r>
        <w:rPr>
          <w:rFonts w:hint="eastAsia" w:ascii="仿宋国标2312" w:eastAsia="仿宋国标2312"/>
          <w:color w:val="000000" w:themeColor="text1"/>
          <w:sz w:val="32"/>
          <w:szCs w:val="32"/>
        </w:rPr>
        <w:t>通过对隆尧县柳行小学教学楼项目资金进行绩效评价，了解和掌握项目的决策情况、具体实施情况，从评价中发现的问题，认真整改，及时调整和完善单位工作计划和绩效目标并加强项目管理。</w:t>
      </w:r>
    </w:p>
    <w:p>
      <w:pPr>
        <w:pStyle w:val="2"/>
        <w:ind w:firstLine="560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（二）评价指标：</w:t>
      </w:r>
      <w:r>
        <w:rPr>
          <w:rFonts w:hint="eastAsia" w:ascii="仿宋国标2312" w:eastAsia="仿宋国标2312"/>
          <w:color w:val="000000" w:themeColor="text1"/>
          <w:sz w:val="32"/>
          <w:szCs w:val="32"/>
        </w:rPr>
        <w:t>设定隆尧县柳行小学教学楼项目重点绩效评价指标表，如下表。</w:t>
      </w:r>
    </w:p>
    <w:p>
      <w:pPr>
        <w:spacing w:line="580" w:lineRule="exact"/>
        <w:ind w:firstLine="640" w:firstLineChars="200"/>
        <w:jc w:val="left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（三）评价依据：</w:t>
      </w:r>
    </w:p>
    <w:p>
      <w:pPr>
        <w:spacing w:line="580" w:lineRule="exact"/>
        <w:ind w:firstLine="640" w:firstLineChars="200"/>
        <w:jc w:val="left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1.《中华人民共和国预算法》</w:t>
      </w:r>
    </w:p>
    <w:p>
      <w:pPr>
        <w:spacing w:line="580" w:lineRule="exact"/>
        <w:ind w:firstLine="640" w:firstLineChars="200"/>
        <w:jc w:val="left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2.《中华人民共和国会计法》</w:t>
      </w:r>
    </w:p>
    <w:p>
      <w:pPr>
        <w:spacing w:line="580" w:lineRule="exact"/>
        <w:ind w:firstLine="640" w:firstLineChars="200"/>
        <w:jc w:val="left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3.《中华人民共和国教育法》</w:t>
      </w:r>
    </w:p>
    <w:p>
      <w:pPr>
        <w:widowControl/>
        <w:spacing w:line="580" w:lineRule="exact"/>
        <w:ind w:firstLine="640" w:firstLineChars="200"/>
        <w:rPr>
          <w:rFonts w:hint="eastAsia" w:ascii="仿宋国标2312" w:hAnsi="宋体" w:eastAsia="仿宋国标2312"/>
          <w:color w:val="000000" w:themeColor="text1"/>
          <w:kern w:val="0"/>
          <w:sz w:val="32"/>
          <w:szCs w:val="32"/>
        </w:rPr>
      </w:pPr>
      <w:r>
        <w:rPr>
          <w:rFonts w:hint="eastAsia" w:ascii="仿宋国标2312" w:hAnsi="宋体" w:eastAsia="仿宋国标2312" w:cs="仿宋_GB2312"/>
          <w:color w:val="000000" w:themeColor="text1"/>
          <w:kern w:val="0"/>
          <w:sz w:val="32"/>
          <w:szCs w:val="32"/>
        </w:rPr>
        <w:t>4.《财政检查工作办法》（财政部令〔2006〕32号）</w:t>
      </w:r>
    </w:p>
    <w:p>
      <w:pPr>
        <w:spacing w:line="580" w:lineRule="exact"/>
        <w:ind w:firstLine="640" w:firstLineChars="200"/>
        <w:rPr>
          <w:rFonts w:hint="eastAsia" w:ascii="仿宋国标2312" w:hAnsi="宋体" w:eastAsia="仿宋国标2312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</w:rPr>
        <w:t>5.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  <w:lang w:val="zh-CN"/>
        </w:rPr>
        <w:t>《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</w:rPr>
        <w:t>财政部关于印发&lt;项目支出绩效评价管理办法&gt;的通知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  <w:lang w:val="zh-CN"/>
        </w:rPr>
        <w:t>》（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</w:rPr>
        <w:t>财预</w:t>
      </w: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lang w:val="zh-CN"/>
        </w:rPr>
        <w:t>〔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  <w:lang w:val="zh-CN"/>
        </w:rPr>
        <w:t>20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</w:rPr>
        <w:t>20</w:t>
      </w: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lang w:val="zh-CN"/>
        </w:rPr>
        <w:t>〕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</w:rPr>
        <w:t>10</w:t>
      </w:r>
      <w:r>
        <w:rPr>
          <w:rFonts w:hint="eastAsia" w:ascii="仿宋国标2312" w:hAnsi="宋体" w:eastAsia="仿宋国标2312" w:cs="宋体"/>
          <w:color w:val="000000" w:themeColor="text1"/>
          <w:sz w:val="32"/>
          <w:szCs w:val="32"/>
          <w:lang w:val="zh-CN"/>
        </w:rPr>
        <w:t>号）</w:t>
      </w:r>
    </w:p>
    <w:p>
      <w:pPr>
        <w:spacing w:line="580" w:lineRule="exact"/>
        <w:ind w:firstLine="640" w:firstLineChars="200"/>
        <w:jc w:val="left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hAnsi="宋体" w:eastAsia="仿宋国标2312" w:cs="仿宋_GB2312"/>
          <w:color w:val="000000" w:themeColor="text1"/>
          <w:kern w:val="0"/>
          <w:sz w:val="32"/>
          <w:szCs w:val="32"/>
        </w:rPr>
        <w:t>6.《中共隆尧县委 隆尧县人民政府关于全面落实预算绩效管理的实施意见》（隆</w:t>
      </w:r>
      <w:r>
        <w:rPr>
          <w:rFonts w:hint="eastAsia" w:ascii="仿宋国标2312" w:eastAsia="仿宋国标2312" w:cs="仿宋_GB2312"/>
          <w:color w:val="000000" w:themeColor="text1"/>
          <w:sz w:val="32"/>
          <w:szCs w:val="32"/>
          <w:lang w:val="zh-CN"/>
        </w:rPr>
        <w:t>发〔2019〕15号）</w:t>
      </w:r>
    </w:p>
    <w:p>
      <w:pPr>
        <w:widowControl/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eastAsia="仿宋国标2312" w:cs="仿宋_GB2312"/>
          <w:color w:val="000000" w:themeColor="text1"/>
          <w:sz w:val="32"/>
          <w:szCs w:val="32"/>
        </w:rPr>
        <w:t>7.</w:t>
      </w:r>
      <w:r>
        <w:rPr>
          <w:rFonts w:hint="eastAsia" w:ascii="仿宋国标2312" w:eastAsia="仿宋国标2312" w:cs="仿宋_GB2312"/>
          <w:color w:val="000000" w:themeColor="text1"/>
          <w:sz w:val="32"/>
          <w:szCs w:val="32"/>
          <w:lang w:val="zh-CN"/>
        </w:rPr>
        <w:t>《隆尧县县级预算绩效重点评价管理办法》（隆财〔2020〕143号）</w:t>
      </w:r>
    </w:p>
    <w:p>
      <w:pPr>
        <w:spacing w:line="580" w:lineRule="exact"/>
        <w:ind w:firstLine="640" w:firstLineChars="200"/>
        <w:outlineLvl w:val="1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（四）评价的主要方法及等级设定</w:t>
      </w:r>
    </w:p>
    <w:p>
      <w:pPr>
        <w:spacing w:line="580" w:lineRule="exact"/>
        <w:ind w:firstLine="640" w:firstLineChars="200"/>
        <w:rPr>
          <w:rFonts w:hint="eastAsia" w:ascii="仿宋国标2312" w:hAnsi="仿宋_GB2312" w:eastAsia="仿宋国标2312" w:cs="仿宋_GB2312"/>
          <w:color w:val="000000" w:themeColor="text1"/>
          <w:kern w:val="0"/>
          <w:sz w:val="32"/>
          <w:szCs w:val="32"/>
          <w:shd w:val="clear" w:color="auto" w:fill="FFFFFF"/>
        </w:rPr>
      </w:pPr>
      <w:r>
        <w:rPr>
          <w:rStyle w:val="9"/>
          <w:rFonts w:hint="eastAsia" w:ascii="仿宋国标2312" w:hAnsi="宋体" w:eastAsia="仿宋国标2312" w:cs="仿宋_GB2312"/>
          <w:b w:val="0"/>
          <w:bCs/>
          <w:color w:val="000000" w:themeColor="text1"/>
          <w:sz w:val="32"/>
          <w:szCs w:val="32"/>
        </w:rPr>
        <w:t>根据相关</w:t>
      </w: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  <w:shd w:val="clear" w:color="auto" w:fill="FFFFFF"/>
        </w:rPr>
        <w:t>要求，评价工作将</w:t>
      </w:r>
      <w:r>
        <w:rPr>
          <w:rFonts w:hint="eastAsia" w:ascii="仿宋国标2312" w:hAnsi="宋体" w:eastAsia="仿宋国标2312" w:cs="仿宋_GB2312"/>
          <w:color w:val="000000" w:themeColor="text1"/>
          <w:kern w:val="0"/>
          <w:sz w:val="32"/>
          <w:szCs w:val="32"/>
        </w:rPr>
        <w:t>网络评价与现场评价相结合；数字资料与纸质资料评价相结合；会计资料评价与工程技术资料评价相结合</w:t>
      </w:r>
      <w:r>
        <w:rPr>
          <w:rFonts w:hint="eastAsia" w:ascii="仿宋国标2312" w:hAnsi="仿宋_GB2312" w:eastAsia="仿宋国标2312" w:cs="仿宋_GB2312"/>
          <w:color w:val="000000" w:themeColor="text1"/>
          <w:kern w:val="0"/>
          <w:sz w:val="32"/>
          <w:szCs w:val="32"/>
          <w:shd w:val="clear" w:color="auto" w:fill="FFFFFF"/>
        </w:rPr>
        <w:t>。</w:t>
      </w:r>
    </w:p>
    <w:p>
      <w:pPr>
        <w:tabs>
          <w:tab w:val="left" w:pos="420"/>
        </w:tabs>
        <w:spacing w:line="580" w:lineRule="exact"/>
        <w:ind w:firstLine="640" w:firstLineChars="200"/>
        <w:jc w:val="left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1.在听取隆尧县城关校区对项目实施情况汇报的基础上，核实相关资料的真实性、合法性、合理性，对项目资料中反映的或分析中发现的问题进行重点核查。</w:t>
      </w:r>
    </w:p>
    <w:p>
      <w:pPr>
        <w:tabs>
          <w:tab w:val="left" w:pos="420"/>
        </w:tabs>
        <w:spacing w:line="580" w:lineRule="exact"/>
        <w:ind w:firstLine="640" w:firstLineChars="200"/>
        <w:jc w:val="left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2.实地检查的形式：采取座谈、现场核实、走访、调查问卷、查阅资料等方式。</w:t>
      </w:r>
    </w:p>
    <w:p>
      <w:pPr>
        <w:pStyle w:val="2"/>
        <w:ind w:firstLine="560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3.综合评价。评价组在全面分析整理被评价项目的相关数据资料的基础上，总结评价情况，对照评价指标和标准，进行综合评议与打分，得出评价结论，撰写评价报告。</w:t>
      </w:r>
    </w:p>
    <w:p>
      <w:pPr>
        <w:spacing w:line="480" w:lineRule="exact"/>
        <w:ind w:firstLine="640" w:firstLineChars="200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4.评价等级设置为：优秀95分以上（含95分）、良好80分-94分（含80分）、合格60分-79分（含60分）、不合格（60分以下）四个等级。</w:t>
      </w:r>
    </w:p>
    <w:p>
      <w:pPr>
        <w:spacing w:line="580" w:lineRule="exact"/>
        <w:ind w:firstLine="640" w:firstLineChars="200"/>
        <w:outlineLvl w:val="0"/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《隆尧县柳行小学教学楼项目》绩效自评为</w:t>
      </w:r>
      <w:r>
        <w:rPr>
          <w:rFonts w:hint="default" w:ascii="仿宋国标2312" w:eastAsia="仿宋国标2312"/>
          <w:color w:val="000000" w:themeColor="text1"/>
          <w:sz w:val="32"/>
          <w:szCs w:val="32"/>
          <w:lang w:val="en-US"/>
        </w:rPr>
        <w:t>100</w:t>
      </w:r>
      <w:r>
        <w:rPr>
          <w:rFonts w:hint="eastAsia" w:ascii="仿宋国标2312" w:eastAsia="仿宋国标2312"/>
          <w:color w:val="000000" w:themeColor="text1"/>
          <w:sz w:val="32"/>
          <w:szCs w:val="32"/>
        </w:rPr>
        <w:t>分</w:t>
      </w:r>
      <w:r>
        <w:rPr>
          <w:rFonts w:hint="eastAsia" w:ascii="仿宋国标2312" w:eastAsia="仿宋国标2312"/>
          <w:color w:val="000000" w:themeColor="text1"/>
          <w:sz w:val="32"/>
          <w:szCs w:val="32"/>
          <w:lang w:eastAsia="zh-CN"/>
        </w:rPr>
        <w:t>优秀</w:t>
      </w:r>
      <w:r>
        <w:rPr>
          <w:rFonts w:hint="eastAsia" w:ascii="仿宋国标2312" w:eastAsia="仿宋国标2312"/>
          <w:color w:val="000000" w:themeColor="text1"/>
          <w:sz w:val="32"/>
          <w:szCs w:val="32"/>
        </w:rPr>
        <w:t>。</w:t>
      </w:r>
    </w:p>
    <w:p>
      <w:pPr>
        <w:spacing w:line="580" w:lineRule="exact"/>
        <w:ind w:firstLine="643" w:firstLineChars="200"/>
        <w:outlineLvl w:val="0"/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</w:pPr>
      <w:bookmarkStart w:id="49" w:name="_Toc22222"/>
      <w:bookmarkStart w:id="50" w:name="_Toc30508"/>
      <w:bookmarkStart w:id="51" w:name="_Toc20748"/>
      <w:bookmarkStart w:id="52" w:name="_Toc21014"/>
      <w:bookmarkStart w:id="53" w:name="_Toc6105"/>
      <w:bookmarkStart w:id="54" w:name="_Toc5623"/>
      <w:bookmarkStart w:id="55" w:name="_Toc18842"/>
      <w:bookmarkStart w:id="56" w:name="_Toc17025"/>
      <w:bookmarkStart w:id="57" w:name="_Toc28621"/>
      <w:bookmarkStart w:id="58" w:name="_Toc10113"/>
      <w:r>
        <w:rPr>
          <w:rFonts w:hint="eastAsia" w:ascii="仿宋国标2312" w:hAnsi="仿宋_GB2312" w:eastAsia="仿宋国标2312" w:cs="仿宋_GB2312"/>
          <w:b/>
          <w:bCs/>
          <w:color w:val="000000" w:themeColor="text1"/>
          <w:sz w:val="32"/>
          <w:szCs w:val="32"/>
        </w:rPr>
        <w:t>四、绩效评价指标体系及得分情况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ind w:firstLine="843" w:firstLineChars="300"/>
        <w:jc w:val="center"/>
        <w:rPr>
          <w:rFonts w:hint="eastAsia" w:ascii="仿宋国标2312" w:eastAsia="仿宋国标2312"/>
          <w:b/>
          <w:bCs/>
          <w:color w:val="000000" w:themeColor="text1"/>
          <w:sz w:val="28"/>
          <w:szCs w:val="28"/>
        </w:rPr>
      </w:pPr>
      <w:r>
        <w:rPr>
          <w:rFonts w:hint="eastAsia" w:ascii="仿宋国标2312" w:eastAsia="仿宋国标2312"/>
          <w:b/>
          <w:bCs/>
          <w:color w:val="000000" w:themeColor="text1"/>
          <w:sz w:val="28"/>
          <w:szCs w:val="28"/>
        </w:rPr>
        <w:t>隆尧县柳行小学教学楼</w:t>
      </w:r>
      <w:r>
        <w:rPr>
          <w:rFonts w:hint="eastAsia" w:ascii="仿宋国标2312" w:hAnsi="仿宋_GB2312" w:eastAsia="仿宋国标2312" w:cs="仿宋_GB2312"/>
          <w:b/>
          <w:bCs/>
          <w:color w:val="000000" w:themeColor="text1"/>
          <w:kern w:val="0"/>
          <w:sz w:val="28"/>
          <w:szCs w:val="28"/>
        </w:rPr>
        <w:t>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73"/>
        <w:gridCol w:w="7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有政府相关政策、规划、任务等文件得7.5分；无不得分。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2"/>
              </w:rPr>
              <w:t>工作活动与部门职责、工作规划和重点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2"/>
              </w:rPr>
              <w:t>工作相关，工作活动项下确定的预算项目合理，与工作活动密切相关，工作活动和项目预算安排合理，得7.5分；否则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2"/>
              </w:rPr>
              <w:t>不得分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缺少一项扣2分,扣完为止。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是否有绩效评价报告，报告是否依据充分、内容真实完整；数据准确、分析透彻。每存在一项问题扣1分，扣完为止。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预算调整率=（预算调整数/预算数）×100%。预算调整率每大于1%扣0.5分，扣完为止。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会计核算是否符合《会计法》、《政府会计制度》、《会计基础工作规范》等法律法规和相关制度规定。每存在一项不合规问题扣2分，扣完为止。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是否建立责任机制，项目管理和责任落实到有关人。每存在一项问题扣2分，扣完为止。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2"/>
              </w:rPr>
              <w:t>制定管理制度和措施（包括财务制度）是否明确、清晰、具有可操作性，能否保障工作活动顺利实施。每缺少一项制度扣2分，扣完为止。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“工作活动”产出（30分）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新建建校舍面积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按照合作办学协议执行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工程验收合格率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按照《项目绩效目标》执行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ind w:firstLine="220" w:firstLineChars="100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工程按期完成率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按照《项目绩效目标》执行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“工作活动”效果（10分）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学生和学生家长满意度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按照《项目绩效目标》执行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100</w:t>
            </w:r>
          </w:p>
        </w:tc>
      </w:tr>
    </w:tbl>
    <w:p>
      <w:pPr>
        <w:spacing w:line="560" w:lineRule="exact"/>
        <w:outlineLvl w:val="1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bookmarkStart w:id="59" w:name="_Toc2634_WPSOffice_Level1"/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五、评价分析</w:t>
      </w:r>
      <w:bookmarkEnd w:id="59"/>
    </w:p>
    <w:p>
      <w:pPr>
        <w:spacing w:line="560" w:lineRule="exact"/>
        <w:ind w:firstLine="640" w:firstLineChars="200"/>
        <w:outlineLvl w:val="1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（一）主要扣分事项及原因分析</w:t>
      </w:r>
    </w:p>
    <w:p>
      <w:pPr>
        <w:ind w:firstLine="640" w:firstLineChars="200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柳行小学教学楼建设项目是将原来的柳行小学老旧房屋全部拆除，学校整体新建。这一项目在立项时，由于项目资金不足，仅规划了一所教学楼。学校操场、围墙、道路、供水供电及室外消防设施建设没有同步进行。</w:t>
      </w:r>
    </w:p>
    <w:p>
      <w:pPr>
        <w:ind w:firstLine="640" w:firstLineChars="200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审计时教学楼已完工，但由于没有建设配套的室外消防设施及配套工程，还不具备竣工验收条件。</w:t>
      </w:r>
    </w:p>
    <w:p>
      <w:pPr>
        <w:ind w:firstLine="640" w:firstLineChars="200"/>
        <w:rPr>
          <w:rFonts w:hint="eastAsia" w:ascii="仿宋国标2312" w:eastAsia="仿宋国标2312"/>
          <w:color w:val="000000" w:themeColor="text1"/>
          <w:sz w:val="32"/>
          <w:szCs w:val="32"/>
        </w:rPr>
      </w:pPr>
      <w:r>
        <w:rPr>
          <w:rFonts w:hint="eastAsia" w:ascii="仿宋国标2312" w:eastAsia="仿宋国标2312"/>
          <w:color w:val="000000" w:themeColor="text1"/>
          <w:sz w:val="32"/>
          <w:szCs w:val="32"/>
        </w:rPr>
        <w:t>鉴于这种情况，城关校区安排专人负责，积极向上级争取资金，2022年11月已完成柳行小学操场、柳行小学教学楼附属工程招标，现已开工建设。柳行小学教学楼室外消防项目的资金也到位，争取今年3月底完成工程招标，8月底完成施工建设。保证柳行小学全新校园于2023年9月份新学期开学投入使用。</w:t>
      </w:r>
    </w:p>
    <w:p>
      <w:pPr>
        <w:spacing w:line="560" w:lineRule="exact"/>
        <w:ind w:firstLine="640" w:firstLineChars="200"/>
        <w:outlineLvl w:val="1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  <w:r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  <w:t>六、意见及建议</w:t>
      </w:r>
    </w:p>
    <w:p>
      <w:pPr>
        <w:spacing w:line="560" w:lineRule="exact"/>
        <w:ind w:firstLine="640" w:firstLineChars="200"/>
        <w:outlineLvl w:val="1"/>
        <w:rPr>
          <w:rFonts w:hint="eastAsia" w:ascii="仿宋国标2312" w:hAnsi="仿宋" w:eastAsia="仿宋国标2312" w:cs="仿宋"/>
          <w:color w:val="000000" w:themeColor="text1"/>
          <w:sz w:val="32"/>
          <w:szCs w:val="32"/>
        </w:rPr>
      </w:pPr>
      <w:r>
        <w:rPr>
          <w:rFonts w:hint="eastAsia" w:ascii="仿宋国标2312" w:hAnsi="仿宋" w:eastAsia="仿宋国标2312" w:cs="仿宋"/>
          <w:color w:val="000000" w:themeColor="text1"/>
          <w:sz w:val="32"/>
          <w:szCs w:val="32"/>
        </w:rPr>
        <w:t>我校区虽然在项目的申请、资金下达、项目实施等方面严格按照规定的程序，但由于客观原因，项目推进不够顺利，在今后的工作中我们将狠抓细节管理，提高资金的使用效率，让教育经费更好的服务于教学，从而提升教学水平，使学生、家长、教职工以及社会对我校区的教学工作更加满意。</w:t>
      </w:r>
    </w:p>
    <w:p>
      <w:pPr>
        <w:pStyle w:val="2"/>
        <w:spacing w:line="560" w:lineRule="exact"/>
        <w:ind w:firstLine="320" w:firstLineChars="100"/>
        <w:outlineLvl w:val="0"/>
        <w:rPr>
          <w:rFonts w:hint="eastAsia" w:ascii="仿宋国标2312" w:hAnsi="仿宋_GB2312" w:eastAsia="仿宋国标2312" w:cs="仿宋_GB2312"/>
          <w:color w:val="000000" w:themeColor="text1"/>
          <w:sz w:val="32"/>
          <w:szCs w:val="32"/>
        </w:rPr>
      </w:pPr>
    </w:p>
    <w:p>
      <w:pPr>
        <w:pStyle w:val="2"/>
        <w:spacing w:line="560" w:lineRule="exact"/>
        <w:ind w:left="0" w:leftChars="0" w:firstLine="5120" w:firstLineChars="1600"/>
        <w:outlineLvl w:val="0"/>
        <w:rPr>
          <w:rFonts w:hint="eastAsia" w:ascii="仿宋国标2312" w:hAnsi="仿宋" w:eastAsia="仿宋国标2312" w:cs="仿宋"/>
          <w:color w:val="000000" w:themeColor="text1"/>
          <w:sz w:val="32"/>
          <w:szCs w:val="32"/>
        </w:rPr>
      </w:pPr>
      <w:r>
        <w:rPr>
          <w:rFonts w:hint="eastAsia" w:ascii="仿宋国标2312" w:hAnsi="仿宋" w:eastAsia="仿宋国标2312" w:cs="仿宋"/>
          <w:color w:val="000000" w:themeColor="text1"/>
          <w:sz w:val="32"/>
          <w:szCs w:val="32"/>
        </w:rPr>
        <w:t>隆尧县城关校区</w:t>
      </w:r>
    </w:p>
    <w:p>
      <w:pPr>
        <w:pStyle w:val="2"/>
        <w:spacing w:line="560" w:lineRule="exact"/>
        <w:ind w:firstLine="4960" w:firstLineChars="1550"/>
        <w:outlineLvl w:val="0"/>
        <w:rPr>
          <w:rFonts w:hint="eastAsia" w:ascii="仿宋国标2312" w:hAnsi="仿宋" w:eastAsia="仿宋国标2312" w:cs="仿宋"/>
          <w:color w:val="000000" w:themeColor="text1"/>
          <w:sz w:val="32"/>
          <w:szCs w:val="32"/>
        </w:rPr>
      </w:pPr>
      <w:r>
        <w:rPr>
          <w:rFonts w:hint="eastAsia" w:ascii="仿宋国标2312" w:hAnsi="仿宋" w:eastAsia="仿宋国标2312" w:cs="仿宋"/>
          <w:color w:val="000000" w:themeColor="text1"/>
          <w:sz w:val="32"/>
          <w:szCs w:val="32"/>
        </w:rPr>
        <w:t>2023年3月20日</w:t>
      </w:r>
    </w:p>
    <w:p>
      <w:pPr>
        <w:pStyle w:val="2"/>
        <w:spacing w:line="560" w:lineRule="exact"/>
        <w:ind w:left="420" w:leftChars="200" w:firstLine="280" w:firstLineChars="100"/>
        <w:outlineLvl w:val="0"/>
        <w:rPr>
          <w:rFonts w:hint="eastAsia" w:ascii="仿宋国标2312" w:hAnsi="仿宋_GB2312" w:eastAsia="仿宋国标2312" w:cs="仿宋_GB2312"/>
          <w:color w:val="000000" w:themeColor="text1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国标_GB2312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国标2312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I5MWM0MDQwY2E3ZDUzZDJmMmJlMzU1ZTZkODIwYTYifQ=="/>
  </w:docVars>
  <w:rsids>
    <w:rsidRoot w:val="07CC499B"/>
    <w:rsid w:val="00092B14"/>
    <w:rsid w:val="000D47D0"/>
    <w:rsid w:val="00101702"/>
    <w:rsid w:val="0010368D"/>
    <w:rsid w:val="00134575"/>
    <w:rsid w:val="001373BE"/>
    <w:rsid w:val="001D5BE2"/>
    <w:rsid w:val="001F3212"/>
    <w:rsid w:val="002707C6"/>
    <w:rsid w:val="00280F82"/>
    <w:rsid w:val="002A5D44"/>
    <w:rsid w:val="002E24E0"/>
    <w:rsid w:val="002F3589"/>
    <w:rsid w:val="003170CE"/>
    <w:rsid w:val="00320DBB"/>
    <w:rsid w:val="003903FA"/>
    <w:rsid w:val="003B2303"/>
    <w:rsid w:val="003C4354"/>
    <w:rsid w:val="00431F11"/>
    <w:rsid w:val="004574CF"/>
    <w:rsid w:val="004610D4"/>
    <w:rsid w:val="00492CE6"/>
    <w:rsid w:val="004B1FCE"/>
    <w:rsid w:val="004B49DA"/>
    <w:rsid w:val="00562277"/>
    <w:rsid w:val="00581D86"/>
    <w:rsid w:val="00632F3D"/>
    <w:rsid w:val="00645DBC"/>
    <w:rsid w:val="00656036"/>
    <w:rsid w:val="00686A41"/>
    <w:rsid w:val="006A0578"/>
    <w:rsid w:val="00731E08"/>
    <w:rsid w:val="00764FC9"/>
    <w:rsid w:val="0078055F"/>
    <w:rsid w:val="007812E3"/>
    <w:rsid w:val="007D7B6B"/>
    <w:rsid w:val="00813E4E"/>
    <w:rsid w:val="00814E39"/>
    <w:rsid w:val="00851450"/>
    <w:rsid w:val="0088793C"/>
    <w:rsid w:val="008C6CFD"/>
    <w:rsid w:val="008C7CF4"/>
    <w:rsid w:val="008D6DF4"/>
    <w:rsid w:val="008E7859"/>
    <w:rsid w:val="00A02C66"/>
    <w:rsid w:val="00A34805"/>
    <w:rsid w:val="00A412D6"/>
    <w:rsid w:val="00A7590A"/>
    <w:rsid w:val="00AA7AFD"/>
    <w:rsid w:val="00AB413B"/>
    <w:rsid w:val="00B01393"/>
    <w:rsid w:val="00B433C1"/>
    <w:rsid w:val="00B60E03"/>
    <w:rsid w:val="00BB4438"/>
    <w:rsid w:val="00C12715"/>
    <w:rsid w:val="00C16633"/>
    <w:rsid w:val="00C25AB1"/>
    <w:rsid w:val="00C31E7E"/>
    <w:rsid w:val="00CE53B5"/>
    <w:rsid w:val="00D06CC4"/>
    <w:rsid w:val="00D25A69"/>
    <w:rsid w:val="00D25CC3"/>
    <w:rsid w:val="00D3165F"/>
    <w:rsid w:val="00D471F4"/>
    <w:rsid w:val="00D5394A"/>
    <w:rsid w:val="00D6062E"/>
    <w:rsid w:val="00DB6DF3"/>
    <w:rsid w:val="00E101D2"/>
    <w:rsid w:val="00E30CAE"/>
    <w:rsid w:val="00E310A2"/>
    <w:rsid w:val="00E53C93"/>
    <w:rsid w:val="00ED69AA"/>
    <w:rsid w:val="00EF0B9A"/>
    <w:rsid w:val="00EF2BA5"/>
    <w:rsid w:val="00EF6DA3"/>
    <w:rsid w:val="00F478AD"/>
    <w:rsid w:val="00F85D97"/>
    <w:rsid w:val="00FA340E"/>
    <w:rsid w:val="00FD51C0"/>
    <w:rsid w:val="011955A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93082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7C742EB"/>
    <w:rsid w:val="48A2447B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A3E1F45"/>
    <w:rsid w:val="6CCC6D4C"/>
    <w:rsid w:val="6D5F4EC3"/>
    <w:rsid w:val="6E3F5A2C"/>
    <w:rsid w:val="7008088F"/>
    <w:rsid w:val="712634CC"/>
    <w:rsid w:val="71A3781D"/>
    <w:rsid w:val="72474247"/>
    <w:rsid w:val="724E698E"/>
    <w:rsid w:val="756501CF"/>
    <w:rsid w:val="778F438E"/>
    <w:rsid w:val="7A055146"/>
    <w:rsid w:val="7A757A3F"/>
    <w:rsid w:val="7B3D55BD"/>
    <w:rsid w:val="7C647BFE"/>
    <w:rsid w:val="7D9B64C3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2662</Words>
  <Characters>2785</Characters>
  <Lines>21</Lines>
  <Paragraphs>6</Paragraphs>
  <TotalTime>9</TotalTime>
  <ScaleCrop>false</ScaleCrop>
  <LinksUpToDate>false</LinksUpToDate>
  <CharactersWithSpaces>2827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cp:lastPrinted>2023-03-22T06:25:32Z</cp:lastPrinted>
  <dcterms:modified xsi:type="dcterms:W3CDTF">2023-03-22T06:28:17Z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292D7B4D1473439B921B9A5F185A88D2</vt:lpwstr>
  </property>
</Properties>
</file>