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B9EFD0">
      <w:pPr>
        <w:spacing w:line="580" w:lineRule="exact"/>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附件5：</w:t>
      </w:r>
    </w:p>
    <w:p w14:paraId="18EFF2B4">
      <w:pPr>
        <w:spacing w:line="580" w:lineRule="exact"/>
        <w:ind w:firstLine="720" w:firstLineChars="199"/>
        <w:rPr>
          <w:rFonts w:ascii="仿宋_GB2312" w:hAnsi="仿宋_GB2312" w:eastAsia="仿宋_GB2312" w:cs="仿宋_GB2312"/>
          <w:b/>
          <w:bCs/>
          <w:spacing w:val="-20"/>
          <w:sz w:val="40"/>
          <w:szCs w:val="48"/>
        </w:rPr>
      </w:pPr>
    </w:p>
    <w:p w14:paraId="20434384">
      <w:pPr>
        <w:spacing w:line="580" w:lineRule="exact"/>
        <w:ind w:firstLine="720" w:firstLineChars="199"/>
        <w:jc w:val="center"/>
        <w:rPr>
          <w:rFonts w:ascii="仿宋_GB2312" w:hAnsi="仿宋_GB2312" w:eastAsia="仿宋_GB2312" w:cs="仿宋_GB2312"/>
          <w:b/>
          <w:bCs/>
          <w:spacing w:val="-20"/>
          <w:sz w:val="40"/>
          <w:szCs w:val="48"/>
        </w:rPr>
      </w:pPr>
      <w:r>
        <w:rPr>
          <w:rFonts w:hint="eastAsia" w:ascii="仿宋_GB2312" w:hAnsi="仿宋_GB2312" w:eastAsia="仿宋_GB2312" w:cs="仿宋_GB2312"/>
          <w:b/>
          <w:bCs/>
          <w:spacing w:val="-20"/>
          <w:sz w:val="40"/>
          <w:szCs w:val="48"/>
        </w:rPr>
        <w:t>隆尧县城关校区</w:t>
      </w:r>
    </w:p>
    <w:p w14:paraId="1DB0DCAA">
      <w:pPr>
        <w:spacing w:line="580" w:lineRule="exact"/>
        <w:ind w:firstLine="720" w:firstLineChars="199"/>
        <w:jc w:val="center"/>
        <w:rPr>
          <w:rFonts w:ascii="仿宋_GB2312" w:hAnsi="仿宋_GB2312" w:eastAsia="仿宋_GB2312" w:cs="仿宋_GB2312"/>
          <w:b/>
          <w:bCs/>
          <w:sz w:val="40"/>
          <w:szCs w:val="48"/>
        </w:rPr>
      </w:pPr>
      <w:r>
        <w:rPr>
          <w:rFonts w:hint="eastAsia" w:ascii="仿宋_GB2312" w:hAnsi="仿宋_GB2312" w:eastAsia="仿宋_GB2312" w:cs="仿宋_GB2312"/>
          <w:b/>
          <w:bCs/>
          <w:spacing w:val="-20"/>
          <w:sz w:val="40"/>
          <w:szCs w:val="48"/>
        </w:rPr>
        <w:t>德兴路小学新建项目</w:t>
      </w:r>
      <w:r>
        <w:rPr>
          <w:rFonts w:hint="eastAsia" w:ascii="仿宋_GB2312" w:hAnsi="仿宋_GB2312" w:eastAsia="仿宋_GB2312" w:cs="仿宋_GB2312"/>
          <w:b/>
          <w:bCs/>
          <w:sz w:val="40"/>
          <w:szCs w:val="48"/>
        </w:rPr>
        <w:t>重点自评绩效报告</w:t>
      </w:r>
    </w:p>
    <w:p w14:paraId="2F375774">
      <w:pPr>
        <w:rPr>
          <w:rFonts w:ascii="仿宋_GB2312" w:hAnsi="仿宋_GB2312" w:eastAsia="仿宋_GB2312" w:cs="仿宋_GB2312"/>
        </w:rPr>
      </w:pPr>
      <w:r>
        <w:rPr>
          <w:rFonts w:hint="eastAsia" w:ascii="仿宋_GB2312" w:hAnsi="仿宋_GB2312" w:eastAsia="仿宋_GB2312" w:cs="仿宋_GB2312"/>
          <w:sz w:val="28"/>
          <w:szCs w:val="28"/>
        </w:rPr>
        <w:t xml:space="preserve">                         </w:t>
      </w:r>
    </w:p>
    <w:p w14:paraId="7449B714">
      <w:pPr>
        <w:rPr>
          <w:rFonts w:ascii="仿宋_GB2312" w:hAnsi="仿宋_GB2312" w:eastAsia="仿宋_GB2312" w:cs="仿宋_GB2312"/>
        </w:rPr>
      </w:pPr>
    </w:p>
    <w:p w14:paraId="1FE70672">
      <w:pPr>
        <w:rPr>
          <w:rFonts w:ascii="仿宋_GB2312" w:hAnsi="仿宋_GB2312" w:eastAsia="仿宋_GB2312" w:cs="仿宋_GB2312"/>
        </w:rPr>
      </w:pPr>
    </w:p>
    <w:p w14:paraId="57FA44FE">
      <w:pPr>
        <w:rPr>
          <w:rFonts w:ascii="仿宋_GB2312" w:hAnsi="仿宋_GB2312" w:eastAsia="仿宋_GB2312" w:cs="仿宋_GB2312"/>
        </w:rPr>
      </w:pPr>
    </w:p>
    <w:p w14:paraId="06D56FD4">
      <w:pPr>
        <w:rPr>
          <w:rFonts w:ascii="仿宋_GB2312" w:hAnsi="仿宋_GB2312" w:eastAsia="仿宋_GB2312" w:cs="仿宋_GB2312"/>
        </w:rPr>
      </w:pPr>
    </w:p>
    <w:p w14:paraId="7D94F7A7">
      <w:pPr>
        <w:rPr>
          <w:rFonts w:ascii="仿宋_GB2312" w:hAnsi="仿宋_GB2312" w:eastAsia="仿宋_GB2312" w:cs="仿宋_GB2312"/>
        </w:rPr>
      </w:pPr>
    </w:p>
    <w:p w14:paraId="1D6E4592">
      <w:pPr>
        <w:rPr>
          <w:rFonts w:ascii="仿宋_GB2312" w:hAnsi="仿宋_GB2312" w:eastAsia="仿宋_GB2312" w:cs="仿宋_GB2312"/>
        </w:rPr>
      </w:pPr>
    </w:p>
    <w:p w14:paraId="6999C194">
      <w:pPr>
        <w:rPr>
          <w:rFonts w:ascii="仿宋_GB2312" w:hAnsi="仿宋_GB2312" w:eastAsia="仿宋_GB2312" w:cs="仿宋_GB2312"/>
        </w:rPr>
      </w:pPr>
    </w:p>
    <w:p w14:paraId="4AEF1A56">
      <w:pPr>
        <w:pStyle w:val="2"/>
        <w:ind w:firstLine="560"/>
      </w:pPr>
    </w:p>
    <w:p w14:paraId="0EFBFD82"/>
    <w:p w14:paraId="06B4B003">
      <w:pPr>
        <w:pStyle w:val="2"/>
        <w:ind w:firstLine="560"/>
      </w:pPr>
    </w:p>
    <w:p w14:paraId="06A0B127"/>
    <w:p w14:paraId="275A8268">
      <w:pPr>
        <w:pStyle w:val="2"/>
        <w:ind w:firstLine="560"/>
      </w:pPr>
    </w:p>
    <w:p w14:paraId="0FFF4442">
      <w:pPr>
        <w:spacing w:line="580" w:lineRule="exact"/>
        <w:rPr>
          <w:rFonts w:ascii="仿宋_GB2312" w:hAnsi="仿宋_GB2312" w:eastAsia="仿宋_GB2312" w:cs="仿宋_GB2312"/>
          <w:kern w:val="0"/>
          <w:sz w:val="32"/>
          <w:szCs w:val="32"/>
          <w:u w:val="single"/>
        </w:rPr>
      </w:pPr>
      <w:r>
        <w:rPr>
          <w:rFonts w:hint="eastAsia" w:ascii="仿宋_GB2312" w:hAnsi="仿宋_GB2312" w:eastAsia="仿宋_GB2312" w:cs="仿宋_GB2312"/>
          <w:spacing w:val="11"/>
          <w:sz w:val="32"/>
          <w:szCs w:val="32"/>
        </w:rPr>
        <w:t>项 目 名 称：</w:t>
      </w:r>
      <w:r>
        <w:rPr>
          <w:rFonts w:hint="eastAsia" w:ascii="仿宋_GB2312" w:hAnsi="仿宋_GB2312" w:eastAsia="仿宋_GB2312" w:cs="仿宋_GB2312"/>
          <w:kern w:val="0"/>
          <w:sz w:val="32"/>
          <w:szCs w:val="32"/>
          <w:u w:val="single"/>
        </w:rPr>
        <w:t xml:space="preserve">隆尧县城关校区德兴路小学新建项目  </w:t>
      </w:r>
    </w:p>
    <w:p w14:paraId="320F4295">
      <w:pPr>
        <w:spacing w:line="760" w:lineRule="exact"/>
        <w:rPr>
          <w:rFonts w:ascii="仿宋_GB2312" w:hAnsi="仿宋_GB2312" w:eastAsia="仿宋_GB2312" w:cs="仿宋_GB2312"/>
          <w:sz w:val="32"/>
          <w:szCs w:val="32"/>
          <w:u w:val="single"/>
        </w:rPr>
      </w:pPr>
      <w:r>
        <w:rPr>
          <w:rFonts w:hint="eastAsia" w:ascii="仿宋_GB2312" w:hAnsi="仿宋_GB2312" w:eastAsia="仿宋_GB2312" w:cs="仿宋_GB2312"/>
          <w:sz w:val="32"/>
          <w:szCs w:val="32"/>
        </w:rPr>
        <w:t>项目实施单位：</w:t>
      </w:r>
      <w:r>
        <w:rPr>
          <w:rFonts w:hint="eastAsia" w:ascii="仿宋_GB2312" w:hAnsi="仿宋_GB2312" w:eastAsia="仿宋_GB2312" w:cs="仿宋_GB2312"/>
          <w:kern w:val="0"/>
          <w:sz w:val="32"/>
          <w:szCs w:val="32"/>
          <w:u w:val="single"/>
        </w:rPr>
        <w:t>河北省第四建筑工程有限公司</w:t>
      </w:r>
    </w:p>
    <w:p w14:paraId="068DE92A">
      <w:pPr>
        <w:spacing w:line="760" w:lineRule="exact"/>
        <w:rPr>
          <w:rFonts w:ascii="仿宋_GB2312" w:hAnsi="仿宋_GB2312" w:eastAsia="仿宋_GB2312" w:cs="仿宋_GB2312"/>
          <w:sz w:val="32"/>
          <w:szCs w:val="32"/>
          <w:u w:val="single"/>
        </w:rPr>
      </w:pPr>
      <w:r>
        <w:rPr>
          <w:rFonts w:hint="eastAsia" w:ascii="仿宋_GB2312" w:hAnsi="仿宋_GB2312" w:eastAsia="仿宋_GB2312" w:cs="仿宋_GB2312"/>
          <w:spacing w:val="28"/>
          <w:sz w:val="32"/>
          <w:szCs w:val="32"/>
        </w:rPr>
        <w:t>项目总金额：</w:t>
      </w:r>
      <w:r>
        <w:rPr>
          <w:rFonts w:hint="eastAsia" w:ascii="仿宋_GB2312" w:hAnsi="仿宋_GB2312" w:eastAsia="仿宋_GB2312" w:cs="仿宋_GB2312"/>
          <w:color w:val="000000" w:themeColor="text1"/>
          <w:kern w:val="0"/>
          <w:sz w:val="32"/>
          <w:szCs w:val="32"/>
          <w:u w:val="single"/>
        </w:rPr>
        <w:t>1500万元</w:t>
      </w:r>
    </w:p>
    <w:p w14:paraId="0874748F">
      <w:pPr>
        <w:spacing w:line="760" w:lineRule="exact"/>
        <w:rPr>
          <w:rFonts w:ascii="仿宋_GB2312" w:hAnsi="仿宋_GB2312" w:eastAsia="仿宋_GB2312" w:cs="仿宋_GB2312"/>
          <w:sz w:val="32"/>
          <w:szCs w:val="32"/>
          <w:u w:val="single"/>
        </w:rPr>
      </w:pPr>
      <w:r>
        <w:rPr>
          <w:rFonts w:hint="eastAsia" w:ascii="仿宋_GB2312" w:hAnsi="仿宋_GB2312" w:eastAsia="仿宋_GB2312" w:cs="仿宋_GB2312"/>
          <w:spacing w:val="11"/>
          <w:sz w:val="32"/>
          <w:szCs w:val="32"/>
        </w:rPr>
        <w:t>评 价 年 度：</w:t>
      </w:r>
      <w:r>
        <w:rPr>
          <w:rFonts w:hint="eastAsia" w:ascii="仿宋_GB2312" w:hAnsi="仿宋_GB2312" w:eastAsia="仿宋_GB2312" w:cs="仿宋_GB2312"/>
          <w:sz w:val="32"/>
          <w:szCs w:val="32"/>
          <w:u w:val="single"/>
        </w:rPr>
        <w:t>2022年度</w:t>
      </w:r>
    </w:p>
    <w:p w14:paraId="67996BA3">
      <w:pPr>
        <w:spacing w:line="760" w:lineRule="exact"/>
        <w:rPr>
          <w:rFonts w:ascii="仿宋_GB2312" w:hAnsi="仿宋_GB2312" w:eastAsia="仿宋_GB2312" w:cs="仿宋_GB2312"/>
          <w:sz w:val="32"/>
          <w:szCs w:val="32"/>
          <w:u w:val="single"/>
        </w:rPr>
      </w:pPr>
      <w:r>
        <w:rPr>
          <w:rFonts w:hint="eastAsia" w:ascii="仿宋_GB2312" w:hAnsi="仿宋_GB2312" w:eastAsia="仿宋_GB2312" w:cs="仿宋_GB2312"/>
          <w:spacing w:val="28"/>
          <w:sz w:val="32"/>
          <w:szCs w:val="32"/>
        </w:rPr>
        <w:t>评价组组长：</w:t>
      </w:r>
      <w:r>
        <w:rPr>
          <w:rFonts w:hint="eastAsia" w:ascii="仿宋_GB2312" w:hAnsi="仿宋_GB2312" w:eastAsia="仿宋_GB2312" w:cs="仿宋_GB2312"/>
          <w:spacing w:val="28"/>
          <w:sz w:val="32"/>
          <w:szCs w:val="32"/>
          <w:u w:val="single"/>
        </w:rPr>
        <w:t>郑计春</w:t>
      </w:r>
    </w:p>
    <w:p w14:paraId="27D7CF60">
      <w:pPr>
        <w:spacing w:line="760" w:lineRule="exact"/>
        <w:rPr>
          <w:rFonts w:ascii="仿宋_GB2312" w:hAnsi="仿宋_GB2312" w:eastAsia="仿宋_GB2312" w:cs="仿宋_GB2312"/>
          <w:sz w:val="32"/>
          <w:szCs w:val="32"/>
        </w:rPr>
      </w:pPr>
      <w:r>
        <w:rPr>
          <w:rFonts w:hint="eastAsia" w:ascii="仿宋_GB2312" w:hAnsi="仿宋_GB2312" w:eastAsia="仿宋_GB2312" w:cs="仿宋_GB2312"/>
          <w:spacing w:val="28"/>
          <w:sz w:val="32"/>
          <w:szCs w:val="32"/>
        </w:rPr>
        <w:t>评价组成员：</w:t>
      </w:r>
      <w:r>
        <w:rPr>
          <w:rFonts w:hint="eastAsia" w:ascii="仿宋_GB2312" w:hAnsi="仿宋_GB2312" w:eastAsia="仿宋_GB2312" w:cs="仿宋_GB2312"/>
          <w:sz w:val="32"/>
          <w:szCs w:val="32"/>
          <w:u w:val="single"/>
        </w:rPr>
        <w:t xml:space="preserve"> 郑运华 雷宪法  李戈平  李志华  </w:t>
      </w:r>
      <w:bookmarkStart w:id="0" w:name="_Toc5909_WPSOffice_Level1"/>
      <w:bookmarkStart w:id="1" w:name="_Toc7470_WPSOffice_Level1"/>
    </w:p>
    <w:bookmarkEnd w:id="0"/>
    <w:bookmarkEnd w:id="1"/>
    <w:p w14:paraId="35ACB486">
      <w:pPr>
        <w:pStyle w:val="2"/>
        <w:spacing w:line="120" w:lineRule="exact"/>
        <w:ind w:firstLine="560"/>
        <w:rPr>
          <w:rFonts w:ascii="仿宋_GB2312" w:hAnsi="仿宋_GB2312" w:eastAsia="仿宋_GB2312" w:cs="仿宋_GB2312"/>
          <w:sz w:val="32"/>
          <w:szCs w:val="32"/>
        </w:rPr>
      </w:pPr>
    </w:p>
    <w:p w14:paraId="5AEE9BEE">
      <w:pPr>
        <w:spacing w:line="580" w:lineRule="exact"/>
        <w:ind w:firstLine="643" w:firstLineChars="200"/>
        <w:outlineLvl w:val="0"/>
        <w:rPr>
          <w:rFonts w:ascii="仿宋_GB2312" w:hAnsi="仿宋_GB2312" w:eastAsia="仿宋_GB2312" w:cs="仿宋_GB2312"/>
          <w:b/>
          <w:bCs/>
          <w:sz w:val="32"/>
          <w:szCs w:val="40"/>
        </w:rPr>
      </w:pPr>
      <w:bookmarkStart w:id="2" w:name="_Toc23411"/>
      <w:bookmarkStart w:id="3" w:name="_Toc30335"/>
      <w:bookmarkStart w:id="4" w:name="_Toc18334"/>
      <w:bookmarkStart w:id="5" w:name="_Toc6314"/>
      <w:bookmarkStart w:id="6" w:name="_Toc9525"/>
      <w:bookmarkStart w:id="7" w:name="_Toc16913"/>
      <w:bookmarkStart w:id="8" w:name="_Toc13153"/>
      <w:bookmarkStart w:id="9" w:name="_Toc4013"/>
      <w:bookmarkStart w:id="10" w:name="_Toc2245"/>
      <w:bookmarkStart w:id="11" w:name="_Toc11301"/>
    </w:p>
    <w:p w14:paraId="042D0000">
      <w:pPr>
        <w:spacing w:line="580" w:lineRule="exact"/>
        <w:ind w:firstLine="643" w:firstLineChars="200"/>
        <w:outlineLvl w:val="0"/>
        <w:rPr>
          <w:rFonts w:hint="eastAsia" w:ascii="仿宋国标2312" w:hAnsi="仿宋_GB2312" w:eastAsia="仿宋国标2312" w:cs="仿宋_GB2312"/>
          <w:b/>
          <w:bCs/>
          <w:sz w:val="32"/>
          <w:szCs w:val="32"/>
        </w:rPr>
      </w:pPr>
      <w:r>
        <w:rPr>
          <w:rFonts w:hint="eastAsia" w:ascii="仿宋国标2312" w:hAnsi="仿宋_GB2312" w:eastAsia="仿宋国标2312" w:cs="仿宋_GB2312"/>
          <w:b/>
          <w:bCs/>
          <w:sz w:val="32"/>
          <w:szCs w:val="32"/>
        </w:rPr>
        <w:t>一、项目概况</w:t>
      </w:r>
      <w:bookmarkEnd w:id="2"/>
      <w:bookmarkEnd w:id="3"/>
      <w:bookmarkEnd w:id="4"/>
      <w:bookmarkEnd w:id="5"/>
      <w:bookmarkEnd w:id="6"/>
      <w:bookmarkEnd w:id="7"/>
      <w:bookmarkEnd w:id="8"/>
      <w:bookmarkEnd w:id="9"/>
      <w:bookmarkEnd w:id="10"/>
      <w:bookmarkEnd w:id="11"/>
    </w:p>
    <w:p w14:paraId="654E7892">
      <w:pPr>
        <w:spacing w:line="580" w:lineRule="exact"/>
        <w:ind w:firstLine="640" w:firstLineChars="200"/>
        <w:outlineLvl w:val="1"/>
        <w:rPr>
          <w:rFonts w:hint="eastAsia" w:ascii="仿宋国标2312" w:hAnsi="仿宋_GB2312" w:eastAsia="仿宋国标2312" w:cs="仿宋_GB2312"/>
          <w:sz w:val="32"/>
          <w:szCs w:val="32"/>
        </w:rPr>
      </w:pPr>
      <w:bookmarkStart w:id="12" w:name="_Toc937"/>
      <w:bookmarkStart w:id="13" w:name="_Toc24784"/>
      <w:bookmarkStart w:id="14" w:name="_Toc22285"/>
      <w:bookmarkStart w:id="15" w:name="_Toc19370"/>
      <w:bookmarkStart w:id="16" w:name="_Toc30895"/>
      <w:bookmarkStart w:id="17" w:name="_Toc22453"/>
      <w:bookmarkStart w:id="18" w:name="_Toc32742"/>
      <w:bookmarkStart w:id="19" w:name="_Toc23957"/>
      <w:bookmarkStart w:id="20" w:name="_Toc15831"/>
      <w:bookmarkStart w:id="21" w:name="_Toc19963"/>
      <w:r>
        <w:rPr>
          <w:rFonts w:hint="eastAsia" w:ascii="仿宋国标2312" w:hAnsi="仿宋_GB2312" w:eastAsia="仿宋国标2312" w:cs="仿宋_GB2312"/>
          <w:sz w:val="32"/>
          <w:szCs w:val="32"/>
        </w:rPr>
        <w:t>（一）项目单位基本情况</w:t>
      </w:r>
      <w:bookmarkEnd w:id="12"/>
      <w:bookmarkEnd w:id="13"/>
      <w:bookmarkEnd w:id="14"/>
      <w:bookmarkEnd w:id="15"/>
      <w:bookmarkEnd w:id="16"/>
      <w:bookmarkEnd w:id="17"/>
      <w:bookmarkEnd w:id="18"/>
      <w:bookmarkEnd w:id="19"/>
      <w:bookmarkEnd w:id="20"/>
      <w:bookmarkEnd w:id="21"/>
    </w:p>
    <w:p w14:paraId="052B5202">
      <w:pPr>
        <w:pStyle w:val="2"/>
        <w:ind w:firstLine="560"/>
        <w:rPr>
          <w:rFonts w:hint="eastAsia" w:ascii="仿宋国标2312" w:hAnsi="仿宋_GB2312" w:eastAsia="仿宋国标2312" w:cs="仿宋_GB2312"/>
          <w:color w:val="000000" w:themeColor="text1"/>
          <w:sz w:val="32"/>
          <w:szCs w:val="32"/>
        </w:rPr>
      </w:pPr>
      <w:r>
        <w:rPr>
          <w:rFonts w:hint="eastAsia" w:ascii="仿宋国标2312" w:hAnsi="仿宋_GB2312" w:eastAsia="仿宋国标2312" w:cs="仿宋_GB2312"/>
          <w:color w:val="000000" w:themeColor="text1"/>
          <w:sz w:val="32"/>
          <w:szCs w:val="32"/>
        </w:rPr>
        <w:t>隆尧县城关校区位于隆尧县隆尧镇东关村，为隆尧县教育局下属事业单位，宗旨和业务范围为做好辖区内各小学幼儿园管理工作。校区秉承以实施素质教育为核心，以规范管理为重点，以质量效益为主题，以学校布局调整和新课程改造为契机，坚持以人为本，促进学生教师学校全面和谐发展的办学目标，以开放、民主、和谐、发展的精神引领学校各项工作健康开展。校区积极实施“规范化、现代化、特色化”的办学管理思想，推行民主化、人性化、制度化、精细化的管理模式，把提高教育教学质量作为工作中心，把培养学生创新精神、综合素质、良好的思想品质作为重点，校区以建立高尚的师德师风和转变教育管理人员的工作作风为突破口，加快教育现代化和教育教学改革步伐，推动了学校各项工作的快速发展，为培养新世纪人才奠定了扎实的基础。</w:t>
      </w:r>
    </w:p>
    <w:p w14:paraId="56C7E0FF">
      <w:pPr>
        <w:spacing w:line="580" w:lineRule="exact"/>
        <w:outlineLvl w:val="1"/>
        <w:rPr>
          <w:rFonts w:hint="eastAsia" w:ascii="仿宋国标2312" w:hAnsi="仿宋_GB2312" w:eastAsia="仿宋国标2312" w:cs="仿宋_GB2312"/>
          <w:color w:val="000000" w:themeColor="text1"/>
          <w:sz w:val="32"/>
          <w:szCs w:val="32"/>
        </w:rPr>
      </w:pPr>
      <w:bookmarkStart w:id="22" w:name="_Toc15167"/>
      <w:bookmarkStart w:id="23" w:name="_Toc29308"/>
      <w:bookmarkStart w:id="24" w:name="_Toc8843"/>
      <w:r>
        <w:rPr>
          <w:rFonts w:hint="eastAsia" w:ascii="仿宋国标2312" w:hAnsi="仿宋_GB2312" w:eastAsia="仿宋国标2312" w:cs="仿宋_GB2312"/>
          <w:color w:val="000000" w:themeColor="text1"/>
          <w:sz w:val="32"/>
          <w:szCs w:val="32"/>
        </w:rPr>
        <w:t>（二）</w:t>
      </w:r>
      <w:r>
        <w:rPr>
          <w:rFonts w:hint="eastAsia" w:ascii="仿宋国标2312" w:hAnsi="仿宋_GB2312" w:eastAsia="仿宋国标2312" w:cs="仿宋_GB2312"/>
          <w:b/>
          <w:color w:val="000000" w:themeColor="text1"/>
          <w:sz w:val="32"/>
          <w:szCs w:val="32"/>
        </w:rPr>
        <w:t>项目基本情况</w:t>
      </w:r>
      <w:bookmarkEnd w:id="22"/>
      <w:bookmarkEnd w:id="23"/>
      <w:bookmarkEnd w:id="24"/>
    </w:p>
    <w:p w14:paraId="5FF9505F">
      <w:pPr>
        <w:spacing w:line="580" w:lineRule="exact"/>
        <w:ind w:firstLine="640" w:firstLineChars="200"/>
        <w:outlineLvl w:val="1"/>
        <w:rPr>
          <w:rFonts w:hint="eastAsia" w:ascii="仿宋国标2312" w:eastAsia="仿宋国标2312" w:cs="仿宋"/>
          <w:color w:val="000000" w:themeColor="text1"/>
          <w:kern w:val="0"/>
          <w:sz w:val="32"/>
          <w:szCs w:val="32"/>
        </w:rPr>
      </w:pPr>
      <w:bookmarkStart w:id="25" w:name="_Toc6781"/>
      <w:bookmarkStart w:id="26" w:name="_Toc4859"/>
      <w:bookmarkStart w:id="27" w:name="_Toc2988"/>
      <w:bookmarkStart w:id="28" w:name="_Toc26109"/>
      <w:bookmarkStart w:id="29" w:name="_Toc14644"/>
      <w:bookmarkStart w:id="30" w:name="_Toc28908"/>
      <w:bookmarkStart w:id="31" w:name="_Toc7839"/>
      <w:bookmarkStart w:id="32" w:name="_Toc18992"/>
      <w:bookmarkStart w:id="33" w:name="_Toc12860"/>
      <w:bookmarkStart w:id="34" w:name="_Toc17782"/>
      <w:r>
        <w:rPr>
          <w:rFonts w:hint="eastAsia" w:ascii="仿宋国标2312" w:eastAsia="仿宋国标2312"/>
          <w:color w:val="000000" w:themeColor="text1"/>
          <w:sz w:val="32"/>
          <w:szCs w:val="32"/>
        </w:rPr>
        <w:t>隆尧县城关校区德兴路小学新建项目位于德兴路与隆平街交叉口，由河北省第四建筑工程有限公司于2022年6月25日中标并承建，中标价4473.08万元。本项目为EPC项目，2022年7月1日开始建设。</w:t>
      </w:r>
      <w:r>
        <w:rPr>
          <w:rFonts w:hint="eastAsia" w:ascii="仿宋国标2312" w:eastAsia="仿宋国标2312" w:hAnsiTheme="minorEastAsia" w:cstheme="minorEastAsia"/>
          <w:color w:val="000000" w:themeColor="text1"/>
          <w:sz w:val="32"/>
          <w:szCs w:val="32"/>
        </w:rPr>
        <w:t>项目占地60亩，总建筑面积12178.39平方米，建设6轨制标准小学。</w:t>
      </w:r>
      <w:r>
        <w:rPr>
          <w:rFonts w:hint="eastAsia" w:ascii="仿宋国标2312" w:eastAsia="仿宋国标2312"/>
          <w:color w:val="000000" w:themeColor="text1"/>
          <w:sz w:val="32"/>
          <w:szCs w:val="32"/>
        </w:rPr>
        <w:t>具体项目包括：新建综合楼为四层框架结构建筑，面积为9824.51平方米；餐厅为二层框架结构，建筑面积1939.1平方米,消防水池及泵房地上一层地下一层，建筑面积86.96平方米；看台建筑面积256平方米；门卫一建筑面积为20.74平方米，门卫二建筑面积为51.08平方米，标准操场一座，室外工程及景观绿化等。计划2023年9月1日投入使用。该项目监理单位是河北齐翔工程项目管理有限公司，合同金额515000元。</w:t>
      </w:r>
      <w:bookmarkStart w:id="96" w:name="_GoBack"/>
      <w:bookmarkEnd w:id="96"/>
      <w:r>
        <w:rPr>
          <w:rFonts w:hint="eastAsia" w:ascii="仿宋国标2312" w:eastAsia="仿宋国标2312" w:cs="仿宋"/>
          <w:color w:val="000000" w:themeColor="text1"/>
          <w:kern w:val="0"/>
          <w:sz w:val="32"/>
          <w:szCs w:val="32"/>
          <w:lang w:eastAsia="zh-CN"/>
        </w:rPr>
        <w:t>截至目前</w:t>
      </w:r>
      <w:r>
        <w:rPr>
          <w:rFonts w:hint="eastAsia" w:ascii="仿宋国标2312" w:eastAsia="仿宋国标2312" w:cs="仿宋"/>
          <w:color w:val="000000" w:themeColor="text1"/>
          <w:kern w:val="0"/>
          <w:sz w:val="32"/>
          <w:szCs w:val="32"/>
        </w:rPr>
        <w:t>共支付工程建设预付款1341.92万元，</w:t>
      </w:r>
    </w:p>
    <w:p w14:paraId="30C0488F">
      <w:pPr>
        <w:pStyle w:val="2"/>
        <w:ind w:firstLine="562"/>
        <w:rPr>
          <w:rFonts w:hint="eastAsia" w:ascii="仿宋国标2312" w:hAnsi="仿宋_GB2312" w:eastAsia="仿宋国标2312" w:cs="仿宋_GB2312"/>
          <w:b/>
          <w:bCs/>
          <w:color w:val="000000" w:themeColor="text1"/>
          <w:sz w:val="32"/>
          <w:szCs w:val="32"/>
        </w:rPr>
      </w:pPr>
      <w:r>
        <w:rPr>
          <w:rFonts w:hint="eastAsia" w:ascii="仿宋国标2312" w:hAnsi="仿宋_GB2312" w:eastAsia="仿宋国标2312" w:cs="仿宋_GB2312"/>
          <w:b/>
          <w:bCs/>
          <w:color w:val="000000" w:themeColor="text1"/>
          <w:sz w:val="32"/>
          <w:szCs w:val="32"/>
        </w:rPr>
        <w:t>二、项目实施情况</w:t>
      </w:r>
      <w:bookmarkEnd w:id="25"/>
      <w:bookmarkEnd w:id="26"/>
      <w:bookmarkEnd w:id="27"/>
      <w:bookmarkEnd w:id="28"/>
      <w:bookmarkEnd w:id="29"/>
      <w:bookmarkEnd w:id="30"/>
      <w:bookmarkEnd w:id="31"/>
      <w:bookmarkEnd w:id="32"/>
      <w:bookmarkEnd w:id="33"/>
      <w:bookmarkEnd w:id="34"/>
    </w:p>
    <w:p w14:paraId="0FEE364A">
      <w:pPr>
        <w:pStyle w:val="2"/>
        <w:ind w:firstLine="560"/>
        <w:rPr>
          <w:rFonts w:hint="eastAsia" w:ascii="仿宋国标2312" w:hAnsi="仿宋_GB2312" w:eastAsia="仿宋国标2312" w:cs="仿宋_GB2312"/>
          <w:color w:val="000000" w:themeColor="text1"/>
          <w:sz w:val="32"/>
          <w:szCs w:val="32"/>
        </w:rPr>
      </w:pPr>
      <w:r>
        <w:rPr>
          <w:rFonts w:hint="eastAsia" w:ascii="仿宋国标2312" w:hAnsi="仿宋_GB2312" w:eastAsia="仿宋国标2312" w:cs="仿宋_GB2312"/>
          <w:color w:val="000000" w:themeColor="text1"/>
          <w:sz w:val="32"/>
          <w:szCs w:val="32"/>
        </w:rPr>
        <w:t>本项目由隆尧县限额交易系统选取勘察、设计、造价等前期咨询单位，通过公开招标的方式选取施工、监理中标单位。严格按照国家及省市县相关要求进行财务管理，执行国家有关法律、法规和财务规章制度，坚持勤俭办一切事业的方针，在单位负责人的领导下，由单位财务部门统一管理。</w:t>
      </w:r>
    </w:p>
    <w:p w14:paraId="496EDFFD">
      <w:pPr>
        <w:pStyle w:val="2"/>
        <w:ind w:firstLine="560"/>
        <w:rPr>
          <w:rFonts w:hint="eastAsia" w:ascii="仿宋国标2312" w:hAnsi="仿宋_GB2312" w:eastAsia="仿宋国标2312" w:cs="仿宋_GB2312"/>
          <w:color w:val="000000" w:themeColor="text1"/>
          <w:sz w:val="32"/>
          <w:szCs w:val="32"/>
        </w:rPr>
      </w:pPr>
      <w:r>
        <w:rPr>
          <w:rFonts w:hint="eastAsia" w:ascii="仿宋国标2312" w:hAnsi="仿宋_GB2312" w:eastAsia="仿宋国标2312" w:cs="仿宋_GB2312"/>
          <w:color w:val="000000" w:themeColor="text1"/>
          <w:sz w:val="32"/>
          <w:szCs w:val="32"/>
        </w:rPr>
        <w:t>截至目前项目投资完成1210万元，</w:t>
      </w:r>
    </w:p>
    <w:p w14:paraId="21B3AF30">
      <w:pPr>
        <w:pStyle w:val="2"/>
        <w:ind w:firstLine="560"/>
        <w:rPr>
          <w:rFonts w:hint="eastAsia" w:ascii="仿宋国标2312" w:hAnsi="仿宋_GB2312" w:eastAsia="仿宋国标2312" w:cs="仿宋_GB2312"/>
          <w:color w:val="000000" w:themeColor="text1"/>
          <w:sz w:val="32"/>
          <w:szCs w:val="32"/>
        </w:rPr>
      </w:pPr>
      <w:r>
        <w:rPr>
          <w:rFonts w:hint="eastAsia" w:ascii="仿宋国标2312" w:hAnsi="仿宋_GB2312" w:eastAsia="仿宋国标2312" w:cs="仿宋_GB2312"/>
          <w:color w:val="000000" w:themeColor="text1"/>
          <w:sz w:val="32"/>
          <w:szCs w:val="32"/>
        </w:rPr>
        <w:t>综合楼：地下工程完成，一层主体完成；</w:t>
      </w:r>
    </w:p>
    <w:p w14:paraId="15A128BE">
      <w:pPr>
        <w:pStyle w:val="2"/>
        <w:ind w:firstLine="560"/>
        <w:rPr>
          <w:rFonts w:hint="eastAsia" w:ascii="仿宋国标2312" w:hAnsi="仿宋_GB2312" w:eastAsia="仿宋国标2312" w:cs="仿宋_GB2312"/>
          <w:color w:val="000000" w:themeColor="text1"/>
          <w:sz w:val="32"/>
          <w:szCs w:val="32"/>
        </w:rPr>
      </w:pPr>
      <w:r>
        <w:rPr>
          <w:rFonts w:hint="eastAsia" w:ascii="仿宋国标2312" w:hAnsi="仿宋_GB2312" w:eastAsia="仿宋国标2312" w:cs="仿宋_GB2312"/>
          <w:color w:val="000000" w:themeColor="text1"/>
          <w:sz w:val="32"/>
          <w:szCs w:val="32"/>
        </w:rPr>
        <w:t>餐厅：地下工程完成。</w:t>
      </w:r>
    </w:p>
    <w:p w14:paraId="00A56A23">
      <w:pPr>
        <w:rPr>
          <w:rFonts w:hint="eastAsia" w:ascii="仿宋国标2312" w:hAnsi="仿宋_GB2312" w:eastAsia="仿宋国标2312" w:cs="仿宋_GB2312"/>
          <w:color w:val="000000" w:themeColor="text1"/>
          <w:sz w:val="32"/>
          <w:szCs w:val="32"/>
        </w:rPr>
      </w:pPr>
      <w:r>
        <w:rPr>
          <w:rFonts w:hint="eastAsia" w:ascii="仿宋国标2312" w:hAnsi="仿宋_GB2312" w:eastAsia="仿宋国标2312" w:cs="仿宋_GB2312"/>
          <w:color w:val="000000" w:themeColor="text1"/>
          <w:sz w:val="32"/>
          <w:szCs w:val="32"/>
        </w:rPr>
        <w:t xml:space="preserve">   消防水池及泵房：主体结构完成，地下防水完成，回填土完成，地下工程抹灰完成。</w:t>
      </w:r>
    </w:p>
    <w:p w14:paraId="48DC77FF">
      <w:pPr>
        <w:pStyle w:val="2"/>
        <w:ind w:firstLine="960" w:firstLineChars="300"/>
        <w:rPr>
          <w:rFonts w:hint="eastAsia" w:ascii="仿宋国标2312" w:eastAsia="仿宋国标2312"/>
          <w:color w:val="000000" w:themeColor="text1"/>
          <w:sz w:val="32"/>
          <w:szCs w:val="32"/>
        </w:rPr>
      </w:pPr>
      <w:r>
        <w:rPr>
          <w:rFonts w:hint="eastAsia" w:ascii="仿宋国标2312" w:eastAsia="仿宋国标2312" w:cstheme="minorBidi"/>
          <w:color w:val="000000" w:themeColor="text1"/>
          <w:sz w:val="32"/>
          <w:szCs w:val="32"/>
        </w:rPr>
        <w:t>超大土坑夯填完成。</w:t>
      </w:r>
    </w:p>
    <w:p w14:paraId="2DACB83F">
      <w:pPr>
        <w:pStyle w:val="2"/>
        <w:ind w:firstLine="560"/>
        <w:rPr>
          <w:rFonts w:hint="eastAsia" w:ascii="仿宋国标2312" w:eastAsia="仿宋国标2312"/>
          <w:color w:val="000000" w:themeColor="text1"/>
          <w:sz w:val="32"/>
          <w:szCs w:val="32"/>
        </w:rPr>
      </w:pPr>
      <w:r>
        <w:rPr>
          <w:rFonts w:hint="eastAsia" w:ascii="仿宋国标2312" w:hAnsi="仿宋_GB2312" w:eastAsia="仿宋国标2312" w:cs="仿宋_GB2312"/>
          <w:color w:val="000000" w:themeColor="text1"/>
          <w:sz w:val="32"/>
          <w:szCs w:val="32"/>
        </w:rPr>
        <w:t>财务管理情况良好。</w:t>
      </w:r>
    </w:p>
    <w:p w14:paraId="6FB4CF6B">
      <w:pPr>
        <w:spacing w:line="580" w:lineRule="exact"/>
        <w:ind w:firstLine="643" w:firstLineChars="200"/>
        <w:outlineLvl w:val="0"/>
        <w:rPr>
          <w:rFonts w:hint="eastAsia" w:ascii="仿宋国标2312" w:hAnsi="仿宋_GB2312" w:eastAsia="仿宋国标2312" w:cs="仿宋_GB2312"/>
          <w:b/>
          <w:bCs/>
          <w:color w:val="000000" w:themeColor="text1"/>
          <w:sz w:val="32"/>
          <w:szCs w:val="32"/>
        </w:rPr>
      </w:pPr>
      <w:bookmarkStart w:id="35" w:name="_Toc18915"/>
      <w:bookmarkStart w:id="36" w:name="_Toc21501"/>
      <w:bookmarkStart w:id="37" w:name="_Toc20904"/>
      <w:bookmarkStart w:id="38" w:name="_Toc5215"/>
      <w:bookmarkStart w:id="39" w:name="_Toc26855"/>
      <w:bookmarkStart w:id="40" w:name="_Toc5317"/>
      <w:bookmarkStart w:id="41" w:name="_Toc6451"/>
      <w:bookmarkStart w:id="42" w:name="_Toc10651"/>
      <w:bookmarkStart w:id="43" w:name="_Toc29800"/>
      <w:bookmarkStart w:id="44" w:name="_Toc12150"/>
      <w:r>
        <w:rPr>
          <w:rFonts w:hint="eastAsia" w:ascii="仿宋国标2312" w:hAnsi="仿宋_GB2312" w:eastAsia="仿宋国标2312" w:cs="仿宋_GB2312"/>
          <w:b/>
          <w:bCs/>
          <w:color w:val="000000" w:themeColor="text1"/>
          <w:sz w:val="32"/>
          <w:szCs w:val="32"/>
        </w:rPr>
        <w:t>三、绩效评价工作情况</w:t>
      </w:r>
      <w:bookmarkEnd w:id="35"/>
      <w:bookmarkEnd w:id="36"/>
      <w:bookmarkEnd w:id="37"/>
      <w:bookmarkEnd w:id="38"/>
      <w:bookmarkEnd w:id="39"/>
      <w:bookmarkEnd w:id="40"/>
      <w:bookmarkEnd w:id="41"/>
      <w:bookmarkEnd w:id="42"/>
      <w:bookmarkEnd w:id="43"/>
      <w:bookmarkEnd w:id="44"/>
    </w:p>
    <w:p w14:paraId="553CDEC0">
      <w:pPr>
        <w:spacing w:line="580" w:lineRule="exact"/>
        <w:ind w:firstLine="640" w:firstLineChars="200"/>
        <w:outlineLvl w:val="1"/>
        <w:rPr>
          <w:rFonts w:hint="eastAsia" w:ascii="仿宋国标2312" w:hAnsi="仿宋_GB2312" w:eastAsia="仿宋国标2312" w:cs="仿宋_GB2312"/>
          <w:color w:val="000000" w:themeColor="text1"/>
          <w:sz w:val="32"/>
          <w:szCs w:val="32"/>
        </w:rPr>
      </w:pPr>
      <w:bookmarkStart w:id="45" w:name="_Toc23608"/>
      <w:bookmarkStart w:id="46" w:name="_Toc14742"/>
      <w:bookmarkStart w:id="47" w:name="_Toc5105"/>
      <w:bookmarkStart w:id="48" w:name="_Toc22771"/>
      <w:bookmarkStart w:id="49" w:name="_Toc7570"/>
      <w:bookmarkStart w:id="50" w:name="_Toc8077"/>
      <w:bookmarkStart w:id="51" w:name="_Toc4056"/>
      <w:bookmarkStart w:id="52" w:name="_Toc17355"/>
      <w:bookmarkStart w:id="53" w:name="_Toc15730"/>
      <w:bookmarkStart w:id="54" w:name="_Toc25600"/>
      <w:r>
        <w:rPr>
          <w:rFonts w:hint="eastAsia" w:ascii="仿宋国标2312" w:hAnsi="仿宋_GB2312" w:eastAsia="仿宋国标2312" w:cs="仿宋_GB2312"/>
          <w:color w:val="000000" w:themeColor="text1"/>
          <w:sz w:val="32"/>
          <w:szCs w:val="32"/>
        </w:rPr>
        <w:t>（一）评价目的</w:t>
      </w:r>
      <w:bookmarkEnd w:id="45"/>
      <w:bookmarkEnd w:id="46"/>
      <w:bookmarkEnd w:id="47"/>
      <w:bookmarkEnd w:id="48"/>
      <w:bookmarkEnd w:id="49"/>
      <w:bookmarkEnd w:id="50"/>
      <w:bookmarkEnd w:id="51"/>
      <w:bookmarkEnd w:id="52"/>
      <w:bookmarkEnd w:id="53"/>
      <w:bookmarkEnd w:id="54"/>
    </w:p>
    <w:p w14:paraId="4C665902">
      <w:pPr>
        <w:spacing w:line="580" w:lineRule="exact"/>
        <w:ind w:firstLine="640" w:firstLineChars="200"/>
        <w:outlineLvl w:val="1"/>
        <w:rPr>
          <w:rFonts w:hint="eastAsia" w:ascii="仿宋国标2312" w:hAnsi="仿宋_GB2312" w:eastAsia="仿宋国标2312" w:cs="仿宋_GB2312"/>
          <w:color w:val="000000" w:themeColor="text1"/>
          <w:sz w:val="32"/>
          <w:szCs w:val="32"/>
        </w:rPr>
      </w:pPr>
      <w:r>
        <w:rPr>
          <w:rFonts w:hint="eastAsia" w:ascii="仿宋国标2312" w:hAnsi="仿宋_GB2312" w:eastAsia="仿宋国标2312" w:cs="仿宋_GB2312"/>
          <w:color w:val="000000" w:themeColor="text1"/>
          <w:sz w:val="32"/>
          <w:szCs w:val="32"/>
        </w:rPr>
        <w:t>通过对隆尧县城关校区德兴路小学新建项目资金进行绩效评价，了解和掌握项目决策情况、具体实施情况，从评价中发现问题，认真整改，及时调整和完善单位工作计划和绩效目标并加强管理。</w:t>
      </w:r>
    </w:p>
    <w:p w14:paraId="24B9104E">
      <w:pPr>
        <w:numPr>
          <w:ilvl w:val="0"/>
          <w:numId w:val="1"/>
        </w:numPr>
        <w:spacing w:line="580" w:lineRule="exact"/>
        <w:ind w:firstLine="640" w:firstLineChars="200"/>
        <w:outlineLvl w:val="1"/>
        <w:rPr>
          <w:rFonts w:hint="eastAsia" w:ascii="仿宋国标2312" w:hAnsi="仿宋_GB2312" w:eastAsia="仿宋国标2312" w:cs="仿宋_GB2312"/>
          <w:color w:val="000000" w:themeColor="text1"/>
          <w:sz w:val="32"/>
          <w:szCs w:val="32"/>
        </w:rPr>
      </w:pPr>
      <w:bookmarkStart w:id="55" w:name="_Toc25746"/>
      <w:bookmarkStart w:id="56" w:name="_Toc27346"/>
      <w:bookmarkStart w:id="57" w:name="_Toc18502"/>
      <w:bookmarkStart w:id="58" w:name="_Toc16121"/>
      <w:bookmarkStart w:id="59" w:name="_Toc30351"/>
      <w:bookmarkStart w:id="60" w:name="_Toc8288"/>
      <w:bookmarkStart w:id="61" w:name="_Toc27199"/>
      <w:bookmarkStart w:id="62" w:name="_Toc3910"/>
      <w:bookmarkStart w:id="63" w:name="_Toc16971"/>
      <w:bookmarkStart w:id="64" w:name="_Toc22727"/>
      <w:r>
        <w:rPr>
          <w:rFonts w:hint="eastAsia" w:ascii="仿宋国标2312" w:hAnsi="仿宋_GB2312" w:eastAsia="仿宋国标2312" w:cs="仿宋_GB2312"/>
          <w:color w:val="000000" w:themeColor="text1"/>
          <w:sz w:val="32"/>
          <w:szCs w:val="32"/>
        </w:rPr>
        <w:t>评价指标</w:t>
      </w:r>
      <w:bookmarkEnd w:id="55"/>
      <w:bookmarkEnd w:id="56"/>
      <w:bookmarkEnd w:id="57"/>
      <w:bookmarkEnd w:id="58"/>
      <w:bookmarkEnd w:id="59"/>
      <w:bookmarkEnd w:id="60"/>
      <w:bookmarkEnd w:id="61"/>
      <w:bookmarkEnd w:id="62"/>
      <w:bookmarkEnd w:id="63"/>
      <w:bookmarkEnd w:id="64"/>
      <w:r>
        <w:rPr>
          <w:rFonts w:hint="eastAsia" w:ascii="仿宋国标2312" w:hAnsi="仿宋_GB2312" w:eastAsia="仿宋国标2312" w:cs="仿宋_GB2312"/>
          <w:color w:val="000000" w:themeColor="text1"/>
          <w:sz w:val="32"/>
          <w:szCs w:val="32"/>
        </w:rPr>
        <w:t>设定隆尧县城关校区德兴路小学新建项目重点绩效评价指标表，如下表。</w:t>
      </w:r>
    </w:p>
    <w:p w14:paraId="107288CD">
      <w:pPr>
        <w:spacing w:line="580" w:lineRule="exact"/>
        <w:ind w:firstLine="640" w:firstLineChars="200"/>
        <w:outlineLvl w:val="1"/>
        <w:rPr>
          <w:rFonts w:hint="eastAsia" w:ascii="仿宋国标2312" w:hAnsi="仿宋_GB2312" w:eastAsia="仿宋国标2312" w:cs="仿宋_GB2312"/>
          <w:color w:val="000000" w:themeColor="text1"/>
          <w:sz w:val="32"/>
          <w:szCs w:val="32"/>
        </w:rPr>
      </w:pPr>
      <w:bookmarkStart w:id="65" w:name="_Toc25343"/>
      <w:bookmarkStart w:id="66" w:name="_Toc5587"/>
      <w:bookmarkStart w:id="67" w:name="_Toc23270"/>
      <w:bookmarkStart w:id="68" w:name="_Toc19068"/>
      <w:bookmarkStart w:id="69" w:name="_Toc11684"/>
      <w:bookmarkStart w:id="70" w:name="_Toc32306"/>
      <w:bookmarkStart w:id="71" w:name="_Toc19154"/>
      <w:bookmarkStart w:id="72" w:name="_Toc32241"/>
      <w:bookmarkStart w:id="73" w:name="_Toc12572"/>
      <w:bookmarkStart w:id="74" w:name="_Toc5304"/>
      <w:r>
        <w:rPr>
          <w:rFonts w:hint="eastAsia" w:ascii="仿宋国标2312" w:hAnsi="仿宋_GB2312" w:eastAsia="仿宋国标2312" w:cs="仿宋_GB2312"/>
          <w:color w:val="000000" w:themeColor="text1"/>
          <w:sz w:val="32"/>
          <w:szCs w:val="32"/>
        </w:rPr>
        <w:t>（三）评价依据</w:t>
      </w:r>
      <w:bookmarkEnd w:id="65"/>
      <w:bookmarkEnd w:id="66"/>
      <w:bookmarkEnd w:id="67"/>
      <w:bookmarkEnd w:id="68"/>
      <w:bookmarkEnd w:id="69"/>
      <w:bookmarkEnd w:id="70"/>
      <w:bookmarkEnd w:id="71"/>
      <w:bookmarkEnd w:id="72"/>
      <w:bookmarkEnd w:id="73"/>
      <w:bookmarkEnd w:id="74"/>
    </w:p>
    <w:p w14:paraId="6F205565">
      <w:pPr>
        <w:pStyle w:val="2"/>
        <w:ind w:firstLine="560"/>
        <w:rPr>
          <w:rFonts w:hint="eastAsia" w:ascii="仿宋国标2312" w:eastAsia="仿宋国标2312"/>
          <w:color w:val="000000" w:themeColor="text1"/>
          <w:sz w:val="32"/>
          <w:szCs w:val="32"/>
        </w:rPr>
      </w:pPr>
      <w:r>
        <w:rPr>
          <w:rFonts w:hint="eastAsia" w:ascii="仿宋国标2312" w:eastAsia="仿宋国标2312"/>
          <w:color w:val="000000" w:themeColor="text1"/>
          <w:sz w:val="32"/>
          <w:szCs w:val="32"/>
        </w:rPr>
        <w:t>1、《中华人民共和国预算法》</w:t>
      </w:r>
    </w:p>
    <w:p w14:paraId="3031247E">
      <w:pPr>
        <w:rPr>
          <w:rFonts w:hint="eastAsia" w:ascii="仿宋国标2312" w:eastAsia="仿宋国标2312"/>
          <w:color w:val="000000" w:themeColor="text1"/>
          <w:sz w:val="32"/>
          <w:szCs w:val="32"/>
        </w:rPr>
      </w:pPr>
      <w:r>
        <w:rPr>
          <w:rFonts w:hint="eastAsia" w:ascii="仿宋国标2312" w:eastAsia="仿宋国标2312"/>
          <w:color w:val="000000" w:themeColor="text1"/>
          <w:sz w:val="32"/>
          <w:szCs w:val="32"/>
        </w:rPr>
        <w:t xml:space="preserve">    2、《中华人民共和国会计法》</w:t>
      </w:r>
    </w:p>
    <w:p w14:paraId="2A2628BA">
      <w:pPr>
        <w:ind w:firstLine="640" w:firstLineChars="200"/>
        <w:rPr>
          <w:rFonts w:hint="eastAsia" w:ascii="仿宋国标2312" w:eastAsia="仿宋国标2312"/>
          <w:color w:val="000000" w:themeColor="text1"/>
          <w:sz w:val="32"/>
          <w:szCs w:val="32"/>
        </w:rPr>
      </w:pPr>
      <w:r>
        <w:rPr>
          <w:rFonts w:hint="eastAsia" w:ascii="仿宋国标2312" w:eastAsia="仿宋国标2312"/>
          <w:color w:val="000000" w:themeColor="text1"/>
          <w:sz w:val="32"/>
          <w:szCs w:val="32"/>
        </w:rPr>
        <w:t>3、《中华人民共和国教育法》</w:t>
      </w:r>
    </w:p>
    <w:p w14:paraId="1A8EEC7C">
      <w:pPr>
        <w:ind w:firstLine="640" w:firstLineChars="200"/>
        <w:rPr>
          <w:rFonts w:hint="eastAsia" w:ascii="仿宋国标2312" w:eastAsia="仿宋国标2312"/>
          <w:color w:val="000000" w:themeColor="text1"/>
          <w:sz w:val="32"/>
          <w:szCs w:val="32"/>
        </w:rPr>
      </w:pPr>
      <w:r>
        <w:rPr>
          <w:rFonts w:hint="eastAsia" w:ascii="仿宋国标2312" w:eastAsia="仿宋国标2312"/>
          <w:color w:val="000000" w:themeColor="text1"/>
          <w:sz w:val="32"/>
          <w:szCs w:val="32"/>
        </w:rPr>
        <w:t>4、《财政检查工作办法》（财政部令 [2006]32号）</w:t>
      </w:r>
    </w:p>
    <w:p w14:paraId="725FD664">
      <w:pPr>
        <w:pStyle w:val="2"/>
        <w:ind w:firstLine="560"/>
        <w:rPr>
          <w:rFonts w:hint="eastAsia" w:ascii="仿宋国标2312" w:eastAsia="仿宋国标2312"/>
          <w:color w:val="000000" w:themeColor="text1"/>
          <w:sz w:val="32"/>
          <w:szCs w:val="32"/>
        </w:rPr>
      </w:pPr>
      <w:r>
        <w:rPr>
          <w:rFonts w:hint="eastAsia" w:ascii="仿宋国标2312" w:eastAsia="仿宋国标2312"/>
          <w:color w:val="000000" w:themeColor="text1"/>
          <w:sz w:val="32"/>
          <w:szCs w:val="32"/>
        </w:rPr>
        <w:t>5、《财政部关于印发&lt;项目支出绩效评价管理办法&gt;的通知》(财预[2020]10号)</w:t>
      </w:r>
    </w:p>
    <w:p w14:paraId="4DBA6A93">
      <w:pPr>
        <w:ind w:firstLine="640" w:firstLineChars="200"/>
        <w:rPr>
          <w:rFonts w:hint="eastAsia" w:ascii="仿宋国标2312" w:eastAsia="仿宋国标2312"/>
          <w:color w:val="000000" w:themeColor="text1"/>
          <w:sz w:val="32"/>
          <w:szCs w:val="32"/>
        </w:rPr>
      </w:pPr>
      <w:r>
        <w:rPr>
          <w:rFonts w:hint="eastAsia" w:ascii="仿宋国标2312" w:eastAsia="仿宋国标2312"/>
          <w:color w:val="000000" w:themeColor="text1"/>
          <w:sz w:val="32"/>
          <w:szCs w:val="32"/>
        </w:rPr>
        <w:t>6、《中共隆尧县委 隆尧县人民政府关于全面落实预算绩效管理的实施意见》（隆发 [2019] 15号）</w:t>
      </w:r>
    </w:p>
    <w:p w14:paraId="47858902">
      <w:pPr>
        <w:pStyle w:val="2"/>
        <w:ind w:firstLine="560"/>
        <w:rPr>
          <w:rFonts w:hint="eastAsia" w:ascii="仿宋国标2312" w:eastAsia="仿宋国标2312"/>
          <w:color w:val="000000" w:themeColor="text1"/>
          <w:sz w:val="32"/>
          <w:szCs w:val="32"/>
        </w:rPr>
      </w:pPr>
      <w:r>
        <w:rPr>
          <w:rFonts w:hint="eastAsia" w:ascii="仿宋国标2312" w:eastAsia="仿宋国标2312"/>
          <w:color w:val="000000" w:themeColor="text1"/>
          <w:sz w:val="32"/>
          <w:szCs w:val="32"/>
        </w:rPr>
        <w:t>7、《隆尧县县级预算绩效重点评价管理办法》（隆财[2020]143号）</w:t>
      </w:r>
    </w:p>
    <w:p w14:paraId="6FBEE2C2">
      <w:pPr>
        <w:spacing w:line="580" w:lineRule="exact"/>
        <w:ind w:firstLine="640" w:firstLineChars="200"/>
        <w:rPr>
          <w:rFonts w:hint="eastAsia" w:ascii="仿宋国标2312" w:hAnsi="仿宋_GB2312" w:eastAsia="仿宋国标2312" w:cs="仿宋_GB2312"/>
          <w:color w:val="000000" w:themeColor="text1"/>
          <w:sz w:val="32"/>
          <w:szCs w:val="32"/>
        </w:rPr>
      </w:pPr>
      <w:bookmarkStart w:id="75" w:name="_Toc24302"/>
      <w:bookmarkStart w:id="76" w:name="_Toc13179"/>
      <w:bookmarkStart w:id="77" w:name="_Toc1868"/>
      <w:bookmarkStart w:id="78" w:name="_Toc12940"/>
      <w:bookmarkStart w:id="79" w:name="_Toc26780"/>
      <w:bookmarkStart w:id="80" w:name="_Toc7393"/>
      <w:bookmarkStart w:id="81" w:name="_Toc11243"/>
      <w:bookmarkStart w:id="82" w:name="_Toc9401"/>
      <w:bookmarkStart w:id="83" w:name="_Toc6747"/>
      <w:bookmarkStart w:id="84" w:name="_Toc22038"/>
      <w:r>
        <w:rPr>
          <w:rFonts w:hint="eastAsia" w:ascii="仿宋国标2312" w:hAnsi="仿宋_GB2312" w:eastAsia="仿宋国标2312" w:cs="仿宋_GB2312"/>
          <w:color w:val="000000" w:themeColor="text1"/>
          <w:sz w:val="32"/>
          <w:szCs w:val="32"/>
        </w:rPr>
        <w:t>（四）评价的主要方法及等级设定</w:t>
      </w:r>
      <w:bookmarkEnd w:id="75"/>
      <w:bookmarkEnd w:id="76"/>
      <w:bookmarkEnd w:id="77"/>
      <w:bookmarkEnd w:id="78"/>
      <w:bookmarkEnd w:id="79"/>
      <w:bookmarkEnd w:id="80"/>
      <w:bookmarkEnd w:id="81"/>
      <w:bookmarkEnd w:id="82"/>
      <w:bookmarkEnd w:id="83"/>
      <w:bookmarkEnd w:id="84"/>
    </w:p>
    <w:p w14:paraId="2975DD22">
      <w:pPr>
        <w:spacing w:line="580" w:lineRule="exact"/>
        <w:ind w:firstLine="640" w:firstLineChars="200"/>
        <w:rPr>
          <w:rFonts w:hint="eastAsia" w:ascii="仿宋国标2312" w:hAnsi="仿宋_GB2312" w:eastAsia="仿宋国标2312" w:cs="仿宋_GB2312"/>
          <w:color w:val="000000" w:themeColor="text1"/>
          <w:kern w:val="0"/>
          <w:sz w:val="32"/>
          <w:szCs w:val="32"/>
          <w:shd w:val="clear" w:color="auto" w:fill="FFFFFF"/>
        </w:rPr>
      </w:pPr>
      <w:r>
        <w:rPr>
          <w:rStyle w:val="9"/>
          <w:rFonts w:hint="eastAsia" w:ascii="仿宋国标2312" w:hAnsi="宋体" w:eastAsia="仿宋国标2312" w:cs="仿宋_GB2312"/>
          <w:b w:val="0"/>
          <w:bCs/>
          <w:color w:val="000000" w:themeColor="text1"/>
          <w:sz w:val="32"/>
          <w:szCs w:val="32"/>
        </w:rPr>
        <w:t>根据相关</w:t>
      </w:r>
      <w:r>
        <w:rPr>
          <w:rFonts w:hint="eastAsia" w:ascii="仿宋国标2312" w:hAnsi="仿宋_GB2312" w:eastAsia="仿宋国标2312" w:cs="仿宋_GB2312"/>
          <w:color w:val="000000" w:themeColor="text1"/>
          <w:sz w:val="32"/>
          <w:szCs w:val="32"/>
          <w:shd w:val="clear" w:color="auto" w:fill="FFFFFF"/>
        </w:rPr>
        <w:t>要求，评价工作将</w:t>
      </w:r>
      <w:r>
        <w:rPr>
          <w:rFonts w:hint="eastAsia" w:ascii="仿宋国标2312" w:hAnsi="宋体" w:eastAsia="仿宋国标2312" w:cs="仿宋_GB2312"/>
          <w:color w:val="000000" w:themeColor="text1"/>
          <w:kern w:val="0"/>
          <w:sz w:val="32"/>
          <w:szCs w:val="32"/>
        </w:rPr>
        <w:t>网络评价与现场评价相结合；数字资料与纸质资料评价相结合；会计资料评价与工程技术资料评价相结合</w:t>
      </w:r>
      <w:r>
        <w:rPr>
          <w:rFonts w:hint="eastAsia" w:ascii="仿宋国标2312" w:hAnsi="仿宋_GB2312" w:eastAsia="仿宋国标2312" w:cs="仿宋_GB2312"/>
          <w:color w:val="000000" w:themeColor="text1"/>
          <w:kern w:val="0"/>
          <w:sz w:val="32"/>
          <w:szCs w:val="32"/>
          <w:shd w:val="clear" w:color="auto" w:fill="FFFFFF"/>
        </w:rPr>
        <w:t>。</w:t>
      </w:r>
    </w:p>
    <w:p w14:paraId="049BDAEC">
      <w:pPr>
        <w:tabs>
          <w:tab w:val="left" w:pos="420"/>
        </w:tabs>
        <w:spacing w:line="580" w:lineRule="exact"/>
        <w:ind w:firstLine="640" w:firstLineChars="200"/>
        <w:jc w:val="left"/>
        <w:rPr>
          <w:rFonts w:hint="eastAsia" w:ascii="仿宋国标2312" w:eastAsia="仿宋国标2312"/>
          <w:color w:val="000000" w:themeColor="text1"/>
          <w:sz w:val="32"/>
          <w:szCs w:val="32"/>
        </w:rPr>
      </w:pPr>
      <w:r>
        <w:rPr>
          <w:rFonts w:hint="eastAsia" w:ascii="仿宋国标2312" w:eastAsia="仿宋国标2312"/>
          <w:color w:val="000000" w:themeColor="text1"/>
          <w:sz w:val="32"/>
          <w:szCs w:val="32"/>
        </w:rPr>
        <w:t>1.在听取隆尧县城关校区对项目实施情况汇报的基础上，核实相关资料的真实性、合法性、合理性，对项目资料中反映的或分析中发现的问题进行重点核查。</w:t>
      </w:r>
    </w:p>
    <w:p w14:paraId="367C0350">
      <w:pPr>
        <w:tabs>
          <w:tab w:val="left" w:pos="420"/>
        </w:tabs>
        <w:spacing w:line="580" w:lineRule="exact"/>
        <w:ind w:firstLine="640" w:firstLineChars="200"/>
        <w:jc w:val="left"/>
        <w:rPr>
          <w:rFonts w:hint="eastAsia" w:ascii="仿宋国标2312" w:eastAsia="仿宋国标2312"/>
          <w:color w:val="000000" w:themeColor="text1"/>
          <w:sz w:val="32"/>
          <w:szCs w:val="32"/>
        </w:rPr>
      </w:pPr>
      <w:r>
        <w:rPr>
          <w:rFonts w:hint="eastAsia" w:ascii="仿宋国标2312" w:eastAsia="仿宋国标2312"/>
          <w:color w:val="000000" w:themeColor="text1"/>
          <w:sz w:val="32"/>
          <w:szCs w:val="32"/>
        </w:rPr>
        <w:t>2.实地检查的形式：采取座谈、现场核实、走访、调查问卷、查阅资料等方式。</w:t>
      </w:r>
    </w:p>
    <w:p w14:paraId="4941AD55">
      <w:pPr>
        <w:pStyle w:val="2"/>
        <w:ind w:firstLine="560"/>
        <w:rPr>
          <w:rFonts w:hint="eastAsia" w:ascii="仿宋国标2312" w:eastAsia="仿宋国标2312"/>
          <w:color w:val="000000" w:themeColor="text1"/>
          <w:sz w:val="32"/>
          <w:szCs w:val="32"/>
        </w:rPr>
      </w:pPr>
      <w:r>
        <w:rPr>
          <w:rFonts w:hint="eastAsia" w:ascii="仿宋国标2312" w:eastAsia="仿宋国标2312"/>
          <w:color w:val="000000" w:themeColor="text1"/>
          <w:sz w:val="32"/>
          <w:szCs w:val="32"/>
        </w:rPr>
        <w:t>3.综合评价。评价组在全面分析整理被评价项目的相关数据资料的基础上，总结评价情况，对照评价指标和标准，进行综合评议与打分，得出评价结论，撰写评价报告。</w:t>
      </w:r>
    </w:p>
    <w:p w14:paraId="46A92982">
      <w:pPr>
        <w:spacing w:line="480" w:lineRule="exact"/>
        <w:ind w:firstLine="640" w:firstLineChars="200"/>
        <w:rPr>
          <w:rFonts w:hint="eastAsia" w:ascii="仿宋国标2312" w:eastAsia="仿宋国标2312"/>
          <w:color w:val="000000" w:themeColor="text1"/>
          <w:sz w:val="32"/>
          <w:szCs w:val="32"/>
        </w:rPr>
      </w:pPr>
      <w:r>
        <w:rPr>
          <w:rFonts w:hint="eastAsia" w:ascii="仿宋国标2312" w:eastAsia="仿宋国标2312"/>
          <w:color w:val="000000" w:themeColor="text1"/>
          <w:sz w:val="32"/>
          <w:szCs w:val="32"/>
        </w:rPr>
        <w:t>4.评价等级设置为：优秀95分以上（含95分）、良好80分-94分（含80分）、合格60分-79分（含60分）、不合格（60分以下）四个等级。</w:t>
      </w:r>
    </w:p>
    <w:p w14:paraId="6ED00911">
      <w:pPr>
        <w:pStyle w:val="2"/>
        <w:ind w:firstLine="560"/>
        <w:rPr>
          <w:rFonts w:hint="eastAsia" w:ascii="仿宋国标2312" w:eastAsia="仿宋国标2312"/>
          <w:color w:val="000000" w:themeColor="text1"/>
          <w:sz w:val="32"/>
          <w:szCs w:val="32"/>
        </w:rPr>
      </w:pPr>
      <w:r>
        <w:rPr>
          <w:rFonts w:hint="eastAsia" w:ascii="仿宋国标2312" w:eastAsia="仿宋国标2312"/>
          <w:color w:val="000000" w:themeColor="text1"/>
          <w:sz w:val="32"/>
          <w:szCs w:val="32"/>
        </w:rPr>
        <w:t>《隆尧县城关校区德兴路小学新建项目》绩效自评为 98分，自评结果为优。</w:t>
      </w:r>
    </w:p>
    <w:p w14:paraId="290EB571">
      <w:pPr>
        <w:spacing w:line="580" w:lineRule="exact"/>
        <w:outlineLvl w:val="0"/>
        <w:rPr>
          <w:rFonts w:hint="eastAsia" w:ascii="仿宋国标2312" w:hAnsi="仿宋_GB2312" w:eastAsia="仿宋国标2312" w:cs="仿宋_GB2312"/>
          <w:sz w:val="32"/>
          <w:szCs w:val="32"/>
        </w:rPr>
      </w:pPr>
      <w:bookmarkStart w:id="85" w:name="_Toc5623"/>
      <w:bookmarkStart w:id="86" w:name="_Toc10113"/>
      <w:bookmarkStart w:id="87" w:name="_Toc18842"/>
      <w:bookmarkStart w:id="88" w:name="_Toc30508"/>
      <w:bookmarkStart w:id="89" w:name="_Toc6105"/>
      <w:bookmarkStart w:id="90" w:name="_Toc28621"/>
      <w:bookmarkStart w:id="91" w:name="_Toc20748"/>
      <w:bookmarkStart w:id="92" w:name="_Toc21014"/>
      <w:bookmarkStart w:id="93" w:name="_Toc22222"/>
      <w:bookmarkStart w:id="94" w:name="_Toc17025"/>
      <w:r>
        <w:rPr>
          <w:rFonts w:hint="eastAsia" w:ascii="仿宋国标2312" w:hAnsi="仿宋_GB2312" w:eastAsia="仿宋国标2312" w:cs="仿宋_GB2312"/>
          <w:b/>
          <w:bCs/>
          <w:sz w:val="32"/>
          <w:szCs w:val="32"/>
        </w:rPr>
        <w:t>四、绩效评价指标体系及得分情况</w:t>
      </w:r>
      <w:bookmarkEnd w:id="85"/>
      <w:bookmarkEnd w:id="86"/>
      <w:bookmarkEnd w:id="87"/>
      <w:bookmarkEnd w:id="88"/>
      <w:bookmarkEnd w:id="89"/>
      <w:bookmarkEnd w:id="90"/>
      <w:bookmarkEnd w:id="91"/>
      <w:bookmarkEnd w:id="92"/>
      <w:bookmarkEnd w:id="93"/>
      <w:bookmarkEnd w:id="94"/>
    </w:p>
    <w:p w14:paraId="0AFF8B3A">
      <w:pPr>
        <w:jc w:val="center"/>
        <w:rPr>
          <w:rFonts w:hint="eastAsia" w:ascii="仿宋国标2312" w:hAnsi="仿宋_GB2312" w:eastAsia="仿宋国标2312" w:cs="仿宋_GB2312"/>
          <w:b/>
          <w:color w:val="000000"/>
          <w:kern w:val="0"/>
          <w:sz w:val="28"/>
          <w:szCs w:val="28"/>
        </w:rPr>
      </w:pPr>
      <w:r>
        <w:rPr>
          <w:rFonts w:hint="eastAsia" w:ascii="仿宋国标2312" w:hAnsi="仿宋_GB2312" w:eastAsia="仿宋国标2312" w:cs="仿宋_GB2312"/>
          <w:b/>
          <w:color w:val="000000"/>
          <w:kern w:val="0"/>
          <w:sz w:val="28"/>
          <w:szCs w:val="28"/>
        </w:rPr>
        <w:t>隆尧县城关校区德兴路小学新建项目重点绩效评价指标表</w:t>
      </w:r>
    </w:p>
    <w:tbl>
      <w:tblPr>
        <w:tblStyle w:val="7"/>
        <w:tblW w:w="9098" w:type="dxa"/>
        <w:tblInd w:w="-130" w:type="dxa"/>
        <w:tblLayout w:type="fixed"/>
        <w:tblCellMar>
          <w:top w:w="0" w:type="dxa"/>
          <w:left w:w="0" w:type="dxa"/>
          <w:bottom w:w="0" w:type="dxa"/>
          <w:right w:w="0" w:type="dxa"/>
        </w:tblCellMar>
      </w:tblPr>
      <w:tblGrid>
        <w:gridCol w:w="1276"/>
        <w:gridCol w:w="491"/>
        <w:gridCol w:w="2498"/>
        <w:gridCol w:w="426"/>
        <w:gridCol w:w="3673"/>
        <w:gridCol w:w="734"/>
      </w:tblGrid>
      <w:tr w14:paraId="2A429141">
        <w:tblPrEx>
          <w:tblCellMar>
            <w:top w:w="0" w:type="dxa"/>
            <w:left w:w="0" w:type="dxa"/>
            <w:bottom w:w="0" w:type="dxa"/>
            <w:right w:w="0" w:type="dxa"/>
          </w:tblCellMar>
        </w:tblPrEx>
        <w:trPr>
          <w:trHeight w:val="2098" w:hRule="atLeast"/>
        </w:trPr>
        <w:tc>
          <w:tcPr>
            <w:tcW w:w="1276" w:type="dxa"/>
            <w:tcBorders>
              <w:top w:val="single" w:color="000000" w:sz="4" w:space="0"/>
              <w:left w:val="single" w:color="000000" w:sz="4" w:space="0"/>
              <w:bottom w:val="single" w:color="000000" w:sz="4" w:space="0"/>
              <w:right w:val="nil"/>
            </w:tcBorders>
            <w:noWrap/>
            <w:tcMar>
              <w:top w:w="12" w:type="dxa"/>
              <w:left w:w="12" w:type="dxa"/>
              <w:right w:w="12" w:type="dxa"/>
            </w:tcMar>
            <w:vAlign w:val="center"/>
          </w:tcPr>
          <w:p w14:paraId="68B1213B">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 xml:space="preserve">一级指标  </w:t>
            </w: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535C991">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二级指标</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12A9390">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 xml:space="preserve"> 三级指标</w:t>
            </w:r>
          </w:p>
        </w:tc>
        <w:tc>
          <w:tcPr>
            <w:tcW w:w="426" w:type="dxa"/>
            <w:vMerge w:val="restart"/>
            <w:tcBorders>
              <w:top w:val="single" w:color="000000" w:sz="4" w:space="0"/>
              <w:left w:val="nil"/>
              <w:bottom w:val="single" w:color="000000" w:sz="4" w:space="0"/>
              <w:right w:val="single" w:color="000000" w:sz="4" w:space="0"/>
            </w:tcBorders>
            <w:noWrap/>
            <w:tcMar>
              <w:top w:w="12" w:type="dxa"/>
              <w:left w:w="12" w:type="dxa"/>
              <w:right w:w="12" w:type="dxa"/>
            </w:tcMar>
            <w:vAlign w:val="center"/>
          </w:tcPr>
          <w:p w14:paraId="3FE91308">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分值</w:t>
            </w:r>
          </w:p>
        </w:tc>
        <w:tc>
          <w:tcPr>
            <w:tcW w:w="3673"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AE505B6">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指标说明</w:t>
            </w:r>
          </w:p>
        </w:tc>
        <w:tc>
          <w:tcPr>
            <w:tcW w:w="734"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2E7EF00">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得分</w:t>
            </w:r>
          </w:p>
        </w:tc>
      </w:tr>
      <w:tr w14:paraId="6B158062">
        <w:tblPrEx>
          <w:tblCellMar>
            <w:top w:w="0" w:type="dxa"/>
            <w:left w:w="0" w:type="dxa"/>
            <w:bottom w:w="0" w:type="dxa"/>
            <w:right w:w="0" w:type="dxa"/>
          </w:tblCellMar>
        </w:tblPrEx>
        <w:trPr>
          <w:trHeight w:val="716" w:hRule="atLeast"/>
        </w:trPr>
        <w:tc>
          <w:tcPr>
            <w:tcW w:w="12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412E312">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名称</w:t>
            </w: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7428C64">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名称</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1AEDDBD">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名称</w:t>
            </w:r>
          </w:p>
        </w:tc>
        <w:tc>
          <w:tcPr>
            <w:tcW w:w="426" w:type="dxa"/>
            <w:vMerge w:val="continue"/>
            <w:tcBorders>
              <w:top w:val="single" w:color="000000" w:sz="4" w:space="0"/>
              <w:left w:val="nil"/>
              <w:bottom w:val="single" w:color="000000" w:sz="4" w:space="0"/>
              <w:right w:val="single" w:color="000000" w:sz="4" w:space="0"/>
            </w:tcBorders>
            <w:noWrap/>
            <w:tcMar>
              <w:top w:w="12" w:type="dxa"/>
              <w:left w:w="12" w:type="dxa"/>
              <w:right w:w="12" w:type="dxa"/>
            </w:tcMar>
            <w:vAlign w:val="center"/>
          </w:tcPr>
          <w:p w14:paraId="548EA980">
            <w:pPr>
              <w:jc w:val="center"/>
              <w:rPr>
                <w:rFonts w:ascii="仿宋_GB2312" w:hAnsi="仿宋_GB2312" w:eastAsia="仿宋_GB2312" w:cs="仿宋_GB2312"/>
                <w:b/>
                <w:color w:val="000000"/>
                <w:sz w:val="24"/>
              </w:rPr>
            </w:pPr>
          </w:p>
        </w:tc>
        <w:tc>
          <w:tcPr>
            <w:tcW w:w="3673"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6528172">
            <w:pPr>
              <w:jc w:val="center"/>
              <w:rPr>
                <w:rFonts w:ascii="仿宋_GB2312" w:hAnsi="仿宋_GB2312" w:eastAsia="仿宋_GB2312" w:cs="仿宋_GB2312"/>
                <w:b/>
                <w:color w:val="000000"/>
                <w:sz w:val="24"/>
              </w:rPr>
            </w:pPr>
          </w:p>
        </w:tc>
        <w:tc>
          <w:tcPr>
            <w:tcW w:w="734"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82D3B1A">
            <w:pPr>
              <w:jc w:val="center"/>
              <w:rPr>
                <w:rFonts w:ascii="仿宋_GB2312" w:hAnsi="仿宋_GB2312" w:eastAsia="仿宋_GB2312" w:cs="仿宋_GB2312"/>
                <w:b/>
                <w:color w:val="000000"/>
                <w:sz w:val="24"/>
              </w:rPr>
            </w:pPr>
          </w:p>
        </w:tc>
      </w:tr>
      <w:tr w14:paraId="1204BEA7">
        <w:tblPrEx>
          <w:tblCellMar>
            <w:top w:w="0" w:type="dxa"/>
            <w:left w:w="0" w:type="dxa"/>
            <w:bottom w:w="0" w:type="dxa"/>
            <w:right w:w="0" w:type="dxa"/>
          </w:tblCellMar>
        </w:tblPrEx>
        <w:trPr>
          <w:trHeight w:val="835" w:hRule="atLeast"/>
        </w:trPr>
        <w:tc>
          <w:tcPr>
            <w:tcW w:w="1276"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43D579A">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“工作活动”设置（30分）</w:t>
            </w:r>
          </w:p>
        </w:tc>
        <w:tc>
          <w:tcPr>
            <w:tcW w:w="49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90CDD55">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项目立项情况</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DCCDF3F">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是否符合政府经济和社会总体发展规划</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42069CC">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7.5</w:t>
            </w:r>
          </w:p>
        </w:tc>
        <w:tc>
          <w:tcPr>
            <w:tcW w:w="367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3F887D9">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有政府相关政策、规划、任务等文件得7.5分；无不得分。</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B0C8E98">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7.5</w:t>
            </w:r>
          </w:p>
        </w:tc>
      </w:tr>
      <w:tr w14:paraId="3BC65620">
        <w:tblPrEx>
          <w:tblCellMar>
            <w:top w:w="0" w:type="dxa"/>
            <w:left w:w="0" w:type="dxa"/>
            <w:bottom w:w="0" w:type="dxa"/>
            <w:right w:w="0" w:type="dxa"/>
          </w:tblCellMar>
        </w:tblPrEx>
        <w:trPr>
          <w:trHeight w:val="1911"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3D3D0F3">
            <w:pPr>
              <w:jc w:val="center"/>
              <w:rPr>
                <w:rFonts w:ascii="仿宋_GB2312" w:hAnsi="仿宋_GB2312" w:eastAsia="仿宋_GB2312" w:cs="仿宋_GB2312"/>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9B1B4D1">
            <w:pPr>
              <w:jc w:val="center"/>
              <w:rPr>
                <w:rFonts w:ascii="仿宋_GB2312" w:hAnsi="仿宋_GB2312" w:eastAsia="仿宋_GB2312" w:cs="仿宋_GB2312"/>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F7402D2">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项目活动与职责相关性</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2780401">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7.5</w:t>
            </w:r>
          </w:p>
        </w:tc>
        <w:tc>
          <w:tcPr>
            <w:tcW w:w="367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62904E4">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Cs w:val="22"/>
              </w:rPr>
              <w:t>工作活动与部门职责、工作规划和重点</w:t>
            </w:r>
            <w:r>
              <w:rPr>
                <w:rFonts w:hint="eastAsia" w:ascii="仿宋_GB2312" w:hAnsi="仿宋_GB2312" w:eastAsia="仿宋_GB2312" w:cs="仿宋_GB2312"/>
                <w:color w:val="000000"/>
                <w:kern w:val="0"/>
                <w:sz w:val="20"/>
                <w:szCs w:val="22"/>
              </w:rPr>
              <w:t>工作相关，工作活动项下确定的预算项目合理，与工作活动密切相关，工作活动和项目预算安排合理，得7.5分；否则</w:t>
            </w:r>
            <w:r>
              <w:rPr>
                <w:rFonts w:hint="eastAsia" w:ascii="仿宋_GB2312" w:hAnsi="仿宋_GB2312" w:eastAsia="仿宋_GB2312" w:cs="仿宋_GB2312"/>
                <w:color w:val="000000"/>
                <w:kern w:val="0"/>
                <w:szCs w:val="22"/>
              </w:rPr>
              <w:t>不得分</w:t>
            </w:r>
            <w:r>
              <w:rPr>
                <w:rFonts w:hint="eastAsia" w:ascii="仿宋_GB2312" w:hAnsi="仿宋_GB2312" w:eastAsia="仿宋_GB2312" w:cs="仿宋_GB2312"/>
                <w:color w:val="000000"/>
                <w:kern w:val="0"/>
                <w:sz w:val="22"/>
                <w:szCs w:val="22"/>
              </w:rPr>
              <w:t>。</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9A969A0">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7.5</w:t>
            </w:r>
          </w:p>
        </w:tc>
      </w:tr>
      <w:tr w14:paraId="5A83CB2F">
        <w:tblPrEx>
          <w:tblCellMar>
            <w:top w:w="0" w:type="dxa"/>
            <w:left w:w="0" w:type="dxa"/>
            <w:bottom w:w="0" w:type="dxa"/>
            <w:right w:w="0" w:type="dxa"/>
          </w:tblCellMar>
        </w:tblPrEx>
        <w:trPr>
          <w:trHeight w:val="3022"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8FAD799">
            <w:pPr>
              <w:jc w:val="center"/>
              <w:rPr>
                <w:rFonts w:ascii="仿宋_GB2312" w:hAnsi="仿宋_GB2312" w:eastAsia="仿宋_GB2312" w:cs="仿宋_GB2312"/>
                <w:color w:val="000000"/>
                <w:sz w:val="22"/>
                <w:szCs w:val="22"/>
              </w:rPr>
            </w:pPr>
          </w:p>
        </w:tc>
        <w:tc>
          <w:tcPr>
            <w:tcW w:w="49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6020CF7">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绩效自评情况</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02CF685">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项目设立绩效目标合理性</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526FE97">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7.5</w:t>
            </w:r>
          </w:p>
        </w:tc>
        <w:tc>
          <w:tcPr>
            <w:tcW w:w="367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228D0EE">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①是否将项目绩效目标细化分解为具体的绩效指标；</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②是否通过清晰、可衡量的指标值予以体现；</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③是否与项目年度任务数或计划数相对应；</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④是否与预算确定的项目投资额或资金量相匹配。</w:t>
            </w:r>
            <w:r>
              <w:rPr>
                <w:rFonts w:hint="eastAsia" w:ascii="仿宋_GB2312" w:hAnsi="仿宋_GB2312" w:eastAsia="仿宋_GB2312" w:cs="仿宋_GB2312"/>
                <w:color w:val="000000"/>
                <w:kern w:val="0"/>
                <w:sz w:val="22"/>
                <w:szCs w:val="22"/>
              </w:rPr>
              <w:br w:type="textWrapping"/>
            </w:r>
            <w:r>
              <w:rPr>
                <w:rFonts w:hint="eastAsia" w:ascii="仿宋_GB2312" w:hAnsi="仿宋_GB2312" w:eastAsia="仿宋_GB2312" w:cs="仿宋_GB2312"/>
                <w:color w:val="000000"/>
                <w:kern w:val="0"/>
                <w:sz w:val="22"/>
                <w:szCs w:val="22"/>
              </w:rPr>
              <w:t>缺少一项扣2分,扣完为止。</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5B25422">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7.5</w:t>
            </w:r>
          </w:p>
        </w:tc>
      </w:tr>
      <w:tr w14:paraId="1791A546">
        <w:tblPrEx>
          <w:tblCellMar>
            <w:top w:w="0" w:type="dxa"/>
            <w:left w:w="0" w:type="dxa"/>
            <w:bottom w:w="0" w:type="dxa"/>
            <w:right w:w="0" w:type="dxa"/>
          </w:tblCellMar>
        </w:tblPrEx>
        <w:trPr>
          <w:trHeight w:val="1472"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BAA467C">
            <w:pPr>
              <w:jc w:val="center"/>
              <w:rPr>
                <w:rFonts w:ascii="仿宋_GB2312" w:hAnsi="仿宋_GB2312" w:eastAsia="仿宋_GB2312" w:cs="仿宋_GB2312"/>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A4209C3">
            <w:pPr>
              <w:jc w:val="center"/>
              <w:rPr>
                <w:rFonts w:ascii="仿宋_GB2312" w:hAnsi="仿宋_GB2312" w:eastAsia="仿宋_GB2312" w:cs="仿宋_GB2312"/>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830B1E6">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自评报告情况</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F97D3A3">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7.5</w:t>
            </w:r>
          </w:p>
        </w:tc>
        <w:tc>
          <w:tcPr>
            <w:tcW w:w="367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B640A91">
            <w:pPr>
              <w:widowControl/>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是否有绩效评价报告，报告是否依据充分、内容真实完整；数据准确、分析透彻。每存在一项问题扣1分，扣完为止。</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53FE1AF">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7.5</w:t>
            </w:r>
          </w:p>
        </w:tc>
      </w:tr>
      <w:tr w14:paraId="18E3BEE1">
        <w:tblPrEx>
          <w:tblCellMar>
            <w:top w:w="0" w:type="dxa"/>
            <w:left w:w="0" w:type="dxa"/>
            <w:bottom w:w="0" w:type="dxa"/>
            <w:right w:w="0" w:type="dxa"/>
          </w:tblCellMar>
        </w:tblPrEx>
        <w:trPr>
          <w:trHeight w:val="1029" w:hRule="atLeast"/>
        </w:trPr>
        <w:tc>
          <w:tcPr>
            <w:tcW w:w="1276"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E89A61B">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“工作活动”管理（30分）</w:t>
            </w:r>
          </w:p>
        </w:tc>
        <w:tc>
          <w:tcPr>
            <w:tcW w:w="49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9A2FE29">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资金管理</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57A68A6">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预算调整率</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088A1C5">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5</w:t>
            </w:r>
          </w:p>
        </w:tc>
        <w:tc>
          <w:tcPr>
            <w:tcW w:w="367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4975C9F">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预算调整率=（预算调整数/预算数）×100%。预算调整率每大于1%扣0.5分，扣完为止。</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BFEF377">
            <w:pPr>
              <w:widowControl/>
              <w:jc w:val="center"/>
              <w:textAlignment w:val="center"/>
              <w:rPr>
                <w:rFonts w:hint="default"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5</w:t>
            </w:r>
          </w:p>
        </w:tc>
      </w:tr>
      <w:tr w14:paraId="1EF258B9">
        <w:tblPrEx>
          <w:tblCellMar>
            <w:top w:w="0" w:type="dxa"/>
            <w:left w:w="0" w:type="dxa"/>
            <w:bottom w:w="0" w:type="dxa"/>
            <w:right w:w="0" w:type="dxa"/>
          </w:tblCellMar>
        </w:tblPrEx>
        <w:trPr>
          <w:trHeight w:val="2160" w:hRule="atLeast"/>
        </w:trPr>
        <w:tc>
          <w:tcPr>
            <w:tcW w:w="1276" w:type="dxa"/>
            <w:vMerge w:val="continue"/>
            <w:tcBorders>
              <w:top w:val="single" w:color="000000" w:sz="4" w:space="0"/>
              <w:left w:val="single" w:color="000000" w:sz="4" w:space="0"/>
              <w:bottom w:val="nil"/>
              <w:right w:val="single" w:color="000000" w:sz="4" w:space="0"/>
            </w:tcBorders>
            <w:shd w:val="clear" w:color="auto" w:fill="auto"/>
            <w:noWrap/>
            <w:tcMar>
              <w:top w:w="12" w:type="dxa"/>
              <w:left w:w="12" w:type="dxa"/>
              <w:right w:w="12" w:type="dxa"/>
            </w:tcMar>
            <w:vAlign w:val="center"/>
          </w:tcPr>
          <w:p w14:paraId="05C74228">
            <w:pPr>
              <w:jc w:val="center"/>
              <w:rPr>
                <w:rFonts w:ascii="仿宋_GB2312" w:hAnsi="仿宋_GB2312" w:eastAsia="仿宋_GB2312" w:cs="仿宋_GB2312"/>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6409074">
            <w:pPr>
              <w:jc w:val="center"/>
              <w:rPr>
                <w:rFonts w:ascii="仿宋_GB2312" w:hAnsi="仿宋_GB2312" w:eastAsia="仿宋_GB2312" w:cs="仿宋_GB2312"/>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14:paraId="555ACEF6">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资金使用合规性</w:t>
            </w:r>
          </w:p>
        </w:tc>
        <w:tc>
          <w:tcPr>
            <w:tcW w:w="42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69D28BE">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5</w:t>
            </w:r>
          </w:p>
        </w:tc>
        <w:tc>
          <w:tcPr>
            <w:tcW w:w="3673"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14:paraId="75B90FD2">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项目资金使用是否符合国家财经法规及相关的财务管理制度规定，资金支出程序是否规范,报账手续是否齐全。每存在一项不合规问题扣2分，扣完为止。</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6C059AD">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5</w:t>
            </w:r>
          </w:p>
        </w:tc>
      </w:tr>
      <w:tr w14:paraId="4BF64627">
        <w:tblPrEx>
          <w:tblCellMar>
            <w:top w:w="0" w:type="dxa"/>
            <w:left w:w="0" w:type="dxa"/>
            <w:bottom w:w="0" w:type="dxa"/>
            <w:right w:w="0" w:type="dxa"/>
          </w:tblCellMar>
        </w:tblPrEx>
        <w:trPr>
          <w:trHeight w:val="1712"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14:paraId="29E87160">
            <w:pPr>
              <w:jc w:val="center"/>
              <w:rPr>
                <w:rFonts w:ascii="仿宋_GB2312" w:hAnsi="仿宋_GB2312" w:eastAsia="仿宋_GB2312" w:cs="仿宋_GB2312"/>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8276D00">
            <w:pPr>
              <w:jc w:val="center"/>
              <w:rPr>
                <w:rFonts w:ascii="仿宋_GB2312" w:hAnsi="仿宋_GB2312" w:eastAsia="仿宋_GB2312" w:cs="仿宋_GB2312"/>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31CDD9D">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会计核算规范性</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B952B7D">
            <w:pPr>
              <w:widowControl/>
              <w:jc w:val="center"/>
              <w:textAlignment w:val="center"/>
              <w:rPr>
                <w:rFonts w:hint="eastAsia"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5</w:t>
            </w:r>
          </w:p>
        </w:tc>
        <w:tc>
          <w:tcPr>
            <w:tcW w:w="367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5D1DDC0">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会计核算是否符合《会计法》、《政府会计制度》、《会计基础工作规范》等法律法规和相关制度规定。每存在一项不合规问题扣2分，扣完为止。</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E678F81">
            <w:pPr>
              <w:widowControl/>
              <w:jc w:val="center"/>
              <w:textAlignment w:val="center"/>
              <w:rPr>
                <w:rFonts w:hint="eastAsia"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5</w:t>
            </w:r>
          </w:p>
        </w:tc>
      </w:tr>
      <w:tr w14:paraId="51C6AEB5">
        <w:tblPrEx>
          <w:tblCellMar>
            <w:top w:w="0" w:type="dxa"/>
            <w:left w:w="0" w:type="dxa"/>
            <w:bottom w:w="0" w:type="dxa"/>
            <w:right w:w="0" w:type="dxa"/>
          </w:tblCellMar>
        </w:tblPrEx>
        <w:trPr>
          <w:trHeight w:val="1755"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14:paraId="02C8CD48">
            <w:pPr>
              <w:jc w:val="center"/>
              <w:rPr>
                <w:rFonts w:ascii="仿宋_GB2312" w:hAnsi="仿宋_GB2312" w:eastAsia="仿宋_GB2312" w:cs="仿宋_GB2312"/>
                <w:color w:val="000000"/>
                <w:sz w:val="22"/>
                <w:szCs w:val="22"/>
              </w:rPr>
            </w:pPr>
          </w:p>
        </w:tc>
        <w:tc>
          <w:tcPr>
            <w:tcW w:w="49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D8DA21E">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项目管理</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9C98B80">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项目责任机制是否健全</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ACB3656">
            <w:pPr>
              <w:widowControl/>
              <w:jc w:val="center"/>
              <w:textAlignment w:val="center"/>
              <w:rPr>
                <w:rFonts w:hint="eastAsia"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5</w:t>
            </w:r>
          </w:p>
        </w:tc>
        <w:tc>
          <w:tcPr>
            <w:tcW w:w="367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DEE2CC2">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是否建立责任机制，项目管理和责任落实到有关人。每存在一项问题扣2分，扣完为止。</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15D1B38">
            <w:pPr>
              <w:widowControl/>
              <w:jc w:val="center"/>
              <w:textAlignment w:val="center"/>
              <w:rPr>
                <w:rFonts w:hint="eastAsia"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5</w:t>
            </w:r>
          </w:p>
        </w:tc>
      </w:tr>
      <w:tr w14:paraId="6BC3F21E">
        <w:tblPrEx>
          <w:tblCellMar>
            <w:top w:w="0" w:type="dxa"/>
            <w:left w:w="0" w:type="dxa"/>
            <w:bottom w:w="0" w:type="dxa"/>
            <w:right w:w="0" w:type="dxa"/>
          </w:tblCellMar>
        </w:tblPrEx>
        <w:trPr>
          <w:trHeight w:val="1711"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14:paraId="0567AC4F">
            <w:pPr>
              <w:jc w:val="center"/>
              <w:rPr>
                <w:rFonts w:ascii="仿宋_GB2312" w:hAnsi="仿宋_GB2312" w:eastAsia="仿宋_GB2312" w:cs="仿宋_GB2312"/>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6861AFF">
            <w:pPr>
              <w:jc w:val="center"/>
              <w:rPr>
                <w:rFonts w:ascii="仿宋_GB2312" w:hAnsi="仿宋_GB2312" w:eastAsia="仿宋_GB2312" w:cs="仿宋_GB2312"/>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26FEC4E">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管理制度健全性</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15F9E05">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10</w:t>
            </w:r>
          </w:p>
        </w:tc>
        <w:tc>
          <w:tcPr>
            <w:tcW w:w="367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3D93425">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Cs w:val="22"/>
              </w:rPr>
              <w:t>制定管理制度和措施（包括财务制度）是否明确、清晰、具有可操作性，能否保障工作活动顺利实施。每缺少一项制度扣2分，扣完为止。</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C9C9643">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10</w:t>
            </w:r>
          </w:p>
        </w:tc>
      </w:tr>
      <w:tr w14:paraId="2C1874D8">
        <w:tblPrEx>
          <w:tblCellMar>
            <w:top w:w="0" w:type="dxa"/>
            <w:left w:w="0" w:type="dxa"/>
            <w:bottom w:w="0" w:type="dxa"/>
            <w:right w:w="0" w:type="dxa"/>
          </w:tblCellMar>
        </w:tblPrEx>
        <w:trPr>
          <w:trHeight w:val="841" w:hRule="atLeast"/>
        </w:trPr>
        <w:tc>
          <w:tcPr>
            <w:tcW w:w="1276" w:type="dxa"/>
            <w:vMerge w:val="restart"/>
            <w:tcBorders>
              <w:top w:val="single" w:color="000000" w:sz="4" w:space="0"/>
              <w:left w:val="single" w:color="000000" w:sz="4" w:space="0"/>
              <w:bottom w:val="nil"/>
              <w:right w:val="single" w:color="000000" w:sz="4" w:space="0"/>
            </w:tcBorders>
            <w:noWrap/>
            <w:tcMar>
              <w:top w:w="12" w:type="dxa"/>
              <w:left w:w="12" w:type="dxa"/>
              <w:right w:w="12" w:type="dxa"/>
            </w:tcMar>
            <w:vAlign w:val="center"/>
          </w:tcPr>
          <w:p w14:paraId="5BAA3D16">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“工作活动”产出（30分）</w:t>
            </w: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02CA6FC">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数量指标</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62043B4">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新建建校舍面积</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0E197D6">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10</w:t>
            </w:r>
          </w:p>
        </w:tc>
        <w:tc>
          <w:tcPr>
            <w:tcW w:w="367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E52A7C5">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按照合作办学协议执行</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020E6D7">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10</w:t>
            </w:r>
          </w:p>
        </w:tc>
      </w:tr>
      <w:tr w14:paraId="626CEFD9">
        <w:tblPrEx>
          <w:tblCellMar>
            <w:top w:w="0" w:type="dxa"/>
            <w:left w:w="0" w:type="dxa"/>
            <w:bottom w:w="0" w:type="dxa"/>
            <w:right w:w="0" w:type="dxa"/>
          </w:tblCellMar>
        </w:tblPrEx>
        <w:trPr>
          <w:trHeight w:val="901"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14:paraId="27B41F8B">
            <w:pPr>
              <w:jc w:val="center"/>
              <w:rPr>
                <w:rFonts w:ascii="仿宋_GB2312" w:hAnsi="仿宋_GB2312" w:eastAsia="仿宋_GB2312" w:cs="仿宋_GB2312"/>
                <w:color w:val="000000"/>
                <w:sz w:val="22"/>
                <w:szCs w:val="22"/>
              </w:rPr>
            </w:pP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4989A23">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质量指标</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7FF7CBC">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工程验收合格率</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51651EC">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10</w:t>
            </w:r>
          </w:p>
        </w:tc>
        <w:tc>
          <w:tcPr>
            <w:tcW w:w="367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E825CC7">
            <w:pPr>
              <w:widowControl/>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按照《项目绩效目标》执行</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1595C7E">
            <w:pPr>
              <w:widowControl/>
              <w:jc w:val="center"/>
              <w:textAlignment w:val="center"/>
              <w:rPr>
                <w:rFonts w:hint="default"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10</w:t>
            </w:r>
          </w:p>
        </w:tc>
      </w:tr>
      <w:tr w14:paraId="667BABCF">
        <w:tblPrEx>
          <w:tblCellMar>
            <w:top w:w="0" w:type="dxa"/>
            <w:left w:w="0" w:type="dxa"/>
            <w:bottom w:w="0" w:type="dxa"/>
            <w:right w:w="0" w:type="dxa"/>
          </w:tblCellMar>
        </w:tblPrEx>
        <w:trPr>
          <w:trHeight w:val="808"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0C62B3C">
            <w:pPr>
              <w:jc w:val="center"/>
              <w:rPr>
                <w:rFonts w:ascii="仿宋_GB2312" w:hAnsi="仿宋_GB2312" w:eastAsia="仿宋_GB2312" w:cs="仿宋_GB2312"/>
                <w:color w:val="000000"/>
                <w:sz w:val="22"/>
                <w:szCs w:val="22"/>
              </w:rPr>
            </w:pP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A3AF368">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时效指标</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2A291BA">
            <w:pPr>
              <w:widowControl/>
              <w:ind w:firstLine="220" w:firstLineChars="100"/>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工程按期完成率</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0C5E892">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10</w:t>
            </w:r>
          </w:p>
        </w:tc>
        <w:tc>
          <w:tcPr>
            <w:tcW w:w="367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E620B6C">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按照《项目绩效目标》执行</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43F8AB3">
            <w:pPr>
              <w:widowControl/>
              <w:jc w:val="center"/>
              <w:textAlignment w:val="center"/>
              <w:rPr>
                <w:rFonts w:hint="default" w:ascii="仿宋_GB2312" w:hAnsi="仿宋_GB2312" w:eastAsia="仿宋_GB2312" w:cs="仿宋_GB2312"/>
                <w:color w:val="000000"/>
                <w:sz w:val="22"/>
                <w:szCs w:val="22"/>
                <w:lang w:val="en-US" w:eastAsia="zh-CN"/>
              </w:rPr>
            </w:pPr>
            <w:r>
              <w:rPr>
                <w:rFonts w:hint="eastAsia" w:ascii="仿宋_GB2312" w:hAnsi="仿宋_GB2312" w:eastAsia="仿宋_GB2312" w:cs="仿宋_GB2312"/>
                <w:color w:val="000000"/>
                <w:sz w:val="22"/>
                <w:szCs w:val="22"/>
                <w:lang w:val="en-US" w:eastAsia="zh-CN"/>
              </w:rPr>
              <w:t>10</w:t>
            </w:r>
          </w:p>
        </w:tc>
      </w:tr>
      <w:tr w14:paraId="24A94CDC">
        <w:tblPrEx>
          <w:tblCellMar>
            <w:top w:w="0" w:type="dxa"/>
            <w:left w:w="0" w:type="dxa"/>
            <w:bottom w:w="0" w:type="dxa"/>
            <w:right w:w="0" w:type="dxa"/>
          </w:tblCellMar>
        </w:tblPrEx>
        <w:trPr>
          <w:trHeight w:val="802" w:hRule="atLeast"/>
        </w:trPr>
        <w:tc>
          <w:tcPr>
            <w:tcW w:w="1276" w:type="dxa"/>
            <w:tcBorders>
              <w:top w:val="single" w:color="000000" w:sz="4" w:space="0"/>
              <w:left w:val="single" w:color="000000" w:sz="4" w:space="0"/>
              <w:right w:val="single" w:color="000000" w:sz="4" w:space="0"/>
            </w:tcBorders>
            <w:noWrap/>
            <w:tcMar>
              <w:top w:w="12" w:type="dxa"/>
              <w:left w:w="12" w:type="dxa"/>
              <w:right w:w="12" w:type="dxa"/>
            </w:tcMar>
            <w:vAlign w:val="center"/>
          </w:tcPr>
          <w:p w14:paraId="06D57F4D">
            <w:pPr>
              <w:jc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“工作活动”效果（10分）</w:t>
            </w:r>
          </w:p>
        </w:tc>
        <w:tc>
          <w:tcPr>
            <w:tcW w:w="491" w:type="dxa"/>
            <w:tcBorders>
              <w:top w:val="single" w:color="000000" w:sz="4" w:space="0"/>
              <w:left w:val="single" w:color="000000" w:sz="4" w:space="0"/>
              <w:right w:val="single" w:color="000000" w:sz="4" w:space="0"/>
            </w:tcBorders>
            <w:noWrap/>
            <w:tcMar>
              <w:top w:w="12" w:type="dxa"/>
              <w:left w:w="12" w:type="dxa"/>
              <w:right w:w="12" w:type="dxa"/>
            </w:tcMar>
            <w:vAlign w:val="center"/>
          </w:tcPr>
          <w:p w14:paraId="34F22C41">
            <w:pPr>
              <w:jc w:val="center"/>
              <w:rPr>
                <w:rFonts w:ascii="仿宋_GB2312" w:hAnsi="仿宋_GB2312" w:eastAsia="仿宋_GB2312" w:cs="仿宋_GB2312"/>
              </w:rPr>
            </w:pPr>
            <w:r>
              <w:rPr>
                <w:rFonts w:hint="eastAsia" w:ascii="仿宋_GB2312" w:hAnsi="仿宋_GB2312" w:eastAsia="仿宋_GB2312" w:cs="仿宋_GB2312"/>
              </w:rPr>
              <w:t>满意度</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FBF9080">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学生和学生家长满意度</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A7127E7">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w:t>
            </w:r>
          </w:p>
        </w:tc>
        <w:tc>
          <w:tcPr>
            <w:tcW w:w="367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24D412D">
            <w:pPr>
              <w:widowControl/>
              <w:jc w:val="left"/>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sz w:val="22"/>
                <w:szCs w:val="22"/>
              </w:rPr>
              <w:t>按照《项目绩效目标》执行</w:t>
            </w: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37061E4">
            <w:pPr>
              <w:widowControl/>
              <w:jc w:val="center"/>
              <w:textAlignment w:val="center"/>
              <w:rPr>
                <w:rFonts w:hint="default" w:ascii="仿宋_GB2312" w:hAnsi="仿宋_GB2312" w:eastAsia="仿宋_GB2312" w:cs="仿宋_GB2312"/>
                <w:color w:val="000000"/>
                <w:kern w:val="0"/>
                <w:sz w:val="22"/>
                <w:szCs w:val="22"/>
                <w:lang w:val="en-US" w:eastAsia="zh-CN"/>
              </w:rPr>
            </w:pPr>
            <w:r>
              <w:rPr>
                <w:rFonts w:hint="eastAsia" w:ascii="仿宋_GB2312" w:hAnsi="仿宋_GB2312" w:eastAsia="仿宋_GB2312" w:cs="仿宋_GB2312"/>
                <w:color w:val="000000"/>
                <w:kern w:val="0"/>
                <w:sz w:val="22"/>
                <w:szCs w:val="22"/>
                <w:lang w:val="en-US" w:eastAsia="zh-CN"/>
              </w:rPr>
              <w:t>8</w:t>
            </w:r>
          </w:p>
        </w:tc>
      </w:tr>
      <w:tr w14:paraId="2B8ABE88">
        <w:tblPrEx>
          <w:tblCellMar>
            <w:top w:w="0" w:type="dxa"/>
            <w:left w:w="0" w:type="dxa"/>
            <w:bottom w:w="0" w:type="dxa"/>
            <w:right w:w="0" w:type="dxa"/>
          </w:tblCellMar>
        </w:tblPrEx>
        <w:trPr>
          <w:trHeight w:val="602" w:hRule="atLeast"/>
        </w:trPr>
        <w:tc>
          <w:tcPr>
            <w:tcW w:w="12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977A331">
            <w:pPr>
              <w:ind w:firstLine="220" w:firstLineChars="100"/>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合计</w:t>
            </w: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069C795">
            <w:pPr>
              <w:jc w:val="center"/>
              <w:rPr>
                <w:rFonts w:ascii="仿宋_GB2312" w:hAnsi="仿宋_GB2312" w:eastAsia="仿宋_GB2312" w:cs="仿宋_GB231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110B41D">
            <w:pPr>
              <w:widowControl/>
              <w:jc w:val="center"/>
              <w:textAlignment w:val="center"/>
              <w:rPr>
                <w:rFonts w:ascii="仿宋_GB2312" w:hAnsi="仿宋_GB2312" w:eastAsia="仿宋_GB2312" w:cs="仿宋_GB2312"/>
                <w:color w:val="000000"/>
                <w:kern w:val="0"/>
                <w:sz w:val="22"/>
                <w:szCs w:val="22"/>
              </w:rPr>
            </w:pP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75BB410">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100</w:t>
            </w:r>
          </w:p>
        </w:tc>
        <w:tc>
          <w:tcPr>
            <w:tcW w:w="367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E8CC203">
            <w:pPr>
              <w:widowControl/>
              <w:jc w:val="left"/>
              <w:textAlignment w:val="center"/>
              <w:rPr>
                <w:rFonts w:ascii="仿宋_GB2312" w:hAnsi="仿宋_GB2312" w:eastAsia="仿宋_GB2312" w:cs="仿宋_GB2312"/>
                <w:color w:val="000000"/>
                <w:kern w:val="0"/>
                <w:sz w:val="22"/>
                <w:szCs w:val="22"/>
              </w:rPr>
            </w:pPr>
          </w:p>
        </w:tc>
        <w:tc>
          <w:tcPr>
            <w:tcW w:w="73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8BF97E9">
            <w:pPr>
              <w:widowControl/>
              <w:jc w:val="center"/>
              <w:textAlignment w:val="center"/>
              <w:rPr>
                <w:rFonts w:hint="default" w:ascii="仿宋_GB2312" w:hAnsi="仿宋_GB2312" w:eastAsia="仿宋_GB2312" w:cs="仿宋_GB2312"/>
                <w:color w:val="000000"/>
                <w:kern w:val="0"/>
                <w:sz w:val="22"/>
                <w:szCs w:val="22"/>
                <w:lang w:val="en-US" w:eastAsia="zh-CN"/>
              </w:rPr>
            </w:pPr>
            <w:r>
              <w:rPr>
                <w:rFonts w:hint="eastAsia" w:ascii="仿宋_GB2312" w:hAnsi="仿宋_GB2312" w:eastAsia="仿宋_GB2312" w:cs="仿宋_GB2312"/>
                <w:color w:val="000000"/>
                <w:kern w:val="0"/>
                <w:sz w:val="22"/>
                <w:szCs w:val="22"/>
                <w:lang w:val="en-US" w:eastAsia="zh-CN"/>
              </w:rPr>
              <w:t>9</w:t>
            </w:r>
            <w:r>
              <w:rPr>
                <w:rFonts w:hint="default" w:ascii="仿宋_GB2312" w:hAnsi="仿宋_GB2312" w:eastAsia="仿宋_GB2312" w:cs="仿宋_GB2312"/>
                <w:color w:val="000000"/>
                <w:kern w:val="0"/>
                <w:sz w:val="22"/>
                <w:szCs w:val="22"/>
                <w:lang w:val="en-US" w:eastAsia="zh-CN"/>
              </w:rPr>
              <w:t>8</w:t>
            </w:r>
          </w:p>
        </w:tc>
      </w:tr>
    </w:tbl>
    <w:p w14:paraId="30DAA082">
      <w:pPr>
        <w:pStyle w:val="2"/>
        <w:rPr>
          <w:rFonts w:hint="eastAsia"/>
        </w:rPr>
      </w:pPr>
    </w:p>
    <w:p w14:paraId="65F093B8">
      <w:pPr>
        <w:spacing w:line="560" w:lineRule="exact"/>
        <w:ind w:firstLine="640" w:firstLineChars="200"/>
        <w:outlineLvl w:val="1"/>
        <w:rPr>
          <w:rFonts w:hint="eastAsia" w:ascii="仿宋国标2312" w:hAnsi="仿宋_GB2312" w:eastAsia="仿宋国标2312" w:cs="仿宋_GB2312"/>
          <w:color w:val="000000"/>
          <w:sz w:val="32"/>
          <w:szCs w:val="32"/>
        </w:rPr>
      </w:pPr>
      <w:bookmarkStart w:id="95" w:name="_Toc2634_WPSOffice_Level1"/>
      <w:r>
        <w:rPr>
          <w:rFonts w:hint="eastAsia" w:ascii="仿宋国标2312" w:hAnsi="仿宋_GB2312" w:eastAsia="仿宋国标2312" w:cs="仿宋_GB2312"/>
          <w:color w:val="000000"/>
          <w:sz w:val="32"/>
          <w:szCs w:val="32"/>
        </w:rPr>
        <w:t>五、评价分析</w:t>
      </w:r>
      <w:bookmarkEnd w:id="95"/>
    </w:p>
    <w:p w14:paraId="577F9A87">
      <w:pPr>
        <w:spacing w:line="560" w:lineRule="exact"/>
        <w:ind w:firstLine="640" w:firstLineChars="200"/>
        <w:outlineLvl w:val="1"/>
        <w:rPr>
          <w:rFonts w:hint="eastAsia" w:ascii="仿宋国标2312" w:hAnsi="仿宋_GB2312" w:eastAsia="仿宋国标2312" w:cs="仿宋_GB2312"/>
          <w:color w:val="000000"/>
          <w:sz w:val="32"/>
          <w:szCs w:val="32"/>
        </w:rPr>
      </w:pPr>
      <w:r>
        <w:rPr>
          <w:rFonts w:hint="eastAsia" w:ascii="仿宋国标2312" w:hAnsi="仿宋_GB2312" w:eastAsia="仿宋国标2312" w:cs="仿宋_GB2312"/>
          <w:color w:val="000000"/>
          <w:sz w:val="32"/>
          <w:szCs w:val="32"/>
        </w:rPr>
        <w:t>（一）主要扣分事项及原因分析</w:t>
      </w:r>
    </w:p>
    <w:p w14:paraId="55CB1D66">
      <w:pPr>
        <w:ind w:firstLine="640" w:firstLineChars="200"/>
        <w:rPr>
          <w:rFonts w:hint="eastAsia" w:ascii="仿宋国标2312" w:hAnsi="仿宋" w:eastAsia="仿宋国标2312" w:cs="仿宋"/>
          <w:sz w:val="32"/>
          <w:szCs w:val="32"/>
        </w:rPr>
      </w:pPr>
      <w:r>
        <w:rPr>
          <w:rFonts w:hint="eastAsia" w:ascii="仿宋国标2312" w:hAnsi="仿宋" w:eastAsia="仿宋国标2312" w:cs="仿宋"/>
          <w:sz w:val="32"/>
          <w:szCs w:val="32"/>
        </w:rPr>
        <w:t>隆尧县城关校区德兴路小学新建项目，由于年前疫情原因，工程进度相对缓慢，没有达到施工计划要求。2023年我们将与中标单位积极联系，认真谋划工程进度，在保证质量前提下，努力推进工程进度，争取早日竣工投入使用，</w:t>
      </w:r>
      <w:r>
        <w:rPr>
          <w:rFonts w:hint="eastAsia" w:ascii="仿宋国标2312" w:hAnsi="仿宋" w:eastAsia="仿宋国标2312" w:cs="仿宋"/>
          <w:kern w:val="0"/>
          <w:sz w:val="32"/>
          <w:szCs w:val="32"/>
        </w:rPr>
        <w:t>造福隆尧广大学生。</w:t>
      </w:r>
    </w:p>
    <w:p w14:paraId="7021DA19">
      <w:pPr>
        <w:spacing w:line="560" w:lineRule="exact"/>
        <w:ind w:firstLine="640" w:firstLineChars="200"/>
        <w:outlineLvl w:val="1"/>
        <w:rPr>
          <w:rFonts w:hint="eastAsia" w:ascii="仿宋国标2312" w:hAnsi="仿宋_GB2312" w:eastAsia="仿宋国标2312" w:cs="仿宋_GB2312"/>
          <w:color w:val="000000"/>
          <w:sz w:val="32"/>
          <w:szCs w:val="32"/>
        </w:rPr>
      </w:pPr>
      <w:r>
        <w:rPr>
          <w:rFonts w:hint="eastAsia" w:ascii="仿宋国标2312" w:hAnsi="仿宋_GB2312" w:eastAsia="仿宋国标2312" w:cs="仿宋_GB2312"/>
          <w:color w:val="000000"/>
          <w:sz w:val="32"/>
          <w:szCs w:val="32"/>
        </w:rPr>
        <w:t>六、意见及建议</w:t>
      </w:r>
    </w:p>
    <w:p w14:paraId="7EED7601">
      <w:pPr>
        <w:spacing w:line="560" w:lineRule="exact"/>
        <w:ind w:firstLine="640" w:firstLineChars="200"/>
        <w:outlineLvl w:val="1"/>
        <w:rPr>
          <w:rFonts w:hint="eastAsia" w:ascii="仿宋国标2312" w:hAnsi="仿宋" w:eastAsia="仿宋国标2312" w:cs="仿宋"/>
          <w:sz w:val="32"/>
          <w:szCs w:val="32"/>
        </w:rPr>
      </w:pPr>
      <w:r>
        <w:rPr>
          <w:rFonts w:hint="eastAsia" w:ascii="仿宋国标2312" w:hAnsi="仿宋" w:eastAsia="仿宋国标2312" w:cs="仿宋"/>
          <w:sz w:val="32"/>
          <w:szCs w:val="32"/>
        </w:rPr>
        <w:t>我校区虽然在项目的申请、资金下达、项目实施等方面严格按照规定的程序，但由于客观原因，年前项目推进不够顺利，在今后的工作中我们将狠抓细节管理，提高资金的使用效率，让教育经费更好的服务于教学，从而提升教学水平，使学生、家长、教职工以及社会对我校区的教学工作更加满意。</w:t>
      </w:r>
    </w:p>
    <w:p w14:paraId="365C28CF">
      <w:pPr>
        <w:pStyle w:val="2"/>
        <w:spacing w:line="560" w:lineRule="exact"/>
        <w:ind w:firstLine="320" w:firstLineChars="100"/>
        <w:outlineLvl w:val="0"/>
        <w:rPr>
          <w:rFonts w:hint="eastAsia" w:ascii="仿宋国标2312" w:hAnsi="仿宋_GB2312" w:eastAsia="仿宋国标2312" w:cs="仿宋_GB2312"/>
          <w:color w:val="000000"/>
          <w:sz w:val="32"/>
          <w:szCs w:val="32"/>
        </w:rPr>
      </w:pPr>
    </w:p>
    <w:p w14:paraId="6D166419">
      <w:pPr>
        <w:pStyle w:val="2"/>
        <w:spacing w:line="560" w:lineRule="exact"/>
        <w:ind w:firstLine="3520" w:firstLineChars="1100"/>
        <w:outlineLvl w:val="0"/>
        <w:rPr>
          <w:rFonts w:hint="eastAsia" w:ascii="仿宋国标2312" w:hAnsi="仿宋" w:eastAsia="仿宋国标2312" w:cs="仿宋"/>
          <w:color w:val="000000" w:themeColor="text1"/>
          <w:sz w:val="32"/>
          <w:szCs w:val="32"/>
        </w:rPr>
      </w:pPr>
    </w:p>
    <w:p w14:paraId="16BB4080">
      <w:pPr>
        <w:pStyle w:val="2"/>
        <w:spacing w:line="560" w:lineRule="exact"/>
        <w:ind w:firstLine="3520" w:firstLineChars="1100"/>
        <w:outlineLvl w:val="0"/>
        <w:rPr>
          <w:rFonts w:hint="eastAsia" w:ascii="仿宋国标2312" w:hAnsi="仿宋" w:eastAsia="仿宋国标2312" w:cs="仿宋"/>
          <w:color w:val="000000" w:themeColor="text1"/>
          <w:sz w:val="32"/>
          <w:szCs w:val="32"/>
        </w:rPr>
      </w:pPr>
    </w:p>
    <w:p w14:paraId="15447FB2">
      <w:pPr>
        <w:pStyle w:val="2"/>
        <w:spacing w:line="560" w:lineRule="exact"/>
        <w:ind w:firstLine="3520" w:firstLineChars="1100"/>
        <w:outlineLvl w:val="0"/>
        <w:rPr>
          <w:rFonts w:hint="eastAsia" w:ascii="仿宋国标2312" w:hAnsi="仿宋" w:eastAsia="仿宋国标2312" w:cs="仿宋"/>
          <w:color w:val="000000" w:themeColor="text1"/>
          <w:sz w:val="32"/>
          <w:szCs w:val="32"/>
        </w:rPr>
      </w:pPr>
    </w:p>
    <w:p w14:paraId="7600AF31">
      <w:pPr>
        <w:pStyle w:val="2"/>
        <w:spacing w:line="560" w:lineRule="exact"/>
        <w:ind w:firstLine="5120" w:firstLineChars="1600"/>
        <w:outlineLvl w:val="0"/>
        <w:rPr>
          <w:rFonts w:hint="eastAsia" w:ascii="仿宋国标2312" w:hAnsi="仿宋" w:eastAsia="仿宋国标2312" w:cs="仿宋"/>
          <w:color w:val="000000" w:themeColor="text1"/>
          <w:sz w:val="32"/>
          <w:szCs w:val="32"/>
        </w:rPr>
      </w:pPr>
      <w:r>
        <w:rPr>
          <w:rFonts w:hint="eastAsia" w:ascii="仿宋国标2312" w:hAnsi="仿宋" w:eastAsia="仿宋国标2312" w:cs="仿宋"/>
          <w:color w:val="000000" w:themeColor="text1"/>
          <w:sz w:val="32"/>
          <w:szCs w:val="32"/>
        </w:rPr>
        <w:t>隆尧县城关校区</w:t>
      </w:r>
    </w:p>
    <w:p w14:paraId="46B98A47">
      <w:pPr>
        <w:pStyle w:val="2"/>
        <w:spacing w:line="560" w:lineRule="exact"/>
        <w:ind w:firstLine="4960" w:firstLineChars="1550"/>
        <w:outlineLvl w:val="0"/>
        <w:rPr>
          <w:rFonts w:hint="eastAsia" w:ascii="仿宋国标2312" w:hAnsi="仿宋" w:eastAsia="仿宋国标2312" w:cs="仿宋"/>
          <w:color w:val="000000" w:themeColor="text1"/>
          <w:sz w:val="32"/>
          <w:szCs w:val="32"/>
        </w:rPr>
      </w:pPr>
      <w:r>
        <w:rPr>
          <w:rFonts w:hint="eastAsia" w:ascii="仿宋国标2312" w:hAnsi="仿宋" w:eastAsia="仿宋国标2312" w:cs="仿宋"/>
          <w:color w:val="000000" w:themeColor="text1"/>
          <w:sz w:val="32"/>
          <w:szCs w:val="32"/>
        </w:rPr>
        <w:t>2023年3月20日</w:t>
      </w:r>
    </w:p>
    <w:p w14:paraId="1C9E2959">
      <w:pPr>
        <w:pStyle w:val="2"/>
        <w:spacing w:line="560" w:lineRule="exact"/>
        <w:ind w:left="420" w:leftChars="200" w:firstLine="320" w:firstLineChars="100"/>
        <w:outlineLvl w:val="0"/>
        <w:rPr>
          <w:rFonts w:hint="eastAsia" w:ascii="仿宋国标2312" w:hAnsi="仿宋_GB2312" w:eastAsia="仿宋国标2312" w:cs="仿宋_GB2312"/>
          <w:color w:val="000000"/>
          <w:sz w:val="32"/>
          <w:szCs w:val="32"/>
        </w:rPr>
      </w:pPr>
    </w:p>
    <w:p w14:paraId="77EBB6FA">
      <w:pPr>
        <w:spacing w:line="560" w:lineRule="exact"/>
        <w:ind w:firstLine="640" w:firstLineChars="200"/>
        <w:outlineLvl w:val="1"/>
        <w:rPr>
          <w:rFonts w:hint="eastAsia" w:ascii="仿宋国标2312" w:hAnsi="仿宋_GB2312" w:eastAsia="仿宋国标2312" w:cs="仿宋_GB2312"/>
          <w:color w:val="000000"/>
          <w:sz w:val="32"/>
          <w:szCs w:val="32"/>
        </w:rPr>
      </w:pPr>
    </w:p>
    <w:p w14:paraId="252EA0FD">
      <w:pPr>
        <w:rPr>
          <w:rFonts w:hint="eastAsia" w:ascii="仿宋国标2312" w:hAnsi="仿宋_GB2312" w:eastAsia="仿宋国标2312" w:cs="仿宋_GB2312"/>
          <w:sz w:val="32"/>
          <w:szCs w:val="32"/>
        </w:rPr>
      </w:pPr>
    </w:p>
    <w:sectPr>
      <w:headerReference r:id="rId3" w:type="default"/>
      <w:headerReference r:id="rId4" w:type="even"/>
      <w:pgSz w:w="11906" w:h="16838"/>
      <w:pgMar w:top="2154" w:right="1474" w:bottom="1984" w:left="1587" w:header="851" w:footer="992" w:gutter="0"/>
      <w:pgNumType w:start="1"/>
      <w:cols w:space="720" w:num="1"/>
      <w:docGrid w:type="lines" w:linePitch="317" w:charSpace="121"/>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国标2312">
    <w:altName w:val="宋体"/>
    <w:panose1 w:val="00000000000000000000"/>
    <w:charset w:val="86"/>
    <w:family w:val="roman"/>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482DAF">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5416EE">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61EEBC"/>
    <w:multiLevelType w:val="singleLevel"/>
    <w:tmpl w:val="FB61EEB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211"/>
  <w:drawingGridVerticalSpacing w:val="317"/>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zcyODMxYTE0ZTc0ZGU3Y2QwODc3MzYzN2Q1YmNiM2EifQ=="/>
  </w:docVars>
  <w:rsids>
    <w:rsidRoot w:val="07CC499B"/>
    <w:rsid w:val="00011CDD"/>
    <w:rsid w:val="0002064B"/>
    <w:rsid w:val="00020A97"/>
    <w:rsid w:val="00034F67"/>
    <w:rsid w:val="00092B14"/>
    <w:rsid w:val="000A67EF"/>
    <w:rsid w:val="000D29D6"/>
    <w:rsid w:val="000D47D0"/>
    <w:rsid w:val="000D6D3F"/>
    <w:rsid w:val="001373BE"/>
    <w:rsid w:val="001B566A"/>
    <w:rsid w:val="001F3212"/>
    <w:rsid w:val="00216E3D"/>
    <w:rsid w:val="002707C6"/>
    <w:rsid w:val="00280F82"/>
    <w:rsid w:val="00283CF5"/>
    <w:rsid w:val="00294BE6"/>
    <w:rsid w:val="002E358F"/>
    <w:rsid w:val="003170CE"/>
    <w:rsid w:val="0031774E"/>
    <w:rsid w:val="00326D45"/>
    <w:rsid w:val="00377650"/>
    <w:rsid w:val="003B0FEE"/>
    <w:rsid w:val="003C4354"/>
    <w:rsid w:val="003D2EC1"/>
    <w:rsid w:val="003D5350"/>
    <w:rsid w:val="00401872"/>
    <w:rsid w:val="00402171"/>
    <w:rsid w:val="00402873"/>
    <w:rsid w:val="004526F0"/>
    <w:rsid w:val="00470B89"/>
    <w:rsid w:val="00482CDE"/>
    <w:rsid w:val="00547DAD"/>
    <w:rsid w:val="005973BD"/>
    <w:rsid w:val="005C4154"/>
    <w:rsid w:val="006020DC"/>
    <w:rsid w:val="00621F6B"/>
    <w:rsid w:val="00645DBC"/>
    <w:rsid w:val="006C4C3E"/>
    <w:rsid w:val="006D5576"/>
    <w:rsid w:val="007812E3"/>
    <w:rsid w:val="00814E39"/>
    <w:rsid w:val="00824194"/>
    <w:rsid w:val="00852C71"/>
    <w:rsid w:val="00890A3E"/>
    <w:rsid w:val="008A5BF6"/>
    <w:rsid w:val="008A5ECE"/>
    <w:rsid w:val="008C7CF4"/>
    <w:rsid w:val="00902F8B"/>
    <w:rsid w:val="0090600E"/>
    <w:rsid w:val="00926B0C"/>
    <w:rsid w:val="00952879"/>
    <w:rsid w:val="009529A4"/>
    <w:rsid w:val="009A30DD"/>
    <w:rsid w:val="009C615D"/>
    <w:rsid w:val="00A02C66"/>
    <w:rsid w:val="00A21467"/>
    <w:rsid w:val="00A30CDA"/>
    <w:rsid w:val="00A81D6C"/>
    <w:rsid w:val="00AA408D"/>
    <w:rsid w:val="00AB413B"/>
    <w:rsid w:val="00AB5695"/>
    <w:rsid w:val="00AE5094"/>
    <w:rsid w:val="00B121B0"/>
    <w:rsid w:val="00B452B5"/>
    <w:rsid w:val="00B60E03"/>
    <w:rsid w:val="00C955EE"/>
    <w:rsid w:val="00D13BE3"/>
    <w:rsid w:val="00D24869"/>
    <w:rsid w:val="00D25A69"/>
    <w:rsid w:val="00D25CC3"/>
    <w:rsid w:val="00D311FC"/>
    <w:rsid w:val="00D3165F"/>
    <w:rsid w:val="00D32109"/>
    <w:rsid w:val="00D471F4"/>
    <w:rsid w:val="00D5394A"/>
    <w:rsid w:val="00D623B4"/>
    <w:rsid w:val="00D62CD5"/>
    <w:rsid w:val="00D91EE3"/>
    <w:rsid w:val="00D93A29"/>
    <w:rsid w:val="00DB6DF3"/>
    <w:rsid w:val="00E30CAE"/>
    <w:rsid w:val="00E310A2"/>
    <w:rsid w:val="00E41AC7"/>
    <w:rsid w:val="00E52614"/>
    <w:rsid w:val="00EC47D0"/>
    <w:rsid w:val="00EF2449"/>
    <w:rsid w:val="00EF2BA5"/>
    <w:rsid w:val="00EF61E0"/>
    <w:rsid w:val="00EF6B85"/>
    <w:rsid w:val="00EF6DA3"/>
    <w:rsid w:val="00F66537"/>
    <w:rsid w:val="00F97733"/>
    <w:rsid w:val="00F978E0"/>
    <w:rsid w:val="00FA340E"/>
    <w:rsid w:val="00FA63DA"/>
    <w:rsid w:val="00FA7BCA"/>
    <w:rsid w:val="00FB6A11"/>
    <w:rsid w:val="00FD08D4"/>
    <w:rsid w:val="00FD4127"/>
    <w:rsid w:val="01B67D1F"/>
    <w:rsid w:val="01CA2AF2"/>
    <w:rsid w:val="03274687"/>
    <w:rsid w:val="04064A0C"/>
    <w:rsid w:val="04321BCD"/>
    <w:rsid w:val="04FF4482"/>
    <w:rsid w:val="057A0A50"/>
    <w:rsid w:val="064C4C17"/>
    <w:rsid w:val="076C3175"/>
    <w:rsid w:val="07CC499B"/>
    <w:rsid w:val="0815567D"/>
    <w:rsid w:val="0909607F"/>
    <w:rsid w:val="09A64785"/>
    <w:rsid w:val="0A1E2D9A"/>
    <w:rsid w:val="0A3B4E4B"/>
    <w:rsid w:val="0B601B06"/>
    <w:rsid w:val="0BEB58BF"/>
    <w:rsid w:val="0C15027B"/>
    <w:rsid w:val="0C3B2A49"/>
    <w:rsid w:val="0DAA4EE9"/>
    <w:rsid w:val="0E3117D9"/>
    <w:rsid w:val="102B0836"/>
    <w:rsid w:val="1064155D"/>
    <w:rsid w:val="1156122B"/>
    <w:rsid w:val="11F11891"/>
    <w:rsid w:val="12C35BB4"/>
    <w:rsid w:val="140849FA"/>
    <w:rsid w:val="14583EA3"/>
    <w:rsid w:val="151D09B5"/>
    <w:rsid w:val="1689469A"/>
    <w:rsid w:val="16DB1E7D"/>
    <w:rsid w:val="178C6C5A"/>
    <w:rsid w:val="17CD646A"/>
    <w:rsid w:val="184F3049"/>
    <w:rsid w:val="1B3F225B"/>
    <w:rsid w:val="1B4269FF"/>
    <w:rsid w:val="1D4B3C83"/>
    <w:rsid w:val="1DBD7AB3"/>
    <w:rsid w:val="1E0B387E"/>
    <w:rsid w:val="20B2241B"/>
    <w:rsid w:val="21460607"/>
    <w:rsid w:val="21FF1E9B"/>
    <w:rsid w:val="23C1122C"/>
    <w:rsid w:val="243D751D"/>
    <w:rsid w:val="24522B03"/>
    <w:rsid w:val="25ED2FD4"/>
    <w:rsid w:val="264A346A"/>
    <w:rsid w:val="270A41B9"/>
    <w:rsid w:val="274B3C4E"/>
    <w:rsid w:val="285356FD"/>
    <w:rsid w:val="288E37E0"/>
    <w:rsid w:val="290243B4"/>
    <w:rsid w:val="2A5C748F"/>
    <w:rsid w:val="2B10000E"/>
    <w:rsid w:val="2B2D56DA"/>
    <w:rsid w:val="2D391E20"/>
    <w:rsid w:val="30785FD3"/>
    <w:rsid w:val="31702E0D"/>
    <w:rsid w:val="32FA61FC"/>
    <w:rsid w:val="33C32B3C"/>
    <w:rsid w:val="34E52524"/>
    <w:rsid w:val="35CA4ECD"/>
    <w:rsid w:val="35CE5164"/>
    <w:rsid w:val="35F07825"/>
    <w:rsid w:val="360C2FBA"/>
    <w:rsid w:val="363913FE"/>
    <w:rsid w:val="36D6548C"/>
    <w:rsid w:val="376918C7"/>
    <w:rsid w:val="37832AC7"/>
    <w:rsid w:val="38195BED"/>
    <w:rsid w:val="39B23A02"/>
    <w:rsid w:val="3A4766ED"/>
    <w:rsid w:val="3A713A3B"/>
    <w:rsid w:val="3AAB2217"/>
    <w:rsid w:val="3CAE49E3"/>
    <w:rsid w:val="3DAE40CB"/>
    <w:rsid w:val="3E7103A9"/>
    <w:rsid w:val="3E7E746E"/>
    <w:rsid w:val="3EBE2184"/>
    <w:rsid w:val="3F5912F8"/>
    <w:rsid w:val="3F9B4FC0"/>
    <w:rsid w:val="41B74B09"/>
    <w:rsid w:val="43DC781A"/>
    <w:rsid w:val="441C7555"/>
    <w:rsid w:val="450A0AA4"/>
    <w:rsid w:val="45236574"/>
    <w:rsid w:val="46434BE2"/>
    <w:rsid w:val="46AA6AA7"/>
    <w:rsid w:val="478E0E32"/>
    <w:rsid w:val="48A2447B"/>
    <w:rsid w:val="49430BD9"/>
    <w:rsid w:val="494625CA"/>
    <w:rsid w:val="4BD23ED8"/>
    <w:rsid w:val="4C2846CD"/>
    <w:rsid w:val="4C7A4C55"/>
    <w:rsid w:val="4F6A54EE"/>
    <w:rsid w:val="4FB77F11"/>
    <w:rsid w:val="4FDF6ED1"/>
    <w:rsid w:val="509D58D9"/>
    <w:rsid w:val="514C0EC5"/>
    <w:rsid w:val="51F50157"/>
    <w:rsid w:val="52866F20"/>
    <w:rsid w:val="52EE7A8B"/>
    <w:rsid w:val="535B290E"/>
    <w:rsid w:val="53F1208F"/>
    <w:rsid w:val="54DE5250"/>
    <w:rsid w:val="55495194"/>
    <w:rsid w:val="56115CEE"/>
    <w:rsid w:val="56D42516"/>
    <w:rsid w:val="56FE5044"/>
    <w:rsid w:val="57E03285"/>
    <w:rsid w:val="5AE71036"/>
    <w:rsid w:val="5B5F30DA"/>
    <w:rsid w:val="5BAF6F84"/>
    <w:rsid w:val="5BE03A0F"/>
    <w:rsid w:val="5D5C7CBD"/>
    <w:rsid w:val="5DF86B3F"/>
    <w:rsid w:val="5F1C1ADB"/>
    <w:rsid w:val="60134031"/>
    <w:rsid w:val="60C120AA"/>
    <w:rsid w:val="6304094B"/>
    <w:rsid w:val="64165E4C"/>
    <w:rsid w:val="6536013A"/>
    <w:rsid w:val="65647F09"/>
    <w:rsid w:val="68DA698B"/>
    <w:rsid w:val="6A3E1F45"/>
    <w:rsid w:val="6B67275E"/>
    <w:rsid w:val="6CCC6D4C"/>
    <w:rsid w:val="6D5F4EC3"/>
    <w:rsid w:val="6E3F5A2C"/>
    <w:rsid w:val="7008088F"/>
    <w:rsid w:val="712634CC"/>
    <w:rsid w:val="71A3781D"/>
    <w:rsid w:val="724E698E"/>
    <w:rsid w:val="756501CF"/>
    <w:rsid w:val="778F438E"/>
    <w:rsid w:val="7A055146"/>
    <w:rsid w:val="7A757A3F"/>
    <w:rsid w:val="7C647BFE"/>
    <w:rsid w:val="7D9B64C3"/>
    <w:rsid w:val="7FA8571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ind w:firstLine="420"/>
    </w:pPr>
  </w:style>
  <w:style w:type="paragraph" w:styleId="3">
    <w:name w:val="Body Text Indent"/>
    <w:basedOn w:val="1"/>
    <w:qFormat/>
    <w:uiPriority w:val="0"/>
    <w:pPr>
      <w:spacing w:line="600" w:lineRule="exact"/>
      <w:ind w:firstLine="560" w:firstLineChars="200"/>
      <w:textAlignment w:val="center"/>
    </w:pPr>
    <w:rPr>
      <w:rFonts w:ascii="宋体" w:hAnsi="宋体"/>
      <w:color w:val="FF0000"/>
      <w:sz w:val="28"/>
      <w:szCs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kern w:val="0"/>
      <w:sz w:val="24"/>
    </w:rPr>
  </w:style>
  <w:style w:type="character" w:styleId="9">
    <w:name w:val="Strong"/>
    <w:basedOn w:val="8"/>
    <w:qFormat/>
    <w:uiPriority w:val="0"/>
    <w:rPr>
      <w:b/>
    </w:rPr>
  </w:style>
  <w:style w:type="paragraph" w:customStyle="1" w:styleId="10">
    <w:name w:val="WPSOffice手动目录 1"/>
    <w:qFormat/>
    <w:uiPriority w:val="0"/>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2">
    <w:name w:val="页眉 Char"/>
    <w:basedOn w:val="8"/>
    <w:link w:val="5"/>
    <w:qFormat/>
    <w:uiPriority w:val="0"/>
    <w:rPr>
      <w:rFonts w:ascii="Calibri" w:hAnsi="Calibri"/>
      <w:kern w:val="2"/>
      <w:sz w:val="18"/>
      <w:szCs w:val="18"/>
    </w:rPr>
  </w:style>
  <w:style w:type="paragraph" w:customStyle="1" w:styleId="13">
    <w:name w:val="其他"/>
    <w:basedOn w:val="1"/>
    <w:qFormat/>
    <w:uiPriority w:val="0"/>
    <w:pPr>
      <w:jc w:val="left"/>
    </w:pPr>
    <w:rPr>
      <w:rFonts w:ascii="仿宋" w:hAnsi="仿宋" w:eastAsia="仿宋" w:cs="仿宋"/>
      <w:sz w:val="26"/>
      <w:szCs w:val="26"/>
      <w:lang w:val="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Pages>
  <Words>2791</Words>
  <Characters>2955</Characters>
  <Lines>22</Lines>
  <Paragraphs>6</Paragraphs>
  <TotalTime>4</TotalTime>
  <ScaleCrop>false</ScaleCrop>
  <LinksUpToDate>false</LinksUpToDate>
  <CharactersWithSpaces>3011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2021-07-20T09:00:00Z</dcterms:created>
  <dc:creator>user</dc:creator>
  <cp:lastModifiedBy>齐赞法</cp:lastModifiedBy>
  <cp:lastPrinted>2023-03-21T14:01:00Z</cp:lastPrinted>
  <dcterms:modified xsi:type="dcterms:W3CDTF">2026-05-20T07:33:07Z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B8B7081E292C4966B6F18D25ACE9A442</vt:lpwstr>
  </property>
  <property fmtid="{D5CDD505-2E9C-101B-9397-08002B2CF9AE}" pid="4" name="KSOTemplateDocerSaveRecord">
    <vt:lpwstr>eyJoZGlkIjoiZTg1NGM5MzY4ZmUyZDFhOTM5ZDIwNDFhOWMxOGI2YmUiLCJ1c2VySWQiOiI2MjQzMDU2NzcifQ==</vt:lpwstr>
  </property>
</Properties>
</file>