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附件5：</w:t>
      </w:r>
    </w:p>
    <w:p>
      <w:pPr>
        <w:spacing w:line="580" w:lineRule="exact"/>
        <w:ind w:firstLine="720" w:firstLineChars="199"/>
        <w:rPr>
          <w:rFonts w:ascii="仿宋_GB2312" w:hAnsi="仿宋_GB2312" w:eastAsia="仿宋_GB2312" w:cs="仿宋_GB2312"/>
          <w:b/>
          <w:bCs/>
          <w:spacing w:val="-20"/>
          <w:sz w:val="40"/>
          <w:szCs w:val="48"/>
        </w:rPr>
      </w:pPr>
    </w:p>
    <w:p>
      <w:pPr>
        <w:spacing w:line="580" w:lineRule="exact"/>
        <w:ind w:firstLine="720" w:firstLineChars="199"/>
        <w:jc w:val="center"/>
        <w:rPr>
          <w:rFonts w:hint="eastAsia" w:ascii="仿宋_GB2312" w:hAnsi="仿宋_GB2312" w:eastAsia="仿宋_GB2312" w:cs="仿宋_GB2312"/>
          <w:b/>
          <w:bCs/>
          <w:spacing w:val="-20"/>
          <w:sz w:val="40"/>
          <w:szCs w:val="48"/>
          <w:lang w:eastAsia="zh-CN"/>
        </w:rPr>
      </w:pPr>
      <w:r>
        <w:rPr>
          <w:rFonts w:hint="eastAsia" w:ascii="仿宋_GB2312" w:hAnsi="仿宋_GB2312" w:eastAsia="仿宋_GB2312" w:cs="仿宋_GB2312"/>
          <w:b/>
          <w:bCs/>
          <w:spacing w:val="-20"/>
          <w:sz w:val="40"/>
          <w:szCs w:val="48"/>
        </w:rPr>
        <w:t>隆尧县</w:t>
      </w:r>
      <w:r>
        <w:rPr>
          <w:rFonts w:hint="eastAsia" w:ascii="仿宋_GB2312" w:hAnsi="仿宋_GB2312" w:eastAsia="仿宋_GB2312" w:cs="仿宋_GB2312"/>
          <w:b/>
          <w:bCs/>
          <w:spacing w:val="-20"/>
          <w:sz w:val="40"/>
          <w:szCs w:val="48"/>
          <w:lang w:eastAsia="zh-CN"/>
        </w:rPr>
        <w:t>固城中学</w:t>
      </w:r>
    </w:p>
    <w:p>
      <w:pPr>
        <w:spacing w:line="580" w:lineRule="exact"/>
        <w:ind w:firstLine="799" w:firstLineChars="199"/>
        <w:jc w:val="center"/>
        <w:rPr>
          <w:rFonts w:ascii="仿宋_GB2312" w:hAnsi="仿宋_GB2312" w:eastAsia="仿宋_GB2312" w:cs="仿宋_GB2312"/>
          <w:b/>
          <w:bCs/>
          <w:sz w:val="40"/>
          <w:szCs w:val="48"/>
        </w:rPr>
      </w:pPr>
      <w:r>
        <w:rPr>
          <w:rFonts w:hint="eastAsia" w:ascii="仿宋_GB2312" w:hAnsi="仿宋_GB2312" w:eastAsia="仿宋_GB2312" w:cs="仿宋_GB2312"/>
          <w:b/>
          <w:bCs/>
          <w:sz w:val="40"/>
          <w:szCs w:val="48"/>
        </w:rPr>
        <w:t>塑胶操场改造</w:t>
      </w:r>
      <w:r>
        <w:rPr>
          <w:rFonts w:hint="eastAsia" w:ascii="仿宋_GB2312" w:hAnsi="仿宋_GB2312" w:eastAsia="仿宋_GB2312" w:cs="仿宋_GB2312"/>
          <w:b/>
          <w:bCs/>
          <w:sz w:val="40"/>
          <w:szCs w:val="48"/>
          <w:lang w:eastAsia="zh-CN"/>
        </w:rPr>
        <w:t>重点</w:t>
      </w:r>
      <w:r>
        <w:rPr>
          <w:rFonts w:hint="eastAsia" w:ascii="仿宋_GB2312" w:hAnsi="仿宋_GB2312" w:eastAsia="仿宋_GB2312" w:cs="仿宋_GB2312"/>
          <w:b/>
          <w:bCs/>
          <w:sz w:val="40"/>
          <w:szCs w:val="48"/>
        </w:rPr>
        <w:t>自评绩效报告</w:t>
      </w:r>
    </w:p>
    <w:p>
      <w:pPr>
        <w:rPr>
          <w:rFonts w:ascii="仿宋_GB2312" w:hAnsi="仿宋_GB2312" w:eastAsia="仿宋_GB2312" w:cs="仿宋_GB2312"/>
        </w:rPr>
      </w:pPr>
      <w:r>
        <w:rPr>
          <w:rFonts w:hint="eastAsia" w:ascii="仿宋_GB2312" w:hAnsi="仿宋_GB2312" w:eastAsia="仿宋_GB2312" w:cs="仿宋_GB2312"/>
          <w:sz w:val="28"/>
          <w:szCs w:val="28"/>
        </w:rPr>
        <w:t xml:space="preserve">                         </w:t>
      </w: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pStyle w:val="2"/>
        <w:ind w:firstLine="560"/>
      </w:pPr>
    </w:p>
    <w:p/>
    <w:p>
      <w:pPr>
        <w:pStyle w:val="2"/>
        <w:ind w:firstLine="560"/>
      </w:pPr>
    </w:p>
    <w:p/>
    <w:p>
      <w:pPr>
        <w:pStyle w:val="2"/>
        <w:ind w:firstLine="560"/>
      </w:pPr>
    </w:p>
    <w:p>
      <w:pPr>
        <w:spacing w:line="760" w:lineRule="exact"/>
        <w:rPr>
          <w:rFonts w:hint="eastAsia" w:ascii="仿宋_GB2312" w:hAnsi="仿宋_GB2312" w:eastAsia="仿宋_GB2312" w:cs="仿宋_GB2312"/>
          <w:spacing w:val="-20"/>
          <w:sz w:val="28"/>
          <w:szCs w:val="28"/>
          <w:u w:val="single"/>
          <w:lang w:eastAsia="zh-CN"/>
        </w:rPr>
      </w:pPr>
      <w:r>
        <w:rPr>
          <w:rFonts w:hint="eastAsia" w:ascii="仿宋_GB2312" w:hAnsi="仿宋_GB2312" w:eastAsia="仿宋_GB2312" w:cs="仿宋_GB2312"/>
          <w:spacing w:val="11"/>
          <w:sz w:val="28"/>
          <w:szCs w:val="28"/>
        </w:rPr>
        <w:t>项 目 名 称：</w:t>
      </w:r>
      <w:r>
        <w:rPr>
          <w:rFonts w:hint="eastAsia" w:ascii="仿宋_GB2312" w:hAnsi="仿宋_GB2312" w:eastAsia="仿宋_GB2312" w:cs="仿宋_GB2312"/>
          <w:spacing w:val="11"/>
          <w:sz w:val="28"/>
          <w:szCs w:val="28"/>
          <w:u w:val="single"/>
          <w:lang w:eastAsia="zh-CN"/>
        </w:rPr>
        <w:t>固城中学塑胶操场改造</w:t>
      </w:r>
    </w:p>
    <w:p>
      <w:pPr>
        <w:spacing w:line="760" w:lineRule="exact"/>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rPr>
        <w:t>项目实施单位：</w:t>
      </w:r>
      <w:r>
        <w:rPr>
          <w:rFonts w:hint="eastAsia" w:ascii="仿宋_GB2312" w:hAnsi="仿宋_GB2312" w:eastAsia="仿宋_GB2312" w:cs="仿宋_GB2312"/>
          <w:kern w:val="0"/>
          <w:sz w:val="28"/>
          <w:szCs w:val="28"/>
          <w:u w:val="single"/>
          <w:lang w:eastAsia="zh-CN"/>
        </w:rPr>
        <w:t>隆尧县固城中学</w:t>
      </w:r>
    </w:p>
    <w:p>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pacing w:val="28"/>
          <w:sz w:val="28"/>
          <w:szCs w:val="28"/>
        </w:rPr>
        <w:t>项目总金额：</w:t>
      </w:r>
      <w:r>
        <w:rPr>
          <w:rFonts w:hint="eastAsia" w:ascii="仿宋_GB2312" w:hAnsi="仿宋_GB2312" w:eastAsia="仿宋_GB2312" w:cs="仿宋_GB2312"/>
          <w:spacing w:val="28"/>
          <w:sz w:val="28"/>
          <w:szCs w:val="28"/>
          <w:u w:val="single"/>
          <w:lang w:val="en-US" w:eastAsia="zh-CN"/>
        </w:rPr>
        <w:t>69.6878</w:t>
      </w:r>
      <w:r>
        <w:rPr>
          <w:rFonts w:hint="eastAsia" w:ascii="仿宋_GB2312" w:hAnsi="仿宋_GB2312" w:eastAsia="仿宋_GB2312" w:cs="仿宋_GB2312"/>
          <w:kern w:val="0"/>
          <w:sz w:val="28"/>
          <w:szCs w:val="28"/>
          <w:u w:val="single"/>
        </w:rPr>
        <w:t xml:space="preserve"> 万元</w:t>
      </w:r>
    </w:p>
    <w:p>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pacing w:val="11"/>
          <w:sz w:val="28"/>
          <w:szCs w:val="28"/>
        </w:rPr>
        <w:t>评 价 年 度：</w:t>
      </w:r>
      <w:r>
        <w:rPr>
          <w:rFonts w:hint="eastAsia" w:ascii="仿宋_GB2312" w:hAnsi="仿宋_GB2312" w:eastAsia="仿宋_GB2312" w:cs="仿宋_GB2312"/>
          <w:sz w:val="28"/>
          <w:szCs w:val="28"/>
          <w:u w:val="single"/>
        </w:rPr>
        <w:t>2022年度</w:t>
      </w:r>
    </w:p>
    <w:p>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pacing w:val="28"/>
          <w:sz w:val="28"/>
          <w:szCs w:val="28"/>
        </w:rPr>
        <w:t>评价组组长：</w:t>
      </w:r>
      <w:r>
        <w:rPr>
          <w:rFonts w:hint="eastAsia" w:ascii="仿宋_GB2312" w:hAnsi="仿宋_GB2312" w:eastAsia="仿宋_GB2312" w:cs="仿宋_GB2312"/>
          <w:spacing w:val="28"/>
          <w:sz w:val="28"/>
          <w:szCs w:val="28"/>
          <w:u w:val="single"/>
          <w:lang w:eastAsia="zh-CN"/>
        </w:rPr>
        <w:t>温三振</w:t>
      </w:r>
      <w:r>
        <w:rPr>
          <w:rFonts w:hint="eastAsia" w:ascii="仿宋_GB2312" w:hAnsi="仿宋_GB2312" w:eastAsia="仿宋_GB2312" w:cs="仿宋_GB2312"/>
          <w:sz w:val="28"/>
          <w:szCs w:val="28"/>
          <w:u w:val="single"/>
        </w:rPr>
        <w:t xml:space="preserve">  </w:t>
      </w:r>
    </w:p>
    <w:p>
      <w:pPr>
        <w:spacing w:line="760" w:lineRule="exact"/>
        <w:rPr>
          <w:rFonts w:ascii="仿宋_GB2312" w:hAnsi="仿宋_GB2312" w:eastAsia="仿宋_GB2312" w:cs="仿宋_GB2312"/>
          <w:u w:val="none"/>
        </w:rPr>
      </w:pPr>
      <w:r>
        <w:rPr>
          <w:rFonts w:hint="eastAsia" w:ascii="仿宋_GB2312" w:hAnsi="仿宋_GB2312" w:eastAsia="仿宋_GB2312" w:cs="仿宋_GB2312"/>
          <w:spacing w:val="28"/>
          <w:sz w:val="28"/>
          <w:szCs w:val="28"/>
        </w:rPr>
        <w:t>评价组成员：</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single"/>
          <w:lang w:eastAsia="zh-CN"/>
        </w:rPr>
        <w:t>马京坤</w:t>
      </w:r>
      <w:r>
        <w:rPr>
          <w:rFonts w:hint="eastAsia" w:ascii="仿宋_GB2312" w:hAnsi="仿宋_GB2312" w:eastAsia="仿宋_GB2312" w:cs="仿宋_GB2312"/>
          <w:sz w:val="28"/>
          <w:szCs w:val="28"/>
          <w:u w:val="single"/>
          <w:lang w:val="en-US" w:eastAsia="zh-CN"/>
        </w:rPr>
        <w:t xml:space="preserve"> 吴拴林 胡亚波 吴京辉</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none"/>
        </w:rPr>
        <w:t xml:space="preserve">                       </w:t>
      </w:r>
    </w:p>
    <w:p>
      <w:pPr>
        <w:rPr>
          <w:rFonts w:ascii="仿宋_GB2312" w:hAnsi="仿宋_GB2312" w:eastAsia="仿宋_GB2312" w:cs="仿宋_GB2312"/>
          <w:u w:val="none"/>
        </w:rPr>
      </w:pPr>
      <w:bookmarkStart w:id="0" w:name="_Toc5909_WPSOffice_Level1"/>
      <w:bookmarkStart w:id="1" w:name="_Toc7470_WPSOffice_Level1"/>
    </w:p>
    <w:bookmarkEnd w:id="0"/>
    <w:bookmarkEnd w:id="1"/>
    <w:p>
      <w:pPr>
        <w:pStyle w:val="2"/>
        <w:spacing w:line="120" w:lineRule="exact"/>
        <w:ind w:firstLine="560"/>
        <w:rPr>
          <w:rFonts w:ascii="仿宋_GB2312" w:hAnsi="仿宋_GB2312" w:eastAsia="仿宋_GB2312" w:cs="仿宋_GB2312"/>
        </w:rPr>
      </w:pPr>
    </w:p>
    <w:p>
      <w:pPr>
        <w:spacing w:line="580" w:lineRule="exact"/>
        <w:ind w:firstLine="643" w:firstLineChars="200"/>
        <w:outlineLvl w:val="0"/>
        <w:rPr>
          <w:rFonts w:ascii="仿宋_GB2312" w:hAnsi="仿宋_GB2312" w:eastAsia="仿宋_GB2312" w:cs="仿宋_GB2312"/>
          <w:b/>
          <w:bCs/>
          <w:sz w:val="32"/>
          <w:szCs w:val="40"/>
        </w:rPr>
      </w:pPr>
      <w:bookmarkStart w:id="2" w:name="_Toc9525"/>
      <w:bookmarkStart w:id="3" w:name="_Toc4013"/>
      <w:bookmarkStart w:id="4" w:name="_Toc6314"/>
      <w:bookmarkStart w:id="5" w:name="_Toc30335"/>
      <w:bookmarkStart w:id="6" w:name="_Toc18334"/>
      <w:bookmarkStart w:id="7" w:name="_Toc13153"/>
      <w:bookmarkStart w:id="8" w:name="_Toc16913"/>
      <w:bookmarkStart w:id="9" w:name="_Toc11301"/>
      <w:bookmarkStart w:id="10" w:name="_Toc2245"/>
      <w:bookmarkStart w:id="11" w:name="_Toc23411"/>
    </w:p>
    <w:p>
      <w:pPr>
        <w:spacing w:line="580" w:lineRule="exact"/>
        <w:ind w:firstLine="643" w:firstLineChars="200"/>
        <w:outlineLvl w:val="0"/>
        <w:rPr>
          <w:rFonts w:ascii="仿宋_GB2312" w:hAnsi="仿宋_GB2312" w:eastAsia="仿宋_GB2312" w:cs="仿宋_GB2312"/>
          <w:b/>
          <w:bCs/>
          <w:sz w:val="32"/>
          <w:szCs w:val="40"/>
        </w:rPr>
      </w:pPr>
      <w:r>
        <w:rPr>
          <w:rFonts w:hint="eastAsia" w:ascii="仿宋_GB2312" w:hAnsi="仿宋_GB2312" w:eastAsia="仿宋_GB2312" w:cs="仿宋_GB2312"/>
          <w:b/>
          <w:bCs/>
          <w:sz w:val="32"/>
          <w:szCs w:val="40"/>
        </w:rPr>
        <w:t>一、项目概况</w:t>
      </w:r>
      <w:bookmarkEnd w:id="2"/>
      <w:bookmarkEnd w:id="3"/>
      <w:bookmarkEnd w:id="4"/>
      <w:bookmarkEnd w:id="5"/>
      <w:bookmarkEnd w:id="6"/>
      <w:bookmarkEnd w:id="7"/>
      <w:bookmarkEnd w:id="8"/>
      <w:bookmarkEnd w:id="9"/>
      <w:bookmarkEnd w:id="10"/>
      <w:bookmarkEnd w:id="11"/>
    </w:p>
    <w:p>
      <w:pPr>
        <w:spacing w:line="580" w:lineRule="exact"/>
        <w:ind w:firstLine="640" w:firstLineChars="200"/>
        <w:outlineLvl w:val="1"/>
        <w:rPr>
          <w:rFonts w:ascii="仿宋_GB2312" w:hAnsi="仿宋_GB2312" w:eastAsia="仿宋_GB2312" w:cs="仿宋_GB2312"/>
          <w:sz w:val="32"/>
          <w:szCs w:val="40"/>
        </w:rPr>
      </w:pPr>
      <w:bookmarkStart w:id="12" w:name="_Toc937"/>
      <w:bookmarkStart w:id="13" w:name="_Toc24784"/>
      <w:bookmarkStart w:id="14" w:name="_Toc19963"/>
      <w:bookmarkStart w:id="15" w:name="_Toc22453"/>
      <w:bookmarkStart w:id="16" w:name="_Toc22285"/>
      <w:bookmarkStart w:id="17" w:name="_Toc19370"/>
      <w:bookmarkStart w:id="18" w:name="_Toc30895"/>
      <w:bookmarkStart w:id="19" w:name="_Toc15831"/>
      <w:bookmarkStart w:id="20" w:name="_Toc23957"/>
      <w:bookmarkStart w:id="21" w:name="_Toc32742"/>
      <w:r>
        <w:rPr>
          <w:rFonts w:hint="eastAsia" w:ascii="仿宋_GB2312" w:hAnsi="仿宋_GB2312" w:eastAsia="仿宋_GB2312" w:cs="仿宋_GB2312"/>
          <w:sz w:val="32"/>
          <w:szCs w:val="40"/>
        </w:rPr>
        <w:t>（一）项目单位基本情况</w:t>
      </w:r>
      <w:bookmarkEnd w:id="12"/>
      <w:bookmarkEnd w:id="13"/>
      <w:bookmarkEnd w:id="14"/>
      <w:bookmarkEnd w:id="15"/>
      <w:bookmarkEnd w:id="16"/>
      <w:bookmarkEnd w:id="17"/>
      <w:bookmarkEnd w:id="18"/>
      <w:bookmarkEnd w:id="19"/>
      <w:bookmarkEnd w:id="20"/>
      <w:bookmarkEnd w:id="21"/>
    </w:p>
    <w:p>
      <w:pPr>
        <w:spacing w:line="580" w:lineRule="exact"/>
        <w:ind w:firstLine="640" w:firstLineChars="200"/>
        <w:outlineLvl w:val="1"/>
        <w:rPr>
          <w:rFonts w:hint="eastAsia" w:ascii="仿宋_GB2312" w:hAnsi="仿宋_GB2312" w:eastAsia="仿宋_GB2312" w:cs="仿宋_GB2312"/>
          <w:sz w:val="32"/>
          <w:szCs w:val="40"/>
          <w:lang w:val="en-US" w:eastAsia="zh-CN"/>
        </w:rPr>
      </w:pPr>
      <w:bookmarkStart w:id="22" w:name="_Toc8843"/>
      <w:bookmarkStart w:id="23" w:name="_Toc29308"/>
      <w:bookmarkStart w:id="24" w:name="_Toc15167"/>
      <w:r>
        <w:rPr>
          <w:rFonts w:hint="eastAsia" w:ascii="仿宋_GB2312" w:hAnsi="仿宋_GB2312" w:eastAsia="仿宋_GB2312" w:cs="仿宋_GB2312"/>
          <w:sz w:val="32"/>
          <w:szCs w:val="40"/>
        </w:rPr>
        <w:t>包括单位名称</w:t>
      </w:r>
      <w:r>
        <w:rPr>
          <w:rFonts w:hint="eastAsia" w:ascii="仿宋_GB2312" w:hAnsi="仿宋_GB2312" w:eastAsia="仿宋_GB2312" w:cs="仿宋_GB2312"/>
          <w:sz w:val="32"/>
          <w:szCs w:val="40"/>
          <w:lang w:val="en-US" w:eastAsia="zh-CN"/>
        </w:rPr>
        <w:t>;隆尧县固城中学</w:t>
      </w:r>
    </w:p>
    <w:p>
      <w:pPr>
        <w:spacing w:line="580" w:lineRule="exact"/>
        <w:ind w:firstLine="640" w:firstLineChars="200"/>
        <w:outlineLvl w:val="1"/>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rPr>
        <w:t>地址</w:t>
      </w:r>
      <w:r>
        <w:rPr>
          <w:rFonts w:hint="eastAsia" w:ascii="仿宋_GB2312" w:hAnsi="仿宋_GB2312" w:eastAsia="仿宋_GB2312" w:cs="仿宋_GB2312"/>
          <w:sz w:val="32"/>
          <w:szCs w:val="40"/>
          <w:lang w:eastAsia="zh-CN"/>
        </w:rPr>
        <w:t>：隆尧县固城镇固城村</w:t>
      </w:r>
      <w:r>
        <w:rPr>
          <w:rFonts w:hint="eastAsia" w:ascii="仿宋_GB2312" w:hAnsi="仿宋_GB2312" w:eastAsia="仿宋_GB2312" w:cs="仿宋_GB2312"/>
          <w:sz w:val="32"/>
          <w:szCs w:val="40"/>
          <w:lang w:val="en-US" w:eastAsia="zh-CN"/>
        </w:rPr>
        <w:t>6号</w:t>
      </w:r>
    </w:p>
    <w:p>
      <w:pPr>
        <w:spacing w:line="580" w:lineRule="exact"/>
        <w:ind w:firstLine="640" w:firstLineChars="200"/>
        <w:outlineLvl w:val="1"/>
        <w:rPr>
          <w:rFonts w:hint="eastAsia" w:ascii="仿宋_GB2312" w:hAnsi="仿宋_GB2312" w:eastAsia="仿宋_GB2312" w:cs="仿宋_GB2312"/>
          <w:sz w:val="32"/>
          <w:szCs w:val="40"/>
          <w:lang w:eastAsia="zh-CN"/>
        </w:rPr>
      </w:pPr>
      <w:r>
        <w:rPr>
          <w:rFonts w:hint="eastAsia" w:ascii="仿宋_GB2312" w:hAnsi="仿宋_GB2312" w:eastAsia="仿宋_GB2312" w:cs="仿宋_GB2312"/>
          <w:sz w:val="32"/>
          <w:szCs w:val="40"/>
        </w:rPr>
        <w:t>性质</w:t>
      </w:r>
      <w:r>
        <w:rPr>
          <w:rFonts w:hint="eastAsia" w:ascii="仿宋_GB2312" w:hAnsi="仿宋_GB2312" w:eastAsia="仿宋_GB2312" w:cs="仿宋_GB2312"/>
          <w:sz w:val="32"/>
          <w:szCs w:val="40"/>
          <w:lang w:eastAsia="zh-CN"/>
        </w:rPr>
        <w:t>：公益一类事业单位</w:t>
      </w:r>
    </w:p>
    <w:p>
      <w:pPr>
        <w:spacing w:line="580" w:lineRule="exact"/>
        <w:ind w:firstLine="640" w:firstLineChars="200"/>
        <w:outlineLvl w:val="1"/>
        <w:rPr>
          <w:rFonts w:ascii="仿宋_GB2312" w:hAnsi="仿宋_GB2312" w:eastAsia="仿宋_GB2312" w:cs="仿宋_GB2312"/>
          <w:sz w:val="32"/>
          <w:szCs w:val="40"/>
        </w:rPr>
      </w:pPr>
      <w:r>
        <w:rPr>
          <w:rFonts w:hint="eastAsia" w:ascii="仿宋_GB2312" w:hAnsi="仿宋_GB2312" w:eastAsia="仿宋_GB2312" w:cs="仿宋_GB2312"/>
          <w:sz w:val="32"/>
          <w:szCs w:val="40"/>
        </w:rPr>
        <w:t>承担的业务</w:t>
      </w:r>
      <w:r>
        <w:rPr>
          <w:rFonts w:hint="eastAsia" w:ascii="仿宋_GB2312" w:hAnsi="仿宋_GB2312" w:eastAsia="仿宋_GB2312" w:cs="仿宋_GB2312"/>
          <w:sz w:val="32"/>
          <w:szCs w:val="40"/>
          <w:lang w:eastAsia="zh-CN"/>
        </w:rPr>
        <w:t>：实施初中义务教育，促进基础教育发展</w:t>
      </w:r>
      <w:r>
        <w:rPr>
          <w:rFonts w:hint="eastAsia" w:ascii="仿宋_GB2312" w:hAnsi="仿宋_GB2312" w:eastAsia="仿宋_GB2312" w:cs="仿宋_GB2312"/>
          <w:sz w:val="32"/>
          <w:szCs w:val="40"/>
        </w:rPr>
        <w:t>。</w:t>
      </w:r>
    </w:p>
    <w:p>
      <w:pPr>
        <w:spacing w:line="580" w:lineRule="exact"/>
        <w:ind w:firstLine="640" w:firstLineChars="200"/>
        <w:outlineLvl w:val="1"/>
        <w:rPr>
          <w:rFonts w:ascii="仿宋_GB2312" w:hAnsi="仿宋_GB2312" w:eastAsia="仿宋_GB2312" w:cs="仿宋_GB2312"/>
          <w:sz w:val="32"/>
          <w:szCs w:val="40"/>
        </w:rPr>
      </w:pPr>
      <w:r>
        <w:rPr>
          <w:rFonts w:hint="eastAsia" w:ascii="仿宋_GB2312" w:hAnsi="仿宋_GB2312" w:eastAsia="仿宋_GB2312" w:cs="仿宋_GB2312"/>
          <w:sz w:val="32"/>
          <w:szCs w:val="40"/>
        </w:rPr>
        <w:t>（二）项目基本情况</w:t>
      </w:r>
      <w:bookmarkEnd w:id="22"/>
      <w:bookmarkEnd w:id="23"/>
      <w:bookmarkEnd w:id="24"/>
    </w:p>
    <w:p>
      <w:pPr>
        <w:spacing w:line="580" w:lineRule="exact"/>
        <w:ind w:firstLine="640" w:firstLineChars="200"/>
        <w:rPr>
          <w:rFonts w:hint="eastAsia" w:ascii="仿宋_GB2312" w:hAnsi="仿宋_GB2312" w:eastAsia="仿宋_GB2312" w:cs="仿宋_GB2312"/>
          <w:sz w:val="32"/>
          <w:szCs w:val="40"/>
          <w:lang w:val="en-US" w:eastAsia="zh-CN"/>
        </w:rPr>
      </w:pPr>
      <w:bookmarkStart w:id="25" w:name="_Toc27552"/>
      <w:bookmarkStart w:id="26" w:name="_Toc26594"/>
      <w:bookmarkStart w:id="27" w:name="_Toc32656"/>
      <w:bookmarkStart w:id="28" w:name="_Toc24191"/>
      <w:r>
        <w:rPr>
          <w:rFonts w:hint="eastAsia" w:ascii="仿宋_GB2312" w:hAnsi="仿宋_GB2312" w:eastAsia="仿宋_GB2312" w:cs="仿宋_GB2312"/>
          <w:sz w:val="32"/>
          <w:szCs w:val="40"/>
        </w:rPr>
        <w:t>项目资金数</w:t>
      </w:r>
      <w:r>
        <w:rPr>
          <w:rFonts w:hint="eastAsia" w:ascii="仿宋_GB2312" w:hAnsi="仿宋_GB2312" w:eastAsia="仿宋_GB2312" w:cs="仿宋_GB2312"/>
          <w:sz w:val="32"/>
          <w:szCs w:val="40"/>
          <w:lang w:eastAsia="zh-CN"/>
        </w:rPr>
        <w:t>：固城中学宿舍楼改造项目具体为：冀财教[2021]168号/下达2022年城乡义务教育省级补助资金/校舍安全保障/固城中学宿舍楼改造项目资金</w:t>
      </w:r>
      <w:r>
        <w:rPr>
          <w:rFonts w:hint="eastAsia" w:ascii="仿宋_GB2312" w:hAnsi="仿宋_GB2312" w:eastAsia="仿宋_GB2312" w:cs="仿宋_GB2312"/>
          <w:sz w:val="32"/>
          <w:szCs w:val="40"/>
          <w:lang w:val="en-US" w:eastAsia="zh-CN"/>
        </w:rPr>
        <w:t>1100000元。</w:t>
      </w:r>
    </w:p>
    <w:p>
      <w:pPr>
        <w:spacing w:line="580" w:lineRule="exact"/>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rPr>
        <w:t>具体项目数量</w:t>
      </w:r>
      <w:r>
        <w:rPr>
          <w:rFonts w:hint="eastAsia" w:ascii="仿宋_GB2312" w:hAnsi="仿宋_GB2312" w:eastAsia="仿宋_GB2312" w:cs="仿宋_GB2312"/>
          <w:sz w:val="32"/>
          <w:szCs w:val="40"/>
          <w:lang w:eastAsia="zh-CN"/>
        </w:rPr>
        <w:t>：固城中学宿舍楼改造项目数量为</w:t>
      </w:r>
      <w:r>
        <w:rPr>
          <w:rFonts w:hint="eastAsia" w:ascii="仿宋_GB2312" w:hAnsi="仿宋_GB2312" w:eastAsia="仿宋_GB2312" w:cs="仿宋_GB2312"/>
          <w:sz w:val="32"/>
          <w:szCs w:val="40"/>
          <w:lang w:val="en-US" w:eastAsia="zh-CN"/>
        </w:rPr>
        <w:t>1个。</w:t>
      </w:r>
    </w:p>
    <w:p>
      <w:pPr>
        <w:spacing w:line="580" w:lineRule="exact"/>
        <w:rPr>
          <w:rFonts w:ascii="仿宋_GB2312" w:hAnsi="仿宋_GB2312" w:eastAsia="仿宋_GB2312" w:cs="仿宋_GB2312"/>
          <w:sz w:val="32"/>
          <w:szCs w:val="40"/>
        </w:rPr>
      </w:pPr>
      <w:r>
        <w:rPr>
          <w:rFonts w:hint="eastAsia" w:ascii="仿宋_GB2312" w:hAnsi="仿宋_GB2312" w:eastAsia="仿宋_GB2312" w:cs="仿宋_GB2312"/>
          <w:sz w:val="32"/>
          <w:szCs w:val="40"/>
        </w:rPr>
        <w:t>工程量与支付资金情况</w:t>
      </w:r>
      <w:r>
        <w:rPr>
          <w:rFonts w:hint="eastAsia" w:ascii="仿宋_GB2312" w:hAnsi="仿宋_GB2312" w:eastAsia="仿宋_GB2312" w:cs="仿宋_GB2312"/>
          <w:sz w:val="32"/>
          <w:szCs w:val="40"/>
          <w:lang w:eastAsia="zh-CN"/>
        </w:rPr>
        <w:t>：</w:t>
      </w:r>
      <w:r>
        <w:rPr>
          <w:rFonts w:hint="eastAsia" w:ascii="仿宋_GB2312" w:hAnsi="仿宋_GB2312" w:eastAsia="仿宋_GB2312" w:cs="仿宋_GB2312"/>
          <w:sz w:val="32"/>
          <w:szCs w:val="32"/>
        </w:rPr>
        <w:t>项目实施周期为2022年</w:t>
      </w:r>
      <w:r>
        <w:rPr>
          <w:rFonts w:hint="eastAsia" w:ascii="仿宋_GB2312" w:hAnsi="仿宋_GB2312" w:eastAsia="仿宋_GB2312" w:cs="仿宋_GB2312"/>
          <w:sz w:val="32"/>
          <w:szCs w:val="32"/>
          <w:lang w:val="en-US" w:eastAsia="zh-CN"/>
        </w:rPr>
        <w:t>8月31日前</w:t>
      </w:r>
      <w:r>
        <w:rPr>
          <w:rFonts w:hint="eastAsia" w:ascii="仿宋_GB2312" w:hAnsi="仿宋_GB2312" w:eastAsia="仿宋_GB2312" w:cs="仿宋_GB2312"/>
          <w:sz w:val="32"/>
          <w:szCs w:val="32"/>
        </w:rPr>
        <w:t>，省级</w:t>
      </w:r>
      <w:r>
        <w:rPr>
          <w:rFonts w:hint="eastAsia" w:ascii="仿宋_GB2312" w:hAnsi="仿宋_GB2312" w:eastAsia="仿宋_GB2312" w:cs="仿宋_GB2312"/>
          <w:sz w:val="32"/>
          <w:szCs w:val="32"/>
          <w:lang w:eastAsia="zh-CN"/>
        </w:rPr>
        <w:t>补助资金</w:t>
      </w:r>
      <w:r>
        <w:rPr>
          <w:rFonts w:hint="eastAsia" w:ascii="仿宋_GB2312" w:hAnsi="仿宋_GB2312" w:eastAsia="仿宋_GB2312" w:cs="仿宋_GB2312"/>
          <w:sz w:val="32"/>
          <w:szCs w:val="32"/>
        </w:rPr>
        <w:t>预算安排资金支付支付</w:t>
      </w:r>
      <w:r>
        <w:rPr>
          <w:rFonts w:hint="eastAsia" w:ascii="仿宋_GB2312" w:hAnsi="仿宋_GB2312" w:eastAsia="仿宋_GB2312" w:cs="仿宋_GB2312"/>
          <w:sz w:val="32"/>
          <w:szCs w:val="32"/>
          <w:lang w:val="en-US" w:eastAsia="zh-CN"/>
        </w:rPr>
        <w:t>971820</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，资金支付率为</w:t>
      </w:r>
      <w:r>
        <w:rPr>
          <w:rFonts w:hint="eastAsia" w:ascii="仿宋_GB2312" w:hAnsi="仿宋_GB2312" w:eastAsia="仿宋_GB2312" w:cs="仿宋_GB2312"/>
          <w:sz w:val="32"/>
          <w:szCs w:val="32"/>
          <w:lang w:val="en-US" w:eastAsia="zh-CN"/>
        </w:rPr>
        <w:t>88.35%</w:t>
      </w:r>
      <w:r>
        <w:rPr>
          <w:rFonts w:hint="eastAsia" w:ascii="仿宋_GB2312" w:hAnsi="仿宋_GB2312" w:eastAsia="仿宋_GB2312" w:cs="仿宋_GB2312"/>
          <w:sz w:val="32"/>
          <w:szCs w:val="40"/>
        </w:rPr>
        <w:t>。</w:t>
      </w:r>
    </w:p>
    <w:bookmarkEnd w:id="25"/>
    <w:bookmarkEnd w:id="26"/>
    <w:bookmarkEnd w:id="27"/>
    <w:bookmarkEnd w:id="28"/>
    <w:p>
      <w:pPr>
        <w:spacing w:line="580" w:lineRule="exact"/>
        <w:ind w:firstLine="643" w:firstLineChars="200"/>
        <w:outlineLvl w:val="0"/>
        <w:rPr>
          <w:rFonts w:ascii="仿宋_GB2312" w:hAnsi="仿宋_GB2312" w:eastAsia="仿宋_GB2312" w:cs="仿宋_GB2312"/>
          <w:b/>
          <w:bCs/>
          <w:sz w:val="32"/>
          <w:szCs w:val="40"/>
        </w:rPr>
      </w:pPr>
      <w:bookmarkStart w:id="29" w:name="_Toc4859"/>
      <w:bookmarkStart w:id="30" w:name="_Toc6781"/>
      <w:bookmarkStart w:id="31" w:name="_Toc14644"/>
      <w:bookmarkStart w:id="32" w:name="_Toc18992"/>
      <w:bookmarkStart w:id="33" w:name="_Toc12860"/>
      <w:bookmarkStart w:id="34" w:name="_Toc28908"/>
      <w:bookmarkStart w:id="35" w:name="_Toc26109"/>
      <w:bookmarkStart w:id="36" w:name="_Toc2988"/>
      <w:bookmarkStart w:id="37" w:name="_Toc7839"/>
      <w:bookmarkStart w:id="38" w:name="_Toc17782"/>
      <w:r>
        <w:rPr>
          <w:rFonts w:hint="eastAsia" w:ascii="仿宋_GB2312" w:hAnsi="仿宋_GB2312" w:eastAsia="仿宋_GB2312" w:cs="仿宋_GB2312"/>
          <w:b/>
          <w:bCs/>
          <w:sz w:val="32"/>
          <w:szCs w:val="40"/>
        </w:rPr>
        <w:t>二、项目实施情况</w:t>
      </w:r>
      <w:bookmarkEnd w:id="29"/>
      <w:bookmarkEnd w:id="30"/>
      <w:bookmarkEnd w:id="31"/>
      <w:bookmarkEnd w:id="32"/>
      <w:bookmarkEnd w:id="33"/>
      <w:bookmarkEnd w:id="34"/>
      <w:bookmarkEnd w:id="35"/>
      <w:bookmarkEnd w:id="36"/>
      <w:bookmarkEnd w:id="37"/>
      <w:bookmarkEnd w:id="38"/>
    </w:p>
    <w:p>
      <w:pPr>
        <w:spacing w:line="580" w:lineRule="exact"/>
        <w:ind w:firstLine="640" w:firstLineChars="200"/>
        <w:rPr>
          <w:rFonts w:hint="eastAsia" w:ascii="仿宋_GB2312" w:hAnsi="仿宋_GB2312" w:eastAsia="仿宋_GB2312" w:cs="仿宋_GB2312"/>
          <w:sz w:val="32"/>
          <w:szCs w:val="40"/>
          <w:lang w:eastAsia="zh-CN"/>
        </w:rPr>
      </w:pPr>
      <w:bookmarkStart w:id="39" w:name="_Toc17067"/>
      <w:bookmarkStart w:id="40" w:name="_Toc17743"/>
      <w:bookmarkStart w:id="41" w:name="_Toc4138"/>
      <w:bookmarkStart w:id="42" w:name="_Toc11365"/>
      <w:bookmarkStart w:id="43" w:name="_Toc9227"/>
      <w:bookmarkStart w:id="44" w:name="_Toc22812"/>
      <w:bookmarkStart w:id="45" w:name="_Toc20844"/>
      <w:bookmarkStart w:id="46" w:name="_Toc31876"/>
      <w:bookmarkStart w:id="47" w:name="_Toc13114"/>
      <w:bookmarkStart w:id="48" w:name="_Toc10886"/>
      <w:r>
        <w:rPr>
          <w:rFonts w:hint="eastAsia" w:ascii="仿宋_GB2312" w:hAnsi="仿宋_GB2312" w:eastAsia="仿宋_GB2312" w:cs="仿宋_GB2312"/>
          <w:sz w:val="32"/>
          <w:szCs w:val="40"/>
        </w:rPr>
        <w:t>项目具体实施情况</w:t>
      </w:r>
      <w:r>
        <w:rPr>
          <w:rFonts w:hint="eastAsia" w:ascii="仿宋_GB2312" w:hAnsi="仿宋_GB2312" w:eastAsia="仿宋_GB2312" w:cs="仿宋_GB2312"/>
          <w:sz w:val="32"/>
          <w:szCs w:val="40"/>
          <w:lang w:eastAsia="zh-CN"/>
        </w:rPr>
        <w:t>：按照相关规定，我校宿舍楼改造项目严格按照政府采购要求进行，前期按照要求通过隆尧县限额系统发布了招标代理和预算编制的公告，在限额系统中确定了招标代理公司为：河北顺元招标代理有限公司。预算编制公司为：河北兴土顺工程咨询有限公司。按照政府采购相关要求，通过政府招投标平台系统，于</w:t>
      </w:r>
      <w:r>
        <w:rPr>
          <w:rFonts w:hint="eastAsia" w:ascii="仿宋_GB2312" w:hAnsi="仿宋_GB2312" w:eastAsia="仿宋_GB2312" w:cs="仿宋_GB2312"/>
          <w:sz w:val="32"/>
          <w:szCs w:val="40"/>
          <w:lang w:val="en-US" w:eastAsia="zh-CN"/>
        </w:rPr>
        <w:t>2022年7月22日</w:t>
      </w:r>
      <w:r>
        <w:rPr>
          <w:rFonts w:hint="eastAsia" w:ascii="仿宋_GB2312" w:hAnsi="仿宋_GB2312" w:eastAsia="仿宋_GB2312" w:cs="仿宋_GB2312"/>
          <w:sz w:val="32"/>
          <w:szCs w:val="40"/>
          <w:lang w:eastAsia="zh-CN"/>
        </w:rPr>
        <w:t>最终确定树远建设有限责任公司为供应商。</w:t>
      </w:r>
    </w:p>
    <w:p>
      <w:pPr>
        <w:spacing w:line="580" w:lineRule="exact"/>
        <w:ind w:firstLine="640" w:firstLineChars="200"/>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财务管理情况</w:t>
      </w:r>
      <w:bookmarkEnd w:id="39"/>
      <w:bookmarkEnd w:id="40"/>
      <w:bookmarkEnd w:id="41"/>
      <w:bookmarkEnd w:id="42"/>
      <w:bookmarkEnd w:id="43"/>
      <w:bookmarkEnd w:id="44"/>
      <w:bookmarkEnd w:id="45"/>
      <w:bookmarkEnd w:id="46"/>
      <w:bookmarkEnd w:id="47"/>
      <w:bookmarkEnd w:id="48"/>
      <w:r>
        <w:rPr>
          <w:rFonts w:hint="eastAsia" w:ascii="仿宋_GB2312" w:hAnsi="仿宋_GB2312" w:eastAsia="仿宋_GB2312" w:cs="仿宋_GB2312"/>
          <w:sz w:val="32"/>
          <w:szCs w:val="40"/>
          <w:lang w:val="en-US" w:eastAsia="zh-CN"/>
        </w:rPr>
        <w:t>：我校按照财政局、教育局要求健全财务管理制度，对项目资金的使用，严格按照财务管理制度规范、安全运行。学校成立了以温三振校长为组长，马京坤校长为副组长，学校中层领导为成员的项目资金领导小组，对项目资金进行全过程监督管理，积极与施工方进行沟通协调，在保证工程质量的前提下，高标准的完成宿舍楼改造工程。按照合同要求并结合施工具体情况和教育局验收小组的验收，报教育局同意，取得合法票据，组织报销手续，按照审批流程完成审批与资金拨付，项目资金到位后，及时、严格按照程序进行支付。</w:t>
      </w:r>
    </w:p>
    <w:p>
      <w:pPr>
        <w:spacing w:line="580" w:lineRule="exact"/>
        <w:rPr>
          <w:rFonts w:hint="eastAsia" w:ascii="仿宋_GB2312" w:hAnsi="仿宋_GB2312" w:eastAsia="仿宋_GB2312" w:cs="仿宋_GB2312"/>
          <w:sz w:val="32"/>
          <w:szCs w:val="40"/>
          <w:lang w:eastAsia="zh-CN"/>
        </w:rPr>
      </w:pPr>
    </w:p>
    <w:p>
      <w:pPr>
        <w:spacing w:line="580" w:lineRule="exact"/>
        <w:ind w:firstLine="643" w:firstLineChars="200"/>
        <w:outlineLvl w:val="0"/>
        <w:rPr>
          <w:rFonts w:ascii="仿宋_GB2312" w:hAnsi="仿宋_GB2312" w:eastAsia="仿宋_GB2312" w:cs="仿宋_GB2312"/>
          <w:b/>
          <w:bCs/>
          <w:sz w:val="32"/>
          <w:szCs w:val="40"/>
        </w:rPr>
      </w:pPr>
      <w:bookmarkStart w:id="49" w:name="_Toc5215"/>
      <w:bookmarkStart w:id="50" w:name="_Toc5317"/>
      <w:bookmarkStart w:id="51" w:name="_Toc29800"/>
      <w:bookmarkStart w:id="52" w:name="_Toc18915"/>
      <w:bookmarkStart w:id="53" w:name="_Toc26855"/>
      <w:bookmarkStart w:id="54" w:name="_Toc6451"/>
      <w:bookmarkStart w:id="55" w:name="_Toc20904"/>
      <w:bookmarkStart w:id="56" w:name="_Toc12150"/>
      <w:bookmarkStart w:id="57" w:name="_Toc10651"/>
      <w:bookmarkStart w:id="58" w:name="_Toc21501"/>
      <w:r>
        <w:rPr>
          <w:rFonts w:hint="eastAsia" w:ascii="仿宋_GB2312" w:hAnsi="仿宋_GB2312" w:eastAsia="仿宋_GB2312" w:cs="仿宋_GB2312"/>
          <w:b/>
          <w:bCs/>
          <w:sz w:val="32"/>
          <w:szCs w:val="40"/>
        </w:rPr>
        <w:t>三、绩效评价工作情况</w:t>
      </w:r>
      <w:bookmarkEnd w:id="49"/>
      <w:bookmarkEnd w:id="50"/>
      <w:bookmarkEnd w:id="51"/>
      <w:bookmarkEnd w:id="52"/>
      <w:bookmarkEnd w:id="53"/>
      <w:bookmarkEnd w:id="54"/>
      <w:bookmarkEnd w:id="55"/>
      <w:bookmarkEnd w:id="56"/>
      <w:bookmarkEnd w:id="57"/>
      <w:bookmarkEnd w:id="58"/>
    </w:p>
    <w:p>
      <w:pPr>
        <w:spacing w:line="580" w:lineRule="exact"/>
        <w:ind w:firstLine="640" w:firstLineChars="200"/>
        <w:outlineLvl w:val="1"/>
        <w:rPr>
          <w:rFonts w:hint="eastAsia" w:ascii="仿宋_GB2312" w:hAnsi="仿宋_GB2312" w:eastAsia="仿宋_GB2312" w:cs="仿宋_GB2312"/>
          <w:sz w:val="32"/>
          <w:szCs w:val="40"/>
        </w:rPr>
      </w:pPr>
      <w:bookmarkStart w:id="59" w:name="_Toc14742"/>
      <w:bookmarkStart w:id="60" w:name="_Toc22771"/>
      <w:bookmarkStart w:id="61" w:name="_Toc7570"/>
      <w:bookmarkStart w:id="62" w:name="_Toc5105"/>
      <w:bookmarkStart w:id="63" w:name="_Toc17355"/>
      <w:bookmarkStart w:id="64" w:name="_Toc15730"/>
      <w:bookmarkStart w:id="65" w:name="_Toc4056"/>
      <w:bookmarkStart w:id="66" w:name="_Toc25600"/>
      <w:bookmarkStart w:id="67" w:name="_Toc8077"/>
      <w:bookmarkStart w:id="68" w:name="_Toc23608"/>
      <w:r>
        <w:rPr>
          <w:rFonts w:hint="eastAsia" w:ascii="仿宋_GB2312" w:hAnsi="仿宋_GB2312" w:eastAsia="仿宋_GB2312" w:cs="仿宋_GB2312"/>
          <w:sz w:val="32"/>
          <w:szCs w:val="40"/>
        </w:rPr>
        <w:t>（一）评价目的</w:t>
      </w:r>
      <w:bookmarkEnd w:id="59"/>
      <w:bookmarkEnd w:id="60"/>
      <w:bookmarkEnd w:id="61"/>
      <w:bookmarkEnd w:id="62"/>
      <w:bookmarkEnd w:id="63"/>
      <w:bookmarkEnd w:id="64"/>
      <w:bookmarkEnd w:id="65"/>
      <w:bookmarkEnd w:id="66"/>
      <w:bookmarkEnd w:id="67"/>
      <w:bookmarkEnd w:id="68"/>
    </w:p>
    <w:p>
      <w:pPr>
        <w:spacing w:line="580" w:lineRule="exact"/>
        <w:ind w:firstLine="640" w:firstLineChars="200"/>
        <w:jc w:val="left"/>
        <w:rPr>
          <w:rFonts w:ascii="仿宋_GB2312" w:eastAsia="仿宋_GB2312"/>
          <w:sz w:val="32"/>
          <w:szCs w:val="32"/>
        </w:rPr>
      </w:pPr>
      <w:r>
        <w:rPr>
          <w:rFonts w:hint="eastAsia" w:ascii="仿宋_GB2312" w:eastAsia="仿宋_GB2312"/>
          <w:sz w:val="32"/>
          <w:szCs w:val="32"/>
        </w:rPr>
        <w:t>通过对</w:t>
      </w:r>
      <w:r>
        <w:rPr>
          <w:rFonts w:hint="eastAsia" w:ascii="仿宋_GB2312" w:eastAsia="仿宋_GB2312"/>
          <w:sz w:val="32"/>
          <w:szCs w:val="32"/>
          <w:lang w:eastAsia="zh-CN"/>
        </w:rPr>
        <w:t>固城中学宿舍楼改造</w:t>
      </w:r>
      <w:r>
        <w:rPr>
          <w:rFonts w:hint="eastAsia" w:ascii="仿宋_GB2312" w:eastAsia="仿宋_GB2312"/>
          <w:sz w:val="32"/>
          <w:szCs w:val="32"/>
        </w:rPr>
        <w:t>项目资金进行绩效评价，了解和掌握项目的决策情况、具体实施情况、采取的工作措施等，提出加项目资金支出管理建议，促进财政资金使用绩效。</w:t>
      </w:r>
    </w:p>
    <w:p>
      <w:pPr>
        <w:spacing w:line="580" w:lineRule="exact"/>
        <w:ind w:firstLine="640" w:firstLineChars="200"/>
        <w:jc w:val="left"/>
      </w:pPr>
      <w:r>
        <w:rPr>
          <w:rFonts w:hint="eastAsia" w:ascii="仿宋_GB2312" w:eastAsia="仿宋_GB2312"/>
          <w:sz w:val="32"/>
          <w:szCs w:val="32"/>
        </w:rPr>
        <w:t>促使项目单位根据绩效评价中发现的问题，认真整改，及时调整和完善单位工作计划和绩效目标并加强项目管理，同时为项目后续资金投入、分配和管理提供决策依据。</w:t>
      </w:r>
    </w:p>
    <w:p>
      <w:pPr>
        <w:pStyle w:val="2"/>
      </w:pPr>
    </w:p>
    <w:p>
      <w:pPr>
        <w:numPr>
          <w:ilvl w:val="0"/>
          <w:numId w:val="1"/>
        </w:numPr>
        <w:spacing w:line="580" w:lineRule="exact"/>
        <w:ind w:firstLine="640" w:firstLineChars="200"/>
        <w:outlineLvl w:val="1"/>
        <w:rPr>
          <w:rFonts w:hint="eastAsia" w:ascii="仿宋_GB2312" w:hAnsi="仿宋_GB2312" w:eastAsia="仿宋_GB2312" w:cs="仿宋_GB2312"/>
          <w:sz w:val="32"/>
          <w:szCs w:val="40"/>
        </w:rPr>
      </w:pPr>
      <w:bookmarkStart w:id="69" w:name="_Toc22727"/>
      <w:bookmarkStart w:id="70" w:name="_Toc16971"/>
      <w:bookmarkStart w:id="71" w:name="_Toc27199"/>
      <w:bookmarkStart w:id="72" w:name="_Toc16121"/>
      <w:bookmarkStart w:id="73" w:name="_Toc25746"/>
      <w:bookmarkStart w:id="74" w:name="_Toc27346"/>
      <w:bookmarkStart w:id="75" w:name="_Toc18502"/>
      <w:bookmarkStart w:id="76" w:name="_Toc8288"/>
      <w:bookmarkStart w:id="77" w:name="_Toc3910"/>
      <w:bookmarkStart w:id="78" w:name="_Toc30351"/>
      <w:r>
        <w:rPr>
          <w:rFonts w:hint="eastAsia" w:ascii="仿宋_GB2312" w:hAnsi="仿宋_GB2312" w:eastAsia="仿宋_GB2312" w:cs="仿宋_GB2312"/>
          <w:sz w:val="32"/>
          <w:szCs w:val="40"/>
        </w:rPr>
        <w:t>评价指标</w:t>
      </w:r>
      <w:bookmarkEnd w:id="69"/>
      <w:bookmarkEnd w:id="70"/>
      <w:bookmarkEnd w:id="71"/>
      <w:bookmarkEnd w:id="72"/>
      <w:bookmarkEnd w:id="73"/>
      <w:bookmarkEnd w:id="74"/>
      <w:bookmarkEnd w:id="75"/>
      <w:bookmarkEnd w:id="76"/>
      <w:bookmarkEnd w:id="77"/>
      <w:bookmarkEnd w:id="78"/>
    </w:p>
    <w:p>
      <w:pPr>
        <w:pStyle w:val="2"/>
        <w:ind w:firstLine="640"/>
        <w:rPr>
          <w:rFonts w:ascii="仿宋_GB2312" w:hAnsi="Calibri" w:eastAsia="仿宋_GB2312"/>
          <w:sz w:val="32"/>
          <w:szCs w:val="32"/>
        </w:rPr>
      </w:pPr>
      <w:r>
        <w:rPr>
          <w:rFonts w:hint="eastAsia" w:ascii="仿宋_GB2312" w:hAnsi="Calibri" w:eastAsia="仿宋_GB2312"/>
          <w:color w:val="auto"/>
          <w:sz w:val="32"/>
          <w:szCs w:val="32"/>
        </w:rPr>
        <w:t>设定</w:t>
      </w:r>
      <w:r>
        <w:rPr>
          <w:rFonts w:hint="eastAsia" w:ascii="仿宋_GB2312" w:hAnsi="Calibri" w:eastAsia="仿宋_GB2312"/>
          <w:color w:val="auto"/>
          <w:sz w:val="32"/>
          <w:szCs w:val="32"/>
          <w:lang w:eastAsia="zh-CN"/>
        </w:rPr>
        <w:t>固城中学宿舍楼改造</w:t>
      </w:r>
      <w:r>
        <w:rPr>
          <w:rFonts w:hint="eastAsia" w:ascii="仿宋_GB2312" w:hAnsi="Calibri" w:eastAsia="仿宋_GB2312"/>
          <w:color w:val="auto"/>
          <w:sz w:val="32"/>
          <w:szCs w:val="32"/>
        </w:rPr>
        <w:t>项目重点绩效评价指标表，如下表。</w:t>
      </w:r>
    </w:p>
    <w:p>
      <w:pPr>
        <w:numPr>
          <w:ilvl w:val="0"/>
          <w:numId w:val="1"/>
        </w:numPr>
        <w:spacing w:line="580" w:lineRule="exact"/>
        <w:ind w:left="0" w:leftChars="0" w:firstLine="640" w:firstLineChars="200"/>
        <w:outlineLvl w:val="1"/>
        <w:rPr>
          <w:rFonts w:hint="eastAsia" w:ascii="仿宋_GB2312" w:hAnsi="仿宋_GB2312" w:eastAsia="仿宋_GB2312" w:cs="仿宋_GB2312"/>
          <w:sz w:val="32"/>
          <w:szCs w:val="40"/>
        </w:rPr>
      </w:pPr>
      <w:bookmarkStart w:id="79" w:name="_Toc5304"/>
      <w:bookmarkStart w:id="80" w:name="_Toc32306"/>
      <w:bookmarkStart w:id="81" w:name="_Toc23270"/>
      <w:bookmarkStart w:id="82" w:name="_Toc25343"/>
      <w:bookmarkStart w:id="83" w:name="_Toc5587"/>
      <w:bookmarkStart w:id="84" w:name="_Toc12572"/>
      <w:bookmarkStart w:id="85" w:name="_Toc19154"/>
      <w:bookmarkStart w:id="86" w:name="_Toc11684"/>
      <w:bookmarkStart w:id="87" w:name="_Toc32241"/>
      <w:bookmarkStart w:id="88" w:name="_Toc19068"/>
      <w:r>
        <w:rPr>
          <w:rFonts w:hint="eastAsia" w:ascii="仿宋_GB2312" w:hAnsi="仿宋_GB2312" w:eastAsia="仿宋_GB2312" w:cs="仿宋_GB2312"/>
          <w:sz w:val="32"/>
          <w:szCs w:val="40"/>
        </w:rPr>
        <w:t>评价依据</w:t>
      </w:r>
      <w:bookmarkEnd w:id="79"/>
      <w:bookmarkEnd w:id="80"/>
      <w:bookmarkEnd w:id="81"/>
      <w:bookmarkEnd w:id="82"/>
      <w:bookmarkEnd w:id="83"/>
      <w:bookmarkEnd w:id="84"/>
      <w:bookmarkEnd w:id="85"/>
      <w:bookmarkEnd w:id="86"/>
      <w:bookmarkEnd w:id="87"/>
      <w:bookmarkEnd w:id="88"/>
    </w:p>
    <w:p>
      <w:pPr>
        <w:spacing w:line="580" w:lineRule="exact"/>
        <w:ind w:firstLine="640" w:firstLineChars="200"/>
        <w:jc w:val="left"/>
        <w:rPr>
          <w:rFonts w:ascii="仿宋_GB2312" w:eastAsia="仿宋_GB2312"/>
          <w:sz w:val="32"/>
          <w:szCs w:val="32"/>
        </w:rPr>
      </w:pPr>
      <w:r>
        <w:rPr>
          <w:rFonts w:hint="eastAsia" w:ascii="仿宋_GB2312" w:eastAsia="仿宋_GB2312"/>
          <w:sz w:val="32"/>
          <w:szCs w:val="32"/>
        </w:rPr>
        <w:t>1.《中华人民共和国预算法》</w:t>
      </w:r>
    </w:p>
    <w:p>
      <w:pPr>
        <w:spacing w:line="580" w:lineRule="exact"/>
        <w:ind w:firstLine="640" w:firstLineChars="200"/>
        <w:jc w:val="left"/>
        <w:rPr>
          <w:rFonts w:ascii="仿宋_GB2312" w:eastAsia="仿宋_GB2312"/>
          <w:sz w:val="32"/>
          <w:szCs w:val="32"/>
        </w:rPr>
      </w:pPr>
      <w:r>
        <w:rPr>
          <w:rFonts w:hint="eastAsia" w:ascii="仿宋_GB2312" w:eastAsia="仿宋_GB2312"/>
          <w:sz w:val="32"/>
          <w:szCs w:val="32"/>
        </w:rPr>
        <w:t>2.《中华人民共和国会计法》</w:t>
      </w:r>
    </w:p>
    <w:p>
      <w:pPr>
        <w:spacing w:line="580" w:lineRule="exact"/>
        <w:ind w:firstLine="640" w:firstLineChars="200"/>
        <w:jc w:val="left"/>
        <w:rPr>
          <w:rFonts w:ascii="仿宋_GB2312" w:eastAsia="仿宋_GB2312"/>
          <w:sz w:val="32"/>
          <w:szCs w:val="32"/>
        </w:rPr>
      </w:pPr>
      <w:r>
        <w:rPr>
          <w:rFonts w:hint="eastAsia" w:ascii="仿宋_GB2312" w:eastAsia="仿宋_GB2312"/>
          <w:sz w:val="32"/>
          <w:szCs w:val="32"/>
        </w:rPr>
        <w:t>3.《中华人民共和国教育法》</w:t>
      </w:r>
    </w:p>
    <w:p>
      <w:pPr>
        <w:widowControl/>
        <w:spacing w:line="580" w:lineRule="exact"/>
        <w:ind w:firstLine="640" w:firstLineChars="200"/>
        <w:rPr>
          <w:rFonts w:ascii="仿宋_GB2312" w:hAnsi="宋体" w:eastAsia="仿宋_GB2312"/>
          <w:kern w:val="0"/>
          <w:sz w:val="32"/>
          <w:szCs w:val="32"/>
        </w:rPr>
      </w:pPr>
      <w:r>
        <w:rPr>
          <w:rFonts w:hint="eastAsia" w:ascii="仿宋_GB2312" w:hAnsi="宋体" w:eastAsia="仿宋_GB2312" w:cs="仿宋_GB2312"/>
          <w:color w:val="000000"/>
          <w:kern w:val="0"/>
          <w:sz w:val="32"/>
          <w:szCs w:val="32"/>
        </w:rPr>
        <w:t>4.《财政检查工作办法》（财政部令〔</w:t>
      </w:r>
      <w:r>
        <w:rPr>
          <w:rFonts w:ascii="仿宋_GB2312" w:hAnsi="宋体" w:eastAsia="仿宋_GB2312" w:cs="仿宋_GB2312"/>
          <w:color w:val="000000"/>
          <w:kern w:val="0"/>
          <w:sz w:val="32"/>
          <w:szCs w:val="32"/>
        </w:rPr>
        <w:t>2006</w:t>
      </w:r>
      <w:r>
        <w:rPr>
          <w:rFonts w:hint="eastAsia" w:ascii="仿宋_GB2312" w:hAnsi="宋体" w:eastAsia="仿宋_GB2312" w:cs="仿宋_GB2312"/>
          <w:color w:val="000000"/>
          <w:kern w:val="0"/>
          <w:sz w:val="32"/>
          <w:szCs w:val="32"/>
        </w:rPr>
        <w:t>〕</w:t>
      </w:r>
      <w:r>
        <w:rPr>
          <w:rFonts w:ascii="仿宋_GB2312" w:hAnsi="宋体" w:eastAsia="仿宋_GB2312" w:cs="仿宋_GB2312"/>
          <w:color w:val="000000"/>
          <w:kern w:val="0"/>
          <w:sz w:val="32"/>
          <w:szCs w:val="32"/>
        </w:rPr>
        <w:t>32</w:t>
      </w:r>
      <w:r>
        <w:rPr>
          <w:rFonts w:hint="eastAsia" w:ascii="仿宋_GB2312" w:hAnsi="宋体" w:eastAsia="仿宋_GB2312" w:cs="仿宋_GB2312"/>
          <w:color w:val="000000"/>
          <w:kern w:val="0"/>
          <w:sz w:val="32"/>
          <w:szCs w:val="32"/>
        </w:rPr>
        <w:t>号）</w:t>
      </w:r>
    </w:p>
    <w:p>
      <w:pPr>
        <w:spacing w:line="580" w:lineRule="exact"/>
        <w:ind w:firstLine="640" w:firstLineChars="200"/>
        <w:rPr>
          <w:rFonts w:ascii="仿宋_GB2312" w:hAnsi="宋体" w:eastAsia="仿宋_GB2312" w:cs="宋体"/>
          <w:sz w:val="32"/>
          <w:szCs w:val="32"/>
          <w:lang w:val="zh-CN"/>
        </w:rPr>
      </w:pPr>
      <w:r>
        <w:rPr>
          <w:rFonts w:hint="eastAsia" w:ascii="仿宋_GB2312" w:hAnsi="宋体" w:eastAsia="仿宋_GB2312" w:cs="宋体"/>
          <w:sz w:val="32"/>
          <w:szCs w:val="32"/>
        </w:rPr>
        <w:t>5.</w:t>
      </w:r>
      <w:r>
        <w:rPr>
          <w:rFonts w:hint="eastAsia" w:ascii="仿宋_GB2312" w:hAnsi="宋体" w:eastAsia="仿宋_GB2312" w:cs="宋体"/>
          <w:sz w:val="32"/>
          <w:szCs w:val="32"/>
          <w:lang w:val="zh-CN"/>
        </w:rPr>
        <w:t>《</w:t>
      </w:r>
      <w:r>
        <w:rPr>
          <w:rFonts w:hint="eastAsia" w:ascii="仿宋_GB2312" w:hAnsi="宋体" w:eastAsia="仿宋_GB2312" w:cs="宋体"/>
          <w:sz w:val="32"/>
          <w:szCs w:val="32"/>
        </w:rPr>
        <w:t>财政部关于印发</w:t>
      </w:r>
      <w:r>
        <w:rPr>
          <w:rFonts w:ascii="仿宋_GB2312" w:hAnsi="宋体" w:eastAsia="仿宋_GB2312" w:cs="宋体"/>
          <w:sz w:val="32"/>
          <w:szCs w:val="32"/>
        </w:rPr>
        <w:t>&lt;</w:t>
      </w:r>
      <w:r>
        <w:rPr>
          <w:rFonts w:hint="eastAsia" w:ascii="仿宋_GB2312" w:hAnsi="宋体" w:eastAsia="仿宋_GB2312" w:cs="宋体"/>
          <w:sz w:val="32"/>
          <w:szCs w:val="32"/>
        </w:rPr>
        <w:t>项目支出绩效评价管理办法</w:t>
      </w:r>
      <w:r>
        <w:rPr>
          <w:rFonts w:ascii="仿宋_GB2312" w:hAnsi="宋体" w:eastAsia="仿宋_GB2312" w:cs="宋体"/>
          <w:sz w:val="32"/>
          <w:szCs w:val="32"/>
        </w:rPr>
        <w:t>&gt;</w:t>
      </w:r>
      <w:r>
        <w:rPr>
          <w:rFonts w:hint="eastAsia" w:ascii="仿宋_GB2312" w:hAnsi="宋体" w:eastAsia="仿宋_GB2312" w:cs="宋体"/>
          <w:sz w:val="32"/>
          <w:szCs w:val="32"/>
        </w:rPr>
        <w:t>的通知</w:t>
      </w:r>
      <w:r>
        <w:rPr>
          <w:rFonts w:hint="eastAsia" w:ascii="仿宋_GB2312" w:hAnsi="宋体" w:eastAsia="仿宋_GB2312" w:cs="宋体"/>
          <w:sz w:val="32"/>
          <w:szCs w:val="32"/>
          <w:lang w:val="zh-CN"/>
        </w:rPr>
        <w:t>》（</w:t>
      </w:r>
      <w:r>
        <w:rPr>
          <w:rFonts w:hint="eastAsia" w:ascii="仿宋_GB2312" w:hAnsi="宋体" w:eastAsia="仿宋_GB2312" w:cs="宋体"/>
          <w:sz w:val="32"/>
          <w:szCs w:val="32"/>
        </w:rPr>
        <w:t>财预</w:t>
      </w:r>
      <w:r>
        <w:rPr>
          <w:rFonts w:hint="eastAsia" w:ascii="仿宋_GB2312" w:hAnsi="仿宋_GB2312" w:eastAsia="仿宋_GB2312" w:cs="仿宋_GB2312"/>
          <w:sz w:val="32"/>
          <w:szCs w:val="32"/>
          <w:lang w:val="zh-CN"/>
        </w:rPr>
        <w:t>〔</w:t>
      </w:r>
      <w:r>
        <w:rPr>
          <w:rFonts w:ascii="仿宋_GB2312" w:hAnsi="宋体" w:eastAsia="仿宋_GB2312" w:cs="宋体"/>
          <w:sz w:val="32"/>
          <w:szCs w:val="32"/>
          <w:lang w:val="zh-CN"/>
        </w:rPr>
        <w:t>20</w:t>
      </w:r>
      <w:r>
        <w:rPr>
          <w:rFonts w:ascii="仿宋_GB2312" w:hAnsi="宋体" w:eastAsia="仿宋_GB2312" w:cs="宋体"/>
          <w:sz w:val="32"/>
          <w:szCs w:val="32"/>
        </w:rPr>
        <w:t>20</w:t>
      </w:r>
      <w:r>
        <w:rPr>
          <w:rFonts w:hint="eastAsia" w:ascii="仿宋_GB2312" w:hAnsi="仿宋_GB2312" w:eastAsia="仿宋_GB2312" w:cs="仿宋_GB2312"/>
          <w:sz w:val="32"/>
          <w:szCs w:val="32"/>
          <w:lang w:val="zh-CN"/>
        </w:rPr>
        <w:t>〕</w:t>
      </w:r>
      <w:r>
        <w:rPr>
          <w:rFonts w:ascii="仿宋_GB2312" w:hAnsi="宋体" w:eastAsia="仿宋_GB2312" w:cs="宋体"/>
          <w:sz w:val="32"/>
          <w:szCs w:val="32"/>
        </w:rPr>
        <w:t>10</w:t>
      </w:r>
      <w:r>
        <w:rPr>
          <w:rFonts w:hint="eastAsia" w:ascii="仿宋_GB2312" w:hAnsi="宋体" w:eastAsia="仿宋_GB2312" w:cs="宋体"/>
          <w:sz w:val="32"/>
          <w:szCs w:val="32"/>
          <w:lang w:val="zh-CN"/>
        </w:rPr>
        <w:t>号）</w:t>
      </w:r>
    </w:p>
    <w:p>
      <w:pPr>
        <w:spacing w:line="580" w:lineRule="exact"/>
        <w:ind w:firstLine="640" w:firstLineChars="200"/>
        <w:jc w:val="left"/>
        <w:rPr>
          <w:rFonts w:ascii="仿宋_GB2312" w:eastAsia="仿宋_GB2312"/>
          <w:sz w:val="32"/>
          <w:szCs w:val="32"/>
        </w:rPr>
      </w:pPr>
      <w:r>
        <w:rPr>
          <w:rFonts w:hint="eastAsia" w:ascii="仿宋_GB2312" w:hAnsi="宋体" w:eastAsia="仿宋_GB2312" w:cs="仿宋_GB2312"/>
          <w:kern w:val="0"/>
          <w:sz w:val="32"/>
          <w:szCs w:val="32"/>
        </w:rPr>
        <w:t>6.《中共隆尧县委 隆尧县人民政府关于全面落实预算绩效管理的实施意见》（隆</w:t>
      </w:r>
      <w:r>
        <w:rPr>
          <w:rFonts w:hint="eastAsia" w:ascii="仿宋_GB2312" w:eastAsia="仿宋_GB2312" w:cs="仿宋_GB2312"/>
          <w:color w:val="000000"/>
          <w:sz w:val="32"/>
          <w:szCs w:val="32"/>
          <w:lang w:val="zh-CN"/>
        </w:rPr>
        <w:t>发</w:t>
      </w:r>
      <w:r>
        <w:rPr>
          <w:rFonts w:hint="eastAsia" w:ascii="仿宋_GB2312" w:eastAsia="仿宋_GB2312" w:cs="仿宋_GB2312"/>
          <w:sz w:val="32"/>
          <w:szCs w:val="32"/>
          <w:lang w:val="zh-CN"/>
        </w:rPr>
        <w:t>〔</w:t>
      </w:r>
      <w:r>
        <w:rPr>
          <w:rFonts w:ascii="仿宋_GB2312" w:eastAsia="仿宋_GB2312" w:cs="仿宋_GB2312"/>
          <w:sz w:val="32"/>
          <w:szCs w:val="32"/>
          <w:lang w:val="zh-CN"/>
        </w:rPr>
        <w:t>2019</w:t>
      </w:r>
      <w:r>
        <w:rPr>
          <w:rFonts w:hint="eastAsia" w:ascii="仿宋_GB2312" w:eastAsia="仿宋_GB2312" w:cs="仿宋_GB2312"/>
          <w:sz w:val="32"/>
          <w:szCs w:val="32"/>
          <w:lang w:val="zh-CN"/>
        </w:rPr>
        <w:t>〕</w:t>
      </w:r>
      <w:r>
        <w:rPr>
          <w:rFonts w:ascii="仿宋_GB2312" w:eastAsia="仿宋_GB2312" w:cs="仿宋_GB2312"/>
          <w:color w:val="000000"/>
          <w:sz w:val="32"/>
          <w:szCs w:val="32"/>
          <w:lang w:val="zh-CN"/>
        </w:rPr>
        <w:t>1</w:t>
      </w:r>
      <w:r>
        <w:rPr>
          <w:rFonts w:hint="eastAsia" w:ascii="仿宋_GB2312" w:eastAsia="仿宋_GB2312" w:cs="仿宋_GB2312"/>
          <w:color w:val="000000"/>
          <w:sz w:val="32"/>
          <w:szCs w:val="32"/>
          <w:lang w:val="zh-CN"/>
        </w:rPr>
        <w:t>5号）</w:t>
      </w:r>
    </w:p>
    <w:p>
      <w:pPr>
        <w:widowControl/>
        <w:spacing w:line="580" w:lineRule="exact"/>
        <w:ind w:firstLine="640" w:firstLineChars="200"/>
      </w:pPr>
      <w:r>
        <w:rPr>
          <w:rFonts w:hint="eastAsia" w:ascii="仿宋_GB2312" w:eastAsia="仿宋_GB2312" w:cs="仿宋_GB2312"/>
          <w:color w:val="000000"/>
          <w:sz w:val="32"/>
          <w:szCs w:val="32"/>
        </w:rPr>
        <w:t>7.</w:t>
      </w:r>
      <w:r>
        <w:rPr>
          <w:rFonts w:hint="eastAsia" w:ascii="仿宋_GB2312" w:eastAsia="仿宋_GB2312" w:cs="仿宋_GB2312"/>
          <w:color w:val="000000"/>
          <w:sz w:val="32"/>
          <w:szCs w:val="32"/>
          <w:lang w:val="zh-CN"/>
        </w:rPr>
        <w:t>《隆尧县县级预算绩效重点评价管理办法》（隆财</w:t>
      </w:r>
      <w:r>
        <w:rPr>
          <w:rFonts w:hint="eastAsia" w:ascii="仿宋_GB2312" w:eastAsia="仿宋_GB2312" w:cs="仿宋_GB2312"/>
          <w:sz w:val="32"/>
          <w:szCs w:val="32"/>
          <w:lang w:val="zh-CN"/>
        </w:rPr>
        <w:t>〔</w:t>
      </w:r>
      <w:r>
        <w:rPr>
          <w:rFonts w:ascii="仿宋_GB2312" w:eastAsia="仿宋_GB2312" w:cs="仿宋_GB2312"/>
          <w:sz w:val="32"/>
          <w:szCs w:val="32"/>
          <w:lang w:val="zh-CN"/>
        </w:rPr>
        <w:t>20</w:t>
      </w:r>
      <w:r>
        <w:rPr>
          <w:rFonts w:hint="eastAsia" w:ascii="仿宋_GB2312" w:eastAsia="仿宋_GB2312" w:cs="仿宋_GB2312"/>
          <w:sz w:val="32"/>
          <w:szCs w:val="32"/>
          <w:lang w:val="zh-CN"/>
        </w:rPr>
        <w:t>20〕</w:t>
      </w:r>
      <w:r>
        <w:rPr>
          <w:rFonts w:ascii="仿宋_GB2312" w:eastAsia="仿宋_GB2312" w:cs="仿宋_GB2312"/>
          <w:color w:val="000000"/>
          <w:sz w:val="32"/>
          <w:szCs w:val="32"/>
          <w:lang w:val="zh-CN"/>
        </w:rPr>
        <w:t>1</w:t>
      </w:r>
      <w:r>
        <w:rPr>
          <w:rFonts w:hint="eastAsia" w:ascii="仿宋_GB2312" w:eastAsia="仿宋_GB2312" w:cs="仿宋_GB2312"/>
          <w:color w:val="000000"/>
          <w:sz w:val="32"/>
          <w:szCs w:val="32"/>
          <w:lang w:val="zh-CN"/>
        </w:rPr>
        <w:t>43号）</w:t>
      </w:r>
    </w:p>
    <w:p>
      <w:pPr>
        <w:spacing w:line="580" w:lineRule="exact"/>
        <w:ind w:firstLine="640" w:firstLineChars="200"/>
        <w:outlineLvl w:val="1"/>
        <w:rPr>
          <w:rFonts w:hint="eastAsia" w:ascii="仿宋_GB2312" w:hAnsi="仿宋_GB2312" w:eastAsia="仿宋_GB2312" w:cs="仿宋_GB2312"/>
          <w:sz w:val="32"/>
          <w:szCs w:val="40"/>
        </w:rPr>
      </w:pPr>
      <w:bookmarkStart w:id="89" w:name="_Toc7393"/>
      <w:bookmarkStart w:id="90" w:name="_Toc1868"/>
      <w:bookmarkStart w:id="91" w:name="_Toc12940"/>
      <w:bookmarkStart w:id="92" w:name="_Toc13179"/>
      <w:bookmarkStart w:id="93" w:name="_Toc24302"/>
      <w:bookmarkStart w:id="94" w:name="_Toc22038"/>
      <w:bookmarkStart w:id="95" w:name="_Toc11243"/>
      <w:bookmarkStart w:id="96" w:name="_Toc6747"/>
      <w:bookmarkStart w:id="97" w:name="_Toc9401"/>
      <w:bookmarkStart w:id="98" w:name="_Toc26780"/>
      <w:r>
        <w:rPr>
          <w:rFonts w:hint="eastAsia" w:ascii="仿宋_GB2312" w:hAnsi="仿宋_GB2312" w:eastAsia="仿宋_GB2312" w:cs="仿宋_GB2312"/>
          <w:sz w:val="32"/>
          <w:szCs w:val="40"/>
        </w:rPr>
        <w:t>（四）评价的主要方法及等级设定</w:t>
      </w:r>
      <w:bookmarkEnd w:id="89"/>
      <w:bookmarkEnd w:id="90"/>
      <w:bookmarkEnd w:id="91"/>
      <w:bookmarkEnd w:id="92"/>
      <w:bookmarkEnd w:id="93"/>
      <w:bookmarkEnd w:id="94"/>
      <w:bookmarkEnd w:id="95"/>
      <w:bookmarkEnd w:id="96"/>
      <w:bookmarkEnd w:id="97"/>
      <w:bookmarkEnd w:id="98"/>
    </w:p>
    <w:p>
      <w:pPr>
        <w:spacing w:line="580" w:lineRule="exact"/>
        <w:ind w:firstLine="640" w:firstLineChars="200"/>
        <w:rPr>
          <w:rFonts w:ascii="仿宋_GB2312" w:hAnsi="仿宋_GB2312" w:eastAsia="仿宋_GB2312" w:cs="仿宋_GB2312"/>
          <w:kern w:val="0"/>
          <w:sz w:val="32"/>
          <w:szCs w:val="32"/>
          <w:shd w:val="clear" w:color="auto" w:fill="FFFFFF"/>
        </w:rPr>
      </w:pPr>
      <w:r>
        <w:rPr>
          <w:rStyle w:val="9"/>
          <w:rFonts w:hint="eastAsia" w:ascii="仿宋_GB2312" w:hAnsi="宋体" w:eastAsia="仿宋_GB2312" w:cs="仿宋_GB2312"/>
          <w:b w:val="0"/>
          <w:bCs/>
          <w:sz w:val="32"/>
          <w:szCs w:val="32"/>
        </w:rPr>
        <w:t>根据相关</w:t>
      </w:r>
      <w:r>
        <w:rPr>
          <w:rFonts w:hint="eastAsia" w:ascii="仿宋_GB2312" w:hAnsi="仿宋_GB2312" w:eastAsia="仿宋_GB2312" w:cs="仿宋_GB2312"/>
          <w:sz w:val="32"/>
          <w:szCs w:val="32"/>
          <w:shd w:val="clear" w:color="auto" w:fill="FFFFFF"/>
        </w:rPr>
        <w:t>要求，评价工作将</w:t>
      </w:r>
      <w:r>
        <w:rPr>
          <w:rFonts w:hint="eastAsia" w:ascii="仿宋_GB2312" w:hAnsi="宋体" w:eastAsia="仿宋_GB2312" w:cs="仿宋_GB2312"/>
          <w:kern w:val="0"/>
          <w:sz w:val="32"/>
          <w:szCs w:val="32"/>
        </w:rPr>
        <w:t>网络评价与现场评价相结合；数字资料与纸质资料评价相结合；会计资料评价与工程技术资料评价相结合</w:t>
      </w:r>
      <w:r>
        <w:rPr>
          <w:rFonts w:hint="eastAsia" w:ascii="仿宋_GB2312" w:hAnsi="仿宋_GB2312" w:eastAsia="仿宋_GB2312" w:cs="仿宋_GB2312"/>
          <w:kern w:val="0"/>
          <w:sz w:val="32"/>
          <w:szCs w:val="32"/>
          <w:shd w:val="clear" w:color="auto" w:fill="FFFFFF"/>
        </w:rPr>
        <w:t>。</w:t>
      </w:r>
    </w:p>
    <w:p>
      <w:pPr>
        <w:tabs>
          <w:tab w:val="left" w:pos="420"/>
        </w:tabs>
        <w:spacing w:line="580" w:lineRule="exact"/>
        <w:ind w:firstLine="640" w:firstLineChars="200"/>
        <w:jc w:val="left"/>
        <w:rPr>
          <w:rFonts w:ascii="仿宋_GB2312" w:eastAsia="仿宋_GB2312"/>
          <w:sz w:val="32"/>
          <w:szCs w:val="32"/>
        </w:rPr>
      </w:pPr>
      <w:r>
        <w:rPr>
          <w:rFonts w:hint="eastAsia" w:ascii="仿宋_GB2312" w:eastAsia="仿宋_GB2312"/>
          <w:sz w:val="32"/>
          <w:szCs w:val="32"/>
        </w:rPr>
        <w:t>1.在听取</w:t>
      </w:r>
      <w:r>
        <w:rPr>
          <w:rFonts w:hint="eastAsia" w:ascii="仿宋_GB2312" w:eastAsia="仿宋_GB2312"/>
          <w:sz w:val="32"/>
          <w:szCs w:val="32"/>
          <w:lang w:eastAsia="zh-CN"/>
        </w:rPr>
        <w:t>项目施工单位和学校项目资金领导小组各成员对</w:t>
      </w:r>
      <w:r>
        <w:rPr>
          <w:rFonts w:hint="eastAsia" w:ascii="仿宋_GB2312" w:eastAsia="仿宋_GB2312"/>
          <w:sz w:val="32"/>
          <w:szCs w:val="32"/>
        </w:rPr>
        <w:t>项目实施情况汇报的基础上，核实相关资料的真实性、合法性、合理性，对项目资料中反映的或分析中发现的问题进行重点核查。</w:t>
      </w:r>
    </w:p>
    <w:p>
      <w:pPr>
        <w:tabs>
          <w:tab w:val="left" w:pos="420"/>
        </w:tabs>
        <w:spacing w:line="580" w:lineRule="exact"/>
        <w:ind w:firstLine="640" w:firstLineChars="200"/>
        <w:jc w:val="left"/>
        <w:rPr>
          <w:rFonts w:ascii="仿宋_GB2312" w:eastAsia="仿宋_GB2312"/>
          <w:sz w:val="32"/>
          <w:szCs w:val="32"/>
        </w:rPr>
      </w:pPr>
      <w:r>
        <w:rPr>
          <w:rFonts w:hint="eastAsia" w:ascii="仿宋_GB2312" w:eastAsia="仿宋_GB2312"/>
          <w:sz w:val="32"/>
          <w:szCs w:val="32"/>
        </w:rPr>
        <w:t>2.实地检查的形式：采取座谈、现场核实、走访、调查问卷、查阅资料等方式。</w:t>
      </w:r>
    </w:p>
    <w:p>
      <w:pPr>
        <w:pStyle w:val="2"/>
        <w:ind w:firstLine="640"/>
        <w:rPr>
          <w:rFonts w:ascii="仿宋_GB2312" w:hAnsi="Calibri" w:eastAsia="仿宋_GB2312"/>
          <w:color w:val="auto"/>
          <w:sz w:val="32"/>
          <w:szCs w:val="32"/>
        </w:rPr>
      </w:pPr>
      <w:r>
        <w:rPr>
          <w:rFonts w:hint="eastAsia" w:ascii="仿宋_GB2312" w:hAnsi="Calibri" w:eastAsia="仿宋_GB2312"/>
          <w:color w:val="auto"/>
          <w:sz w:val="32"/>
          <w:szCs w:val="32"/>
        </w:rPr>
        <w:t>3.综合评价。评价组在全面分析整理被评价项目的相关数据资料的基础上，总结评价情况，对照评价指标和标准，进行综合评议与打分，得出评价结论，撰写评价报告。</w:t>
      </w:r>
    </w:p>
    <w:p>
      <w:pPr>
        <w:spacing w:line="480" w:lineRule="exact"/>
        <w:ind w:firstLine="640" w:firstLineChars="200"/>
      </w:pPr>
      <w:r>
        <w:rPr>
          <w:rFonts w:hint="eastAsia" w:ascii="仿宋_GB2312" w:eastAsia="仿宋_GB2312"/>
          <w:sz w:val="32"/>
          <w:szCs w:val="32"/>
        </w:rPr>
        <w:t>4.评价等级设置为：优秀95分以上（含95分）、良好80分-94分（含80分）、合格60分-79分（含60分）、不合格（60分以下）四个等级。</w:t>
      </w:r>
    </w:p>
    <w:p>
      <w:pPr>
        <w:pStyle w:val="2"/>
        <w:ind w:firstLine="640"/>
        <w:rPr>
          <w:rFonts w:ascii="仿宋_GB2312" w:eastAsia="仿宋_GB2312"/>
          <w:sz w:val="32"/>
          <w:szCs w:val="32"/>
        </w:rPr>
      </w:pPr>
      <w:r>
        <w:rPr>
          <w:rFonts w:hint="eastAsia" w:ascii="仿宋_GB2312" w:hAnsi="Calibri" w:eastAsia="仿宋_GB2312"/>
          <w:color w:val="auto"/>
          <w:sz w:val="32"/>
          <w:szCs w:val="32"/>
        </w:rPr>
        <w:t>《</w:t>
      </w:r>
      <w:r>
        <w:rPr>
          <w:rFonts w:hint="eastAsia" w:ascii="仿宋_GB2312" w:hAnsi="Calibri" w:eastAsia="仿宋_GB2312"/>
          <w:color w:val="auto"/>
          <w:sz w:val="32"/>
          <w:szCs w:val="32"/>
          <w:lang w:eastAsia="zh-CN"/>
        </w:rPr>
        <w:t>固城中学宿舍楼改造</w:t>
      </w:r>
      <w:r>
        <w:rPr>
          <w:rFonts w:hint="eastAsia" w:ascii="仿宋_GB2312" w:hAnsi="Calibri" w:eastAsia="仿宋_GB2312"/>
          <w:color w:val="auto"/>
          <w:sz w:val="32"/>
          <w:szCs w:val="32"/>
        </w:rPr>
        <w:t>项目》绩效自评为97</w:t>
      </w:r>
      <w:r>
        <w:rPr>
          <w:rFonts w:hint="eastAsia" w:ascii="仿宋_GB2312" w:hAnsi="Calibri" w:eastAsia="仿宋_GB2312"/>
          <w:color w:val="auto"/>
          <w:sz w:val="32"/>
          <w:szCs w:val="32"/>
          <w:lang w:val="en-US" w:eastAsia="zh-CN"/>
        </w:rPr>
        <w:t>.8</w:t>
      </w:r>
      <w:r>
        <w:rPr>
          <w:rFonts w:hint="eastAsia" w:ascii="仿宋_GB2312" w:hAnsi="Calibri" w:eastAsia="仿宋_GB2312"/>
          <w:color w:val="auto"/>
          <w:sz w:val="32"/>
          <w:szCs w:val="32"/>
        </w:rPr>
        <w:t>分，自评结果为优</w:t>
      </w:r>
      <w:r>
        <w:rPr>
          <w:rFonts w:hint="eastAsia" w:ascii="仿宋_GB2312" w:hAnsi="Calibri" w:eastAsia="仿宋_GB2312"/>
          <w:color w:val="auto"/>
          <w:sz w:val="32"/>
          <w:szCs w:val="32"/>
          <w:lang w:eastAsia="zh-CN"/>
        </w:rPr>
        <w:t>秀</w:t>
      </w:r>
      <w:bookmarkStart w:id="112" w:name="_GoBack"/>
      <w:bookmarkEnd w:id="112"/>
      <w:r>
        <w:rPr>
          <w:rFonts w:hint="eastAsia" w:ascii="仿宋_GB2312" w:hAnsi="Calibri" w:eastAsia="仿宋_GB2312"/>
          <w:color w:val="auto"/>
          <w:sz w:val="32"/>
          <w:szCs w:val="32"/>
        </w:rPr>
        <w:t>。</w:t>
      </w:r>
    </w:p>
    <w:p>
      <w:pPr>
        <w:pStyle w:val="2"/>
      </w:pPr>
    </w:p>
    <w:p>
      <w:pPr>
        <w:spacing w:line="580" w:lineRule="exact"/>
        <w:ind w:firstLine="643" w:firstLineChars="200"/>
        <w:outlineLvl w:val="0"/>
        <w:rPr>
          <w:rFonts w:ascii="仿宋_GB2312" w:hAnsi="仿宋_GB2312" w:eastAsia="仿宋_GB2312" w:cs="仿宋_GB2312"/>
        </w:rPr>
      </w:pPr>
      <w:bookmarkStart w:id="99" w:name="_Toc21014"/>
      <w:bookmarkStart w:id="100" w:name="_Toc30508"/>
      <w:bookmarkStart w:id="101" w:name="_Toc5623"/>
      <w:bookmarkStart w:id="102" w:name="_Toc17025"/>
      <w:bookmarkStart w:id="103" w:name="_Toc22222"/>
      <w:bookmarkStart w:id="104" w:name="_Toc18842"/>
      <w:bookmarkStart w:id="105" w:name="_Toc6105"/>
      <w:bookmarkStart w:id="106" w:name="_Toc20748"/>
      <w:bookmarkStart w:id="107" w:name="_Toc28621"/>
      <w:bookmarkStart w:id="108" w:name="_Toc10113"/>
      <w:r>
        <w:rPr>
          <w:rFonts w:hint="eastAsia" w:ascii="仿宋_GB2312" w:hAnsi="仿宋_GB2312" w:eastAsia="仿宋_GB2312" w:cs="仿宋_GB2312"/>
          <w:b/>
          <w:bCs/>
          <w:sz w:val="32"/>
          <w:szCs w:val="40"/>
        </w:rPr>
        <w:t>四、绩效评价指标体系及得分情况</w:t>
      </w:r>
      <w:bookmarkEnd w:id="99"/>
      <w:bookmarkEnd w:id="100"/>
      <w:bookmarkEnd w:id="101"/>
      <w:bookmarkEnd w:id="102"/>
      <w:bookmarkEnd w:id="103"/>
      <w:bookmarkEnd w:id="104"/>
      <w:bookmarkEnd w:id="105"/>
      <w:bookmarkEnd w:id="106"/>
      <w:bookmarkEnd w:id="107"/>
      <w:bookmarkEnd w:id="108"/>
    </w:p>
    <w:p>
      <w:pPr>
        <w:ind w:firstLine="2080" w:firstLineChars="740"/>
      </w:pPr>
      <w:r>
        <w:rPr>
          <w:rFonts w:hint="eastAsia" w:ascii="仿宋_GB2312" w:hAnsi="仿宋_GB2312" w:eastAsia="仿宋_GB2312" w:cs="仿宋_GB2312"/>
          <w:b/>
          <w:color w:val="000000"/>
          <w:kern w:val="0"/>
          <w:sz w:val="28"/>
          <w:szCs w:val="28"/>
          <w:lang w:eastAsia="zh-CN"/>
        </w:rPr>
        <w:t>固城中学宿舍楼改造</w:t>
      </w:r>
      <w:r>
        <w:rPr>
          <w:rFonts w:hint="eastAsia" w:ascii="仿宋_GB2312" w:hAnsi="仿宋_GB2312" w:eastAsia="仿宋_GB2312" w:cs="仿宋_GB2312"/>
          <w:b/>
          <w:color w:val="000000"/>
          <w:kern w:val="0"/>
          <w:sz w:val="28"/>
          <w:szCs w:val="28"/>
        </w:rPr>
        <w:t>项目重点绩效评价指标表</w:t>
      </w:r>
    </w:p>
    <w:tbl>
      <w:tblPr>
        <w:tblStyle w:val="7"/>
        <w:tblW w:w="9098" w:type="dxa"/>
        <w:tblInd w:w="-130" w:type="dxa"/>
        <w:tblLayout w:type="fixed"/>
        <w:tblCellMar>
          <w:top w:w="0" w:type="dxa"/>
          <w:left w:w="0" w:type="dxa"/>
          <w:bottom w:w="0" w:type="dxa"/>
          <w:right w:w="0" w:type="dxa"/>
        </w:tblCellMar>
      </w:tblPr>
      <w:tblGrid>
        <w:gridCol w:w="1276"/>
        <w:gridCol w:w="491"/>
        <w:gridCol w:w="2498"/>
        <w:gridCol w:w="426"/>
        <w:gridCol w:w="3696"/>
        <w:gridCol w:w="711"/>
      </w:tblGrid>
      <w:tr>
        <w:tblPrEx>
          <w:tblCellMar>
            <w:top w:w="0" w:type="dxa"/>
            <w:left w:w="0" w:type="dxa"/>
            <w:bottom w:w="0" w:type="dxa"/>
            <w:right w:w="0" w:type="dxa"/>
          </w:tblCellMar>
        </w:tblPrEx>
        <w:trPr>
          <w:trHeight w:val="590" w:hRule="atLeast"/>
        </w:trPr>
        <w:tc>
          <w:tcPr>
            <w:tcW w:w="1276" w:type="dxa"/>
            <w:tcBorders>
              <w:top w:val="single" w:color="000000" w:sz="4" w:space="0"/>
              <w:left w:val="single" w:color="000000" w:sz="4" w:space="0"/>
              <w:bottom w:val="single" w:color="000000" w:sz="4" w:space="0"/>
              <w:right w:val="nil"/>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 xml:space="preserve">一级指标  </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二级指标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 xml:space="preserve"> 三级指标</w:t>
            </w:r>
          </w:p>
        </w:tc>
        <w:tc>
          <w:tcPr>
            <w:tcW w:w="426" w:type="dxa"/>
            <w:vMerge w:val="restart"/>
            <w:tcBorders>
              <w:top w:val="single" w:color="000000" w:sz="4" w:space="0"/>
              <w:left w:val="nil"/>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分值</w:t>
            </w:r>
          </w:p>
        </w:tc>
        <w:tc>
          <w:tcPr>
            <w:tcW w:w="369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指标说明</w:t>
            </w:r>
          </w:p>
        </w:tc>
        <w:tc>
          <w:tcPr>
            <w:tcW w:w="71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得分</w:t>
            </w:r>
          </w:p>
        </w:tc>
      </w:tr>
      <w:tr>
        <w:tblPrEx>
          <w:tblCellMar>
            <w:top w:w="0" w:type="dxa"/>
            <w:left w:w="0" w:type="dxa"/>
            <w:bottom w:w="0" w:type="dxa"/>
            <w:right w:w="0" w:type="dxa"/>
          </w:tblCellMar>
        </w:tblPrEx>
        <w:trPr>
          <w:trHeight w:val="348" w:hRule="atLeast"/>
        </w:trPr>
        <w:tc>
          <w:tcPr>
            <w:tcW w:w="12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426" w:type="dxa"/>
            <w:vMerge w:val="continue"/>
            <w:tcBorders>
              <w:top w:val="single" w:color="000000" w:sz="4" w:space="0"/>
              <w:left w:val="nil"/>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b/>
                <w:color w:val="000000"/>
                <w:sz w:val="24"/>
              </w:rPr>
            </w:pPr>
          </w:p>
        </w:tc>
        <w:tc>
          <w:tcPr>
            <w:tcW w:w="369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b/>
                <w:color w:val="000000"/>
                <w:sz w:val="24"/>
              </w:rPr>
            </w:pPr>
          </w:p>
        </w:tc>
        <w:tc>
          <w:tcPr>
            <w:tcW w:w="71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b/>
                <w:color w:val="000000"/>
                <w:sz w:val="24"/>
              </w:rPr>
            </w:pPr>
          </w:p>
        </w:tc>
      </w:tr>
      <w:tr>
        <w:tblPrEx>
          <w:tblCellMar>
            <w:top w:w="0" w:type="dxa"/>
            <w:left w:w="0" w:type="dxa"/>
            <w:bottom w:w="0" w:type="dxa"/>
            <w:right w:w="0" w:type="dxa"/>
          </w:tblCellMar>
        </w:tblPrEx>
        <w:trPr>
          <w:trHeight w:val="666" w:hRule="atLeast"/>
        </w:trPr>
        <w:tc>
          <w:tcPr>
            <w:tcW w:w="127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“工作活动”设置（30分）</w:t>
            </w: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项目立项情况</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是否符合政府经济和社会总体发展规划</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7.5</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有政府相关政策、规划、任务等文件得7.5分；无不得分。</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7.5</w:t>
            </w:r>
          </w:p>
        </w:tc>
      </w:tr>
      <w:tr>
        <w:tblPrEx>
          <w:tblCellMar>
            <w:top w:w="0" w:type="dxa"/>
            <w:left w:w="0" w:type="dxa"/>
            <w:bottom w:w="0" w:type="dxa"/>
            <w:right w:w="0" w:type="dxa"/>
          </w:tblCellMar>
        </w:tblPrEx>
        <w:trPr>
          <w:trHeight w:val="1174"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项目活动与职责相关性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7.5</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工作活动与部门职责、工作规划和重点工作相关，工作活动项下确定的预算项目合理，与工作活动密切相关，工作活动和项目预算安排合理，得7.5分；否则不得分。</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7.5</w:t>
            </w:r>
          </w:p>
        </w:tc>
      </w:tr>
      <w:tr>
        <w:tblPrEx>
          <w:tblCellMar>
            <w:top w:w="0" w:type="dxa"/>
            <w:left w:w="0" w:type="dxa"/>
            <w:bottom w:w="0" w:type="dxa"/>
            <w:right w:w="0" w:type="dxa"/>
          </w:tblCellMar>
        </w:tblPrEx>
        <w:trPr>
          <w:trHeight w:val="569"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绩效自评情况</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项目设立绩效目标合理性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8</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①是否将项目绩效目标细化分解为具体的绩效指标；</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②是否通过清晰、可衡量的指标值予以体现；</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③是否与项目年度任务数或计划数相对应；</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④是否与预算确定的项目投资额或资金量相匹配。</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缺少一项扣2分,扣完为止。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8</w:t>
            </w:r>
          </w:p>
        </w:tc>
      </w:tr>
      <w:tr>
        <w:tblPrEx>
          <w:tblCellMar>
            <w:top w:w="0" w:type="dxa"/>
            <w:left w:w="0" w:type="dxa"/>
            <w:bottom w:w="0" w:type="dxa"/>
            <w:right w:w="0" w:type="dxa"/>
          </w:tblCellMar>
        </w:tblPrEx>
        <w:trPr>
          <w:trHeight w:val="1472"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自评报告情况</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是否有绩效评价报告，报告是否依据充分、内容真实完整；数据准确、分析透彻。每存在一项问题扣1分，扣完为止。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w:t>
            </w:r>
          </w:p>
        </w:tc>
      </w:tr>
      <w:tr>
        <w:tblPrEx>
          <w:tblCellMar>
            <w:top w:w="0" w:type="dxa"/>
            <w:left w:w="0" w:type="dxa"/>
            <w:bottom w:w="0" w:type="dxa"/>
            <w:right w:w="0" w:type="dxa"/>
          </w:tblCellMar>
        </w:tblPrEx>
        <w:trPr>
          <w:trHeight w:val="1029" w:hRule="atLeast"/>
        </w:trPr>
        <w:tc>
          <w:tcPr>
            <w:tcW w:w="127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“工作活动”管理（30分）</w:t>
            </w: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资金管理</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预算调整率</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预算调整率=（预算调整数/预算数）×100%。预算调整率每大于1%扣0.5分，扣完为止。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r>
      <w:tr>
        <w:tblPrEx>
          <w:tblCellMar>
            <w:top w:w="0" w:type="dxa"/>
            <w:left w:w="0" w:type="dxa"/>
            <w:bottom w:w="0" w:type="dxa"/>
            <w:right w:w="0" w:type="dxa"/>
          </w:tblCellMar>
        </w:tblPrEx>
        <w:trPr>
          <w:trHeight w:val="1029" w:hRule="atLeast"/>
        </w:trPr>
        <w:tc>
          <w:tcPr>
            <w:tcW w:w="1276" w:type="dxa"/>
            <w:vMerge w:val="continue"/>
            <w:tcBorders>
              <w:top w:val="single" w:color="000000" w:sz="4" w:space="0"/>
              <w:left w:val="single" w:color="000000" w:sz="4" w:space="0"/>
              <w:bottom w:val="nil"/>
              <w:right w:val="single" w:color="000000" w:sz="4" w:space="0"/>
            </w:tcBorders>
            <w:shd w:val="clear" w:color="auto" w:fill="auto"/>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资金使用合规性6</w:t>
            </w:r>
          </w:p>
        </w:tc>
        <w:tc>
          <w:tcPr>
            <w:tcW w:w="4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c>
          <w:tcPr>
            <w:tcW w:w="3696"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项目资金使用是否符合国家财经法规及相关的财务管理制度规定，资金支出程序是否规范,报账手续是否齐全。每存在一项不合规问题扣2分，扣完为止。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r>
      <w:tr>
        <w:tblPrEx>
          <w:tblCellMar>
            <w:top w:w="0" w:type="dxa"/>
            <w:left w:w="0" w:type="dxa"/>
            <w:bottom w:w="0" w:type="dxa"/>
            <w:right w:w="0" w:type="dxa"/>
          </w:tblCellMar>
        </w:tblPrEx>
        <w:trPr>
          <w:trHeight w:val="836"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会计核算规范性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会计核算是否符合《会计法》、《政府会计制度》、《会计基础工作规范》等法律法规和相关制度规定。每存在一项不合规问题扣2分，扣完为止。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r>
      <w:tr>
        <w:tblPrEx>
          <w:tblCellMar>
            <w:top w:w="0" w:type="dxa"/>
            <w:left w:w="0" w:type="dxa"/>
            <w:bottom w:w="0" w:type="dxa"/>
            <w:right w:w="0" w:type="dxa"/>
          </w:tblCellMar>
        </w:tblPrEx>
        <w:trPr>
          <w:trHeight w:val="1755"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项目管理</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项目责任机制是否健全</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是否建立责任机制，项目管理和责任落实到有关人。每存在一项问题扣2分，扣完为止。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r>
      <w:tr>
        <w:tblPrEx>
          <w:tblCellMar>
            <w:top w:w="0" w:type="dxa"/>
            <w:left w:w="0" w:type="dxa"/>
            <w:bottom w:w="0" w:type="dxa"/>
            <w:right w:w="0" w:type="dxa"/>
          </w:tblCellMar>
        </w:tblPrEx>
        <w:trPr>
          <w:trHeight w:val="762"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管理制度健全性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制定管理制度和措施（包括财务制度）是否明确、清晰、具有可操作性，能否保障工作活动顺利实施。每缺少一项制度扣2分，扣完为止。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r>
      <w:tr>
        <w:tblPrEx>
          <w:tblCellMar>
            <w:top w:w="0" w:type="dxa"/>
            <w:left w:w="0" w:type="dxa"/>
            <w:bottom w:w="0" w:type="dxa"/>
            <w:right w:w="0" w:type="dxa"/>
          </w:tblCellMar>
        </w:tblPrEx>
        <w:trPr>
          <w:trHeight w:val="501" w:hRule="atLeast"/>
        </w:trPr>
        <w:tc>
          <w:tcPr>
            <w:tcW w:w="1276" w:type="dxa"/>
            <w:vMerge w:val="restart"/>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“工作活动”产出（30分）</w:t>
            </w: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数量指标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受</w:t>
            </w:r>
            <w:r>
              <w:rPr>
                <w:rFonts w:hint="eastAsia" w:ascii="仿宋_GB2312" w:hAnsi="仿宋_GB2312" w:eastAsia="仿宋_GB2312" w:cs="仿宋_GB2312"/>
                <w:color w:val="000000"/>
                <w:kern w:val="0"/>
                <w:sz w:val="22"/>
                <w:szCs w:val="22"/>
                <w:lang w:eastAsia="zh-CN"/>
              </w:rPr>
              <w:t>住宿环境改善的</w:t>
            </w:r>
            <w:r>
              <w:rPr>
                <w:rFonts w:hint="eastAsia" w:ascii="仿宋_GB2312" w:hAnsi="仿宋_GB2312" w:eastAsia="仿宋_GB2312" w:cs="仿宋_GB2312"/>
                <w:color w:val="000000"/>
                <w:kern w:val="0"/>
                <w:sz w:val="22"/>
                <w:szCs w:val="22"/>
              </w:rPr>
              <w:t>学生数量</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按照《</w:t>
            </w:r>
            <w:r>
              <w:rPr>
                <w:rFonts w:hint="eastAsia" w:ascii="仿宋_GB2312" w:hAnsi="仿宋_GB2312" w:eastAsia="仿宋_GB2312" w:cs="仿宋_GB2312"/>
                <w:color w:val="000000"/>
                <w:sz w:val="22"/>
                <w:szCs w:val="22"/>
                <w:lang w:eastAsia="zh-CN"/>
              </w:rPr>
              <w:t>项目规划方案</w:t>
            </w:r>
            <w:r>
              <w:rPr>
                <w:rFonts w:hint="eastAsia" w:ascii="仿宋_GB2312" w:hAnsi="仿宋_GB2312" w:eastAsia="仿宋_GB2312" w:cs="仿宋_GB2312"/>
                <w:color w:val="000000"/>
                <w:sz w:val="22"/>
                <w:szCs w:val="22"/>
              </w:rPr>
              <w:t>》执行</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r>
      <w:tr>
        <w:tblPrEx>
          <w:tblCellMar>
            <w:top w:w="0" w:type="dxa"/>
            <w:left w:w="0" w:type="dxa"/>
            <w:bottom w:w="0" w:type="dxa"/>
            <w:right w:w="0" w:type="dxa"/>
          </w:tblCellMar>
        </w:tblPrEx>
        <w:trPr>
          <w:trHeight w:val="573"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享受</w:t>
            </w:r>
            <w:r>
              <w:rPr>
                <w:rFonts w:hint="eastAsia" w:ascii="仿宋_GB2312" w:hAnsi="仿宋_GB2312" w:eastAsia="仿宋_GB2312" w:cs="仿宋_GB2312"/>
                <w:color w:val="000000"/>
                <w:kern w:val="0"/>
                <w:sz w:val="22"/>
                <w:szCs w:val="22"/>
                <w:lang w:eastAsia="zh-CN"/>
              </w:rPr>
              <w:t>住宿环境改善班级</w:t>
            </w:r>
            <w:r>
              <w:rPr>
                <w:rFonts w:hint="eastAsia" w:ascii="仿宋_GB2312" w:hAnsi="仿宋_GB2312" w:eastAsia="仿宋_GB2312" w:cs="仿宋_GB2312"/>
                <w:color w:val="000000"/>
                <w:kern w:val="0"/>
                <w:sz w:val="22"/>
                <w:szCs w:val="22"/>
              </w:rPr>
              <w:t>数量</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按照《</w:t>
            </w:r>
            <w:r>
              <w:rPr>
                <w:rFonts w:hint="eastAsia" w:ascii="仿宋_GB2312" w:hAnsi="仿宋_GB2312" w:eastAsia="仿宋_GB2312" w:cs="仿宋_GB2312"/>
                <w:color w:val="000000"/>
                <w:sz w:val="22"/>
                <w:szCs w:val="22"/>
                <w:lang w:eastAsia="zh-CN"/>
              </w:rPr>
              <w:t>项目规划方案</w:t>
            </w:r>
            <w:r>
              <w:rPr>
                <w:rFonts w:hint="eastAsia" w:ascii="仿宋_GB2312" w:hAnsi="仿宋_GB2312" w:eastAsia="仿宋_GB2312" w:cs="仿宋_GB2312"/>
                <w:color w:val="000000"/>
                <w:sz w:val="22"/>
                <w:szCs w:val="22"/>
              </w:rPr>
              <w:t>》执行</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r>
      <w:tr>
        <w:tblPrEx>
          <w:tblCellMar>
            <w:top w:w="0" w:type="dxa"/>
            <w:left w:w="0" w:type="dxa"/>
            <w:bottom w:w="0" w:type="dxa"/>
            <w:right w:w="0" w:type="dxa"/>
          </w:tblCellMar>
        </w:tblPrEx>
        <w:trPr>
          <w:trHeight w:val="647"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质量指标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eastAsia="zh-CN"/>
              </w:rPr>
              <w:t>工程</w:t>
            </w:r>
            <w:r>
              <w:rPr>
                <w:rFonts w:hint="eastAsia" w:ascii="仿宋_GB2312" w:hAnsi="仿宋_GB2312" w:eastAsia="仿宋_GB2312" w:cs="仿宋_GB2312"/>
                <w:color w:val="000000"/>
                <w:kern w:val="0"/>
                <w:sz w:val="22"/>
                <w:szCs w:val="22"/>
              </w:rPr>
              <w:t>安全达标率</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达到《</w:t>
            </w:r>
            <w:r>
              <w:rPr>
                <w:rFonts w:hint="eastAsia" w:ascii="仿宋_GB2312" w:hAnsi="仿宋_GB2312" w:eastAsia="仿宋_GB2312" w:cs="仿宋_GB2312"/>
                <w:color w:val="000000"/>
                <w:sz w:val="22"/>
                <w:szCs w:val="22"/>
                <w:lang w:eastAsia="zh-CN"/>
              </w:rPr>
              <w:t>工程</w:t>
            </w:r>
            <w:r>
              <w:rPr>
                <w:rFonts w:hint="eastAsia" w:ascii="仿宋_GB2312" w:hAnsi="仿宋_GB2312" w:eastAsia="仿宋_GB2312" w:cs="仿宋_GB2312"/>
                <w:color w:val="000000"/>
                <w:sz w:val="22"/>
                <w:szCs w:val="22"/>
              </w:rPr>
              <w:t>安全国家标准》规定标准</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r>
      <w:tr>
        <w:tblPrEx>
          <w:tblCellMar>
            <w:top w:w="0" w:type="dxa"/>
            <w:left w:w="0" w:type="dxa"/>
            <w:bottom w:w="0" w:type="dxa"/>
            <w:right w:w="0" w:type="dxa"/>
          </w:tblCellMar>
        </w:tblPrEx>
        <w:trPr>
          <w:trHeight w:val="492"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资金拨付率</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是否到达年度工作计划目标</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rPr>
              <w:t>3</w:t>
            </w:r>
            <w:r>
              <w:rPr>
                <w:rFonts w:hint="eastAsia" w:ascii="仿宋_GB2312" w:hAnsi="仿宋_GB2312" w:eastAsia="仿宋_GB2312" w:cs="仿宋_GB2312"/>
                <w:color w:val="000000"/>
                <w:sz w:val="22"/>
                <w:szCs w:val="22"/>
                <w:lang w:val="en-US" w:eastAsia="zh-CN"/>
              </w:rPr>
              <w:t>.8</w:t>
            </w:r>
          </w:p>
        </w:tc>
      </w:tr>
      <w:tr>
        <w:tblPrEx>
          <w:tblCellMar>
            <w:top w:w="0" w:type="dxa"/>
            <w:left w:w="0" w:type="dxa"/>
            <w:bottom w:w="0" w:type="dxa"/>
            <w:right w:w="0" w:type="dxa"/>
          </w:tblCellMar>
        </w:tblPrEx>
        <w:trPr>
          <w:trHeight w:val="591"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时效指标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eastAsia="zh-CN"/>
              </w:rPr>
              <w:t>宿舍楼</w:t>
            </w:r>
            <w:r>
              <w:rPr>
                <w:rFonts w:hint="eastAsia" w:ascii="仿宋_GB2312" w:hAnsi="仿宋_GB2312" w:eastAsia="仿宋_GB2312" w:cs="仿宋_GB2312"/>
                <w:color w:val="000000"/>
                <w:kern w:val="0"/>
                <w:sz w:val="22"/>
                <w:szCs w:val="22"/>
              </w:rPr>
              <w:t>改善计划周期</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按照《</w:t>
            </w:r>
            <w:r>
              <w:rPr>
                <w:rFonts w:hint="eastAsia" w:ascii="仿宋_GB2312" w:hAnsi="仿宋_GB2312" w:eastAsia="仿宋_GB2312" w:cs="仿宋_GB2312"/>
                <w:color w:val="000000"/>
                <w:sz w:val="22"/>
                <w:szCs w:val="22"/>
                <w:lang w:eastAsia="zh-CN"/>
              </w:rPr>
              <w:t>项目规划</w:t>
            </w:r>
            <w:r>
              <w:rPr>
                <w:rFonts w:hint="eastAsia" w:ascii="仿宋_GB2312" w:hAnsi="仿宋_GB2312" w:eastAsia="仿宋_GB2312" w:cs="仿宋_GB2312"/>
                <w:color w:val="000000"/>
                <w:sz w:val="22"/>
                <w:szCs w:val="22"/>
              </w:rPr>
              <w:t>方案》执行</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r>
      <w:tr>
        <w:tblPrEx>
          <w:tblCellMar>
            <w:top w:w="0" w:type="dxa"/>
            <w:left w:w="0" w:type="dxa"/>
            <w:bottom w:w="0" w:type="dxa"/>
            <w:right w:w="0" w:type="dxa"/>
          </w:tblCellMar>
        </w:tblPrEx>
        <w:trPr>
          <w:trHeight w:val="408" w:hRule="atLeast"/>
        </w:trPr>
        <w:tc>
          <w:tcPr>
            <w:tcW w:w="1276" w:type="dxa"/>
            <w:tcBorders>
              <w:top w:val="single" w:color="000000" w:sz="4" w:space="0"/>
              <w:left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“工作活动”效果（</w:t>
            </w:r>
            <w:r>
              <w:rPr>
                <w:rFonts w:hint="eastAsia" w:ascii="仿宋_GB2312" w:hAnsi="仿宋_GB2312" w:eastAsia="仿宋_GB2312" w:cs="仿宋_GB2312"/>
                <w:color w:val="000000"/>
                <w:kern w:val="0"/>
                <w:sz w:val="22"/>
                <w:szCs w:val="22"/>
              </w:rPr>
              <w:t>10</w:t>
            </w:r>
            <w:r>
              <w:rPr>
                <w:rFonts w:hint="eastAsia" w:ascii="仿宋_GB2312" w:hAnsi="仿宋_GB2312" w:eastAsia="仿宋_GB2312" w:cs="仿宋_GB2312"/>
                <w:color w:val="000000"/>
                <w:sz w:val="22"/>
                <w:szCs w:val="22"/>
              </w:rPr>
              <w:t>分）</w:t>
            </w:r>
          </w:p>
        </w:tc>
        <w:tc>
          <w:tcPr>
            <w:tcW w:w="491" w:type="dxa"/>
            <w:tcBorders>
              <w:top w:val="single" w:color="000000" w:sz="4" w:space="0"/>
              <w:left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rPr>
            </w:pPr>
            <w:r>
              <w:rPr>
                <w:rFonts w:hint="eastAsia" w:ascii="仿宋_GB2312" w:hAnsi="仿宋_GB2312" w:eastAsia="仿宋_GB2312" w:cs="仿宋_GB2312"/>
              </w:rPr>
              <w:t>满意度</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享受</w:t>
            </w:r>
            <w:r>
              <w:rPr>
                <w:rFonts w:hint="eastAsia" w:ascii="仿宋_GB2312" w:hAnsi="仿宋_GB2312" w:eastAsia="仿宋_GB2312" w:cs="仿宋_GB2312"/>
                <w:color w:val="000000"/>
                <w:kern w:val="0"/>
                <w:sz w:val="22"/>
                <w:szCs w:val="22"/>
                <w:lang w:eastAsia="zh-CN"/>
              </w:rPr>
              <w:t>住宿环境改善</w:t>
            </w:r>
            <w:r>
              <w:rPr>
                <w:rFonts w:hint="eastAsia" w:ascii="仿宋_GB2312" w:hAnsi="仿宋_GB2312" w:eastAsia="仿宋_GB2312" w:cs="仿宋_GB2312"/>
                <w:color w:val="000000"/>
                <w:kern w:val="0"/>
                <w:sz w:val="22"/>
                <w:szCs w:val="22"/>
              </w:rPr>
              <w:t>学生</w:t>
            </w:r>
            <w:r>
              <w:rPr>
                <w:rFonts w:hint="eastAsia" w:ascii="仿宋_GB2312" w:hAnsi="仿宋_GB2312" w:eastAsia="仿宋_GB2312" w:cs="仿宋_GB2312"/>
                <w:color w:val="000000"/>
                <w:kern w:val="0"/>
                <w:sz w:val="22"/>
                <w:szCs w:val="22"/>
                <w:lang w:eastAsia="zh-CN"/>
              </w:rPr>
              <w:t>的</w:t>
            </w:r>
            <w:r>
              <w:rPr>
                <w:rFonts w:hint="eastAsia" w:ascii="仿宋_GB2312" w:hAnsi="仿宋_GB2312" w:eastAsia="仿宋_GB2312" w:cs="仿宋_GB2312"/>
                <w:color w:val="000000"/>
                <w:kern w:val="0"/>
                <w:sz w:val="22"/>
                <w:szCs w:val="22"/>
              </w:rPr>
              <w:t>满意度</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sz w:val="22"/>
                <w:szCs w:val="22"/>
              </w:rPr>
              <w:t>按照《</w:t>
            </w:r>
            <w:r>
              <w:rPr>
                <w:rFonts w:hint="eastAsia" w:ascii="仿宋_GB2312" w:hAnsi="仿宋_GB2312" w:eastAsia="仿宋_GB2312" w:cs="仿宋_GB2312"/>
                <w:color w:val="000000"/>
                <w:sz w:val="22"/>
                <w:szCs w:val="22"/>
                <w:lang w:eastAsia="zh-CN"/>
              </w:rPr>
              <w:t>项目规划</w:t>
            </w:r>
            <w:r>
              <w:rPr>
                <w:rFonts w:hint="eastAsia" w:ascii="仿宋_GB2312" w:hAnsi="仿宋_GB2312" w:eastAsia="仿宋_GB2312" w:cs="仿宋_GB2312"/>
                <w:color w:val="000000"/>
                <w:sz w:val="22"/>
                <w:szCs w:val="22"/>
              </w:rPr>
              <w:t>方案》执行</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r>
      <w:tr>
        <w:tblPrEx>
          <w:tblCellMar>
            <w:top w:w="0" w:type="dxa"/>
            <w:left w:w="0" w:type="dxa"/>
            <w:bottom w:w="0" w:type="dxa"/>
            <w:right w:w="0" w:type="dxa"/>
          </w:tblCellMar>
        </w:tblPrEx>
        <w:trPr>
          <w:trHeight w:val="408" w:hRule="atLeast"/>
        </w:trPr>
        <w:tc>
          <w:tcPr>
            <w:tcW w:w="12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ind w:firstLine="220" w:firstLineChars="100"/>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合计</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kern w:val="0"/>
                <w:sz w:val="22"/>
                <w:szCs w:val="22"/>
              </w:rPr>
            </w:pP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仿宋_GB2312" w:hAnsi="仿宋_GB2312" w:eastAsia="仿宋_GB2312" w:cs="仿宋_GB2312"/>
                <w:color w:val="000000"/>
                <w:kern w:val="0"/>
                <w:sz w:val="22"/>
                <w:szCs w:val="22"/>
                <w:lang w:val="en-US" w:eastAsia="zh-CN"/>
              </w:rPr>
            </w:pPr>
            <w:r>
              <w:rPr>
                <w:rFonts w:hint="eastAsia" w:ascii="仿宋_GB2312" w:hAnsi="仿宋_GB2312" w:eastAsia="仿宋_GB2312" w:cs="仿宋_GB2312"/>
                <w:color w:val="000000"/>
                <w:kern w:val="0"/>
                <w:sz w:val="22"/>
                <w:szCs w:val="22"/>
              </w:rPr>
              <w:t>97</w:t>
            </w:r>
            <w:r>
              <w:rPr>
                <w:rFonts w:hint="eastAsia" w:ascii="仿宋_GB2312" w:hAnsi="仿宋_GB2312" w:eastAsia="仿宋_GB2312" w:cs="仿宋_GB2312"/>
                <w:color w:val="000000"/>
                <w:kern w:val="0"/>
                <w:sz w:val="22"/>
                <w:szCs w:val="22"/>
                <w:lang w:val="en-US" w:eastAsia="zh-CN"/>
              </w:rPr>
              <w:t>.8</w:t>
            </w:r>
          </w:p>
        </w:tc>
      </w:tr>
    </w:tbl>
    <w:p>
      <w:pPr>
        <w:ind w:firstLine="1554" w:firstLineChars="740"/>
      </w:pPr>
    </w:p>
    <w:p>
      <w:pPr>
        <w:pStyle w:val="2"/>
        <w:spacing w:line="560" w:lineRule="exact"/>
        <w:ind w:left="420" w:leftChars="200" w:firstLine="320" w:firstLineChars="100"/>
        <w:outlineLvl w:val="0"/>
        <w:rPr>
          <w:rFonts w:ascii="仿宋_GB2312" w:hAnsi="仿宋_GB2312" w:eastAsia="仿宋_GB2312" w:cs="仿宋_GB2312"/>
          <w:color w:val="000000"/>
          <w:sz w:val="32"/>
          <w:szCs w:val="32"/>
        </w:rPr>
      </w:pPr>
      <w:bookmarkStart w:id="109" w:name="_Toc2634_WPSOffice_Level1"/>
      <w:r>
        <w:rPr>
          <w:rFonts w:hint="eastAsia" w:ascii="仿宋_GB2312" w:hAnsi="仿宋_GB2312" w:eastAsia="仿宋_GB2312" w:cs="仿宋_GB2312"/>
          <w:color w:val="000000"/>
          <w:sz w:val="32"/>
          <w:szCs w:val="32"/>
        </w:rPr>
        <w:t>五、评价分析</w:t>
      </w:r>
      <w:bookmarkEnd w:id="109"/>
    </w:p>
    <w:p>
      <w:pPr>
        <w:spacing w:line="560" w:lineRule="exact"/>
        <w:ind w:firstLine="640" w:firstLineChars="200"/>
        <w:outlineLvl w:val="1"/>
        <w:rPr>
          <w:rFonts w:ascii="仿宋_GB2312" w:hAnsi="仿宋_GB2312" w:eastAsia="仿宋_GB2312" w:cs="仿宋_GB2312"/>
          <w:color w:val="000000"/>
          <w:sz w:val="32"/>
          <w:szCs w:val="40"/>
        </w:rPr>
      </w:pPr>
      <w:bookmarkStart w:id="110" w:name="_Toc18513_WPSOffice_Level2"/>
      <w:r>
        <w:rPr>
          <w:rFonts w:hint="eastAsia" w:ascii="仿宋_GB2312" w:hAnsi="仿宋_GB2312" w:eastAsia="仿宋_GB2312" w:cs="仿宋_GB2312"/>
          <w:color w:val="000000"/>
          <w:sz w:val="32"/>
          <w:szCs w:val="40"/>
        </w:rPr>
        <w:t>（一）主要扣分事项及原因分析</w:t>
      </w:r>
      <w:bookmarkEnd w:id="110"/>
    </w:p>
    <w:p>
      <w:pPr>
        <w:rPr>
          <w:rFonts w:hint="eastAsia" w:eastAsia="仿宋_GB2312"/>
          <w:lang w:eastAsia="zh-CN"/>
        </w:rPr>
      </w:pPr>
      <w:r>
        <w:rPr>
          <w:rFonts w:hint="eastAsia"/>
        </w:rPr>
        <w:t xml:space="preserve"> </w:t>
      </w:r>
      <w:r>
        <w:rPr>
          <w:rFonts w:hint="eastAsia"/>
          <w:lang w:val="en-US" w:eastAsia="zh-CN"/>
        </w:rPr>
        <w:t xml:space="preserve">             </w:t>
      </w:r>
      <w:r>
        <w:rPr>
          <w:rFonts w:hint="eastAsia" w:ascii="仿宋_GB2312" w:hAnsi="仿宋_GB2312" w:eastAsia="仿宋_GB2312" w:cs="仿宋_GB2312"/>
          <w:color w:val="000000"/>
          <w:sz w:val="32"/>
          <w:szCs w:val="40"/>
        </w:rPr>
        <w:t>因为疫情影响，</w:t>
      </w:r>
      <w:r>
        <w:rPr>
          <w:rFonts w:hint="eastAsia" w:ascii="仿宋_GB2312" w:hAnsi="仿宋_GB2312" w:eastAsia="仿宋_GB2312" w:cs="仿宋_GB2312"/>
          <w:color w:val="000000"/>
          <w:sz w:val="32"/>
          <w:szCs w:val="40"/>
          <w:lang w:eastAsia="zh-CN"/>
        </w:rPr>
        <w:t>和限额系统第一年运行，对相关规定和系统操作不熟悉等原因，延误了工程前期的进度。下一步将加强业务学习，提前谋划，确保项目资金高效、及时用到学校发展上来，促进教育教学和住宿环境的进一步改善。</w:t>
      </w:r>
    </w:p>
    <w:p>
      <w:pPr>
        <w:pStyle w:val="2"/>
        <w:numPr>
          <w:ilvl w:val="0"/>
          <w:numId w:val="2"/>
        </w:numPr>
        <w:spacing w:line="560" w:lineRule="exact"/>
        <w:ind w:left="730" w:leftChars="0" w:firstLine="320" w:firstLineChars="0"/>
        <w:outlineLvl w:val="0"/>
      </w:pPr>
      <w:bookmarkStart w:id="111" w:name="_Toc11279_WPSOffice_Level1"/>
      <w:r>
        <w:rPr>
          <w:rFonts w:hint="eastAsia" w:ascii="仿宋_GB2312" w:hAnsi="仿宋_GB2312" w:eastAsia="仿宋_GB2312" w:cs="仿宋_GB2312"/>
          <w:color w:val="000000"/>
          <w:sz w:val="32"/>
          <w:szCs w:val="32"/>
        </w:rPr>
        <w:t>意见及建议</w:t>
      </w:r>
      <w:bookmarkEnd w:id="111"/>
      <w:r>
        <w:rPr>
          <w:rFonts w:hint="eastAsia" w:ascii="仿宋_GB2312" w:hAnsi="仿宋_GB2312" w:eastAsia="仿宋_GB2312" w:cs="仿宋_GB2312"/>
          <w:color w:val="000000"/>
          <w:sz w:val="32"/>
          <w:szCs w:val="32"/>
          <w:lang w:val="en-US" w:eastAsia="zh-CN"/>
        </w:rPr>
        <w:t xml:space="preserve">   </w:t>
      </w:r>
    </w:p>
    <w:p>
      <w:pPr>
        <w:rPr>
          <w:rFonts w:hint="default" w:eastAsia="仿宋_GB2312"/>
          <w:lang w:val="en-US" w:eastAsia="zh-CN"/>
        </w:rPr>
      </w:pPr>
      <w:r>
        <w:rPr>
          <w:rFonts w:hint="eastAsia" w:ascii="仿宋_GB2312" w:hAnsi="仿宋_GB2312" w:eastAsia="仿宋_GB2312" w:cs="仿宋_GB2312"/>
          <w:color w:val="000000"/>
          <w:sz w:val="32"/>
          <w:szCs w:val="32"/>
          <w:lang w:val="en-US" w:eastAsia="zh-CN"/>
        </w:rPr>
        <w:t xml:space="preserve">     主管部门要加强对下级单位的业务指导，尤其是对政府采购系统、资金支付手续、项目前期手续等要逐一指导。让学校相关人员学懂、弄通、灵活高效运用。</w:t>
      </w:r>
    </w:p>
    <w:p>
      <w:pPr>
        <w:pStyle w:val="2"/>
        <w:spacing w:line="560" w:lineRule="exact"/>
        <w:ind w:left="420" w:leftChars="200" w:firstLine="4960" w:firstLineChars="1550"/>
        <w:outlineLvl w:val="0"/>
        <w:rPr>
          <w:rFonts w:ascii="仿宋_GB2312" w:hAnsi="仿宋_GB2312" w:eastAsia="仿宋_GB2312" w:cs="仿宋_GB2312"/>
          <w:color w:val="000000"/>
          <w:sz w:val="32"/>
          <w:szCs w:val="32"/>
        </w:rPr>
      </w:pPr>
    </w:p>
    <w:p>
      <w:pPr>
        <w:pStyle w:val="2"/>
        <w:spacing w:line="560" w:lineRule="exact"/>
        <w:ind w:firstLine="6400" w:firstLineChars="2000"/>
        <w:outlineLvl w:val="0"/>
        <w:rPr>
          <w:rFonts w:ascii="仿宋_GB2312" w:hAnsi="仿宋_GB2312" w:eastAsia="仿宋_GB2312" w:cs="仿宋_GB2312"/>
        </w:rPr>
      </w:pPr>
      <w:r>
        <w:rPr>
          <w:rFonts w:hint="eastAsia" w:ascii="仿宋_GB2312" w:hAnsi="仿宋_GB2312" w:eastAsia="仿宋_GB2312" w:cs="仿宋_GB2312"/>
          <w:color w:val="000000"/>
          <w:sz w:val="32"/>
          <w:szCs w:val="32"/>
          <w:lang w:val="en-US" w:eastAsia="zh-CN"/>
        </w:rPr>
        <w:t>2023</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lang w:val="en-US" w:eastAsia="zh-CN"/>
        </w:rPr>
        <w:t>16</w:t>
      </w:r>
      <w:r>
        <w:rPr>
          <w:rFonts w:hint="eastAsia" w:ascii="仿宋_GB2312" w:hAnsi="仿宋_GB2312" w:eastAsia="仿宋_GB2312" w:cs="仿宋_GB2312"/>
          <w:color w:val="000000"/>
          <w:sz w:val="32"/>
          <w:szCs w:val="32"/>
        </w:rPr>
        <w:t>日</w:t>
      </w:r>
    </w:p>
    <w:sectPr>
      <w:footerReference r:id="rId3" w:type="default"/>
      <w:pgSz w:w="11906" w:h="16838"/>
      <w:pgMar w:top="2154" w:right="1474" w:bottom="1984" w:left="158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hzD29rgEAAEsD&#10;AAAOAAAAAAAAAAEAIAAAAB4BAABkcnMvZTJvRG9jLnhtbFBLBQYAAAAABgAGAFkBAAA+BQAAAAA=&#1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030C8F"/>
    <w:multiLevelType w:val="singleLevel"/>
    <w:tmpl w:val="17030C8F"/>
    <w:lvl w:ilvl="0" w:tentative="0">
      <w:start w:val="2"/>
      <w:numFmt w:val="chineseCounting"/>
      <w:suff w:val="nothing"/>
      <w:lvlText w:val="（%1）"/>
      <w:lvlJc w:val="left"/>
      <w:rPr>
        <w:rFonts w:hint="eastAsia"/>
      </w:rPr>
    </w:lvl>
  </w:abstractNum>
  <w:abstractNum w:abstractNumId="1">
    <w:nsid w:val="24ED1E05"/>
    <w:multiLevelType w:val="singleLevel"/>
    <w:tmpl w:val="24ED1E05"/>
    <w:lvl w:ilvl="0" w:tentative="0">
      <w:start w:val="6"/>
      <w:numFmt w:val="chineseCounting"/>
      <w:suff w:val="nothing"/>
      <w:lvlText w:val="%1、"/>
      <w:lvlJc w:val="left"/>
      <w:pPr>
        <w:ind w:left="310"/>
      </w:pPr>
      <w:rPr>
        <w:rFonts w:hint="eastAsia"/>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zE3YzM5ZjM4NjNiY2Q3NzRlZjUwOGIyZDVlZmE3NGQifQ=="/>
  </w:docVars>
  <w:rsids>
    <w:rsidRoot w:val="07CC499B"/>
    <w:rsid w:val="00092B14"/>
    <w:rsid w:val="000D47D0"/>
    <w:rsid w:val="001373BE"/>
    <w:rsid w:val="001F3212"/>
    <w:rsid w:val="002707C6"/>
    <w:rsid w:val="00280F82"/>
    <w:rsid w:val="003170CE"/>
    <w:rsid w:val="003C4354"/>
    <w:rsid w:val="00645DBC"/>
    <w:rsid w:val="007812E3"/>
    <w:rsid w:val="00814E39"/>
    <w:rsid w:val="008C7CF4"/>
    <w:rsid w:val="00A02C66"/>
    <w:rsid w:val="00AB413B"/>
    <w:rsid w:val="00B60E03"/>
    <w:rsid w:val="00D25A69"/>
    <w:rsid w:val="00D25CC3"/>
    <w:rsid w:val="00D3165F"/>
    <w:rsid w:val="00D471F4"/>
    <w:rsid w:val="00D5394A"/>
    <w:rsid w:val="00DB6DF3"/>
    <w:rsid w:val="00E30CAE"/>
    <w:rsid w:val="00E310A2"/>
    <w:rsid w:val="00EF2BA5"/>
    <w:rsid w:val="00EF6DA3"/>
    <w:rsid w:val="00FA340E"/>
    <w:rsid w:val="01B67D1F"/>
    <w:rsid w:val="01CA2AF2"/>
    <w:rsid w:val="03274687"/>
    <w:rsid w:val="03C03A2F"/>
    <w:rsid w:val="04064A0C"/>
    <w:rsid w:val="04321BCD"/>
    <w:rsid w:val="04FF4482"/>
    <w:rsid w:val="057A0A50"/>
    <w:rsid w:val="064C4C17"/>
    <w:rsid w:val="076C3175"/>
    <w:rsid w:val="07CC499B"/>
    <w:rsid w:val="0815567D"/>
    <w:rsid w:val="0909607F"/>
    <w:rsid w:val="098658DD"/>
    <w:rsid w:val="09A64785"/>
    <w:rsid w:val="0A3B4E4B"/>
    <w:rsid w:val="0B601B06"/>
    <w:rsid w:val="0BEB58BF"/>
    <w:rsid w:val="0C15027B"/>
    <w:rsid w:val="0C3B2A49"/>
    <w:rsid w:val="0DAA4EE9"/>
    <w:rsid w:val="0E3117D9"/>
    <w:rsid w:val="102B0836"/>
    <w:rsid w:val="1064155D"/>
    <w:rsid w:val="1156122B"/>
    <w:rsid w:val="11F11891"/>
    <w:rsid w:val="12C35BB4"/>
    <w:rsid w:val="140849FA"/>
    <w:rsid w:val="14583EA3"/>
    <w:rsid w:val="151D09B5"/>
    <w:rsid w:val="1689469A"/>
    <w:rsid w:val="16DB1E7D"/>
    <w:rsid w:val="178C6C5A"/>
    <w:rsid w:val="17CD646A"/>
    <w:rsid w:val="184F3049"/>
    <w:rsid w:val="1B3F225B"/>
    <w:rsid w:val="1B4269FF"/>
    <w:rsid w:val="1D4B3C83"/>
    <w:rsid w:val="1DBD7AB3"/>
    <w:rsid w:val="1DF54195"/>
    <w:rsid w:val="1E0B387E"/>
    <w:rsid w:val="21460607"/>
    <w:rsid w:val="21FF1E9B"/>
    <w:rsid w:val="23C1122C"/>
    <w:rsid w:val="243D751D"/>
    <w:rsid w:val="24522B03"/>
    <w:rsid w:val="25ED2FD4"/>
    <w:rsid w:val="264A346A"/>
    <w:rsid w:val="270A41B9"/>
    <w:rsid w:val="274B3C4E"/>
    <w:rsid w:val="285356FD"/>
    <w:rsid w:val="288E37E0"/>
    <w:rsid w:val="290243B4"/>
    <w:rsid w:val="2A5C748F"/>
    <w:rsid w:val="2B10000E"/>
    <w:rsid w:val="2B2D56DA"/>
    <w:rsid w:val="2D391E20"/>
    <w:rsid w:val="30785FD3"/>
    <w:rsid w:val="31702E0D"/>
    <w:rsid w:val="33C32B3C"/>
    <w:rsid w:val="34E52524"/>
    <w:rsid w:val="35CA4ECD"/>
    <w:rsid w:val="35CE5164"/>
    <w:rsid w:val="35F07825"/>
    <w:rsid w:val="360C2FBA"/>
    <w:rsid w:val="363913FE"/>
    <w:rsid w:val="36D6548C"/>
    <w:rsid w:val="376918C7"/>
    <w:rsid w:val="37751A85"/>
    <w:rsid w:val="37832AC7"/>
    <w:rsid w:val="38195BED"/>
    <w:rsid w:val="39B23A02"/>
    <w:rsid w:val="3A4766ED"/>
    <w:rsid w:val="3A713A3B"/>
    <w:rsid w:val="3AAB2217"/>
    <w:rsid w:val="3CAE49E3"/>
    <w:rsid w:val="3DAE40CB"/>
    <w:rsid w:val="3E7103A9"/>
    <w:rsid w:val="3E7E746E"/>
    <w:rsid w:val="3EBE2184"/>
    <w:rsid w:val="3F5912F8"/>
    <w:rsid w:val="3F9B4FC0"/>
    <w:rsid w:val="41B74B09"/>
    <w:rsid w:val="43DC781A"/>
    <w:rsid w:val="441C7555"/>
    <w:rsid w:val="450A0AA4"/>
    <w:rsid w:val="45236574"/>
    <w:rsid w:val="46434BE2"/>
    <w:rsid w:val="46AA6AA7"/>
    <w:rsid w:val="478E0E32"/>
    <w:rsid w:val="48A2447B"/>
    <w:rsid w:val="49430BD9"/>
    <w:rsid w:val="494625CA"/>
    <w:rsid w:val="4BD23ED8"/>
    <w:rsid w:val="4C2846CD"/>
    <w:rsid w:val="4C7A4C55"/>
    <w:rsid w:val="4CCE615D"/>
    <w:rsid w:val="4F6A54EE"/>
    <w:rsid w:val="4FDF6ED1"/>
    <w:rsid w:val="514C0EC5"/>
    <w:rsid w:val="51F50157"/>
    <w:rsid w:val="52866F20"/>
    <w:rsid w:val="52EE7A8B"/>
    <w:rsid w:val="535B290E"/>
    <w:rsid w:val="53F1208F"/>
    <w:rsid w:val="54DE5250"/>
    <w:rsid w:val="55495194"/>
    <w:rsid w:val="56115CEE"/>
    <w:rsid w:val="56D42516"/>
    <w:rsid w:val="56FE5044"/>
    <w:rsid w:val="57E03285"/>
    <w:rsid w:val="5AE71036"/>
    <w:rsid w:val="5B5F30DA"/>
    <w:rsid w:val="5BAF6F84"/>
    <w:rsid w:val="5BE03A0F"/>
    <w:rsid w:val="5D5C7CBD"/>
    <w:rsid w:val="5DF86B3F"/>
    <w:rsid w:val="5F1C1ADB"/>
    <w:rsid w:val="60134031"/>
    <w:rsid w:val="60C120AA"/>
    <w:rsid w:val="6304094B"/>
    <w:rsid w:val="64165E4C"/>
    <w:rsid w:val="6536013A"/>
    <w:rsid w:val="68DA698B"/>
    <w:rsid w:val="6A3E1F45"/>
    <w:rsid w:val="6CCC6D4C"/>
    <w:rsid w:val="6D5F4EC3"/>
    <w:rsid w:val="6E3F5A2C"/>
    <w:rsid w:val="7008088F"/>
    <w:rsid w:val="712634CC"/>
    <w:rsid w:val="71A3781D"/>
    <w:rsid w:val="724E698E"/>
    <w:rsid w:val="735D0947"/>
    <w:rsid w:val="756501CF"/>
    <w:rsid w:val="778F438E"/>
    <w:rsid w:val="78F42BC9"/>
    <w:rsid w:val="7A055146"/>
    <w:rsid w:val="7A757A3F"/>
    <w:rsid w:val="7C647BFE"/>
    <w:rsid w:val="7D9B64C3"/>
    <w:rsid w:val="7FA857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pPr>
  </w:style>
  <w:style w:type="paragraph" w:styleId="3">
    <w:name w:val="Body Text Indent"/>
    <w:basedOn w:val="1"/>
    <w:qFormat/>
    <w:uiPriority w:val="0"/>
    <w:pPr>
      <w:spacing w:line="600" w:lineRule="exact"/>
      <w:ind w:firstLine="560" w:firstLineChars="200"/>
      <w:textAlignment w:val="center"/>
    </w:pPr>
    <w:rPr>
      <w:rFonts w:ascii="宋体" w:hAnsi="宋体"/>
      <w:color w:val="FF0000"/>
      <w:sz w:val="28"/>
      <w:szCs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character" w:styleId="9">
    <w:name w:val="Strong"/>
    <w:basedOn w:val="8"/>
    <w:qFormat/>
    <w:uiPriority w:val="0"/>
    <w:rPr>
      <w:b/>
    </w:rPr>
  </w:style>
  <w:style w:type="paragraph" w:customStyle="1" w:styleId="10">
    <w:name w:val="WPSOffice手动目录 1"/>
    <w:qFormat/>
    <w:uiPriority w:val="0"/>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2">
    <w:name w:val="页眉 Char"/>
    <w:basedOn w:val="8"/>
    <w:link w:val="5"/>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2582</Words>
  <Characters>2695</Characters>
  <Lines>9</Lines>
  <Paragraphs>2</Paragraphs>
  <TotalTime>8</TotalTime>
  <ScaleCrop>false</ScaleCrop>
  <LinksUpToDate>false</LinksUpToDate>
  <CharactersWithSpaces>2784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2021-07-20T09:00:00Z</dcterms:created>
  <dc:creator>user</dc:creator>
  <cp:lastModifiedBy>Administrator</cp:lastModifiedBy>
  <dcterms:modified xsi:type="dcterms:W3CDTF">2023-03-20T02:16:52Z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8217B3A3FB2B4C88848C45D7B6D53E50</vt:lpwstr>
  </property>
</Properties>
</file>