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20" w:firstLineChars="199"/>
        <w:jc w:val="center"/>
        <w:rPr>
          <w:rFonts w:hint="default" w:ascii="仿宋_GB2312" w:hAnsi="仿宋_GB2312" w:eastAsia="仿宋_GB2312" w:cs="仿宋_GB2312"/>
          <w:b/>
          <w:bCs/>
          <w:spacing w:val="-20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val="en-US" w:eastAsia="zh-CN"/>
        </w:rPr>
        <w:t>双碑校区</w:t>
      </w:r>
    </w:p>
    <w:p>
      <w:pPr>
        <w:spacing w:line="580" w:lineRule="exact"/>
        <w:ind w:firstLine="799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  <w:lang w:val="en-US" w:eastAsia="zh-CN"/>
        </w:rPr>
        <w:t>西良后小学餐厅</w:t>
      </w: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项目重点自评绩效报告</w:t>
      </w: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pStyle w:val="6"/>
        <w:ind w:firstLine="560"/>
      </w:pPr>
    </w:p>
    <w:p/>
    <w:p>
      <w:pPr>
        <w:pStyle w:val="6"/>
        <w:ind w:firstLine="560"/>
      </w:pPr>
    </w:p>
    <w:p/>
    <w:p>
      <w:pPr>
        <w:pStyle w:val="6"/>
        <w:ind w:firstLine="560"/>
      </w:pPr>
    </w:p>
    <w:p>
      <w:pPr>
        <w:spacing w:line="760" w:lineRule="exact"/>
        <w:ind w:firstLine="906" w:firstLineChars="300"/>
        <w:jc w:val="lef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西良后小学餐厅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隆尧县双碑校区西良后小学</w:t>
      </w:r>
    </w:p>
    <w:p>
      <w:pPr>
        <w:spacing w:line="760" w:lineRule="exact"/>
        <w:ind w:firstLine="672" w:firstLineChars="200"/>
        <w:jc w:val="both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262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万元</w:t>
      </w:r>
    </w:p>
    <w:p>
      <w:pPr>
        <w:spacing w:line="760" w:lineRule="exact"/>
        <w:ind w:firstLine="604" w:firstLineChars="200"/>
        <w:jc w:val="lef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</w:t>
      </w:r>
      <w:r>
        <w:rPr>
          <w:rFonts w:hint="eastAsia" w:ascii="仿宋_GB2312" w:hAnsi="仿宋_GB2312" w:eastAsia="仿宋_GB2312" w:cs="仿宋_GB2312"/>
          <w:spacing w:val="11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价</w:t>
      </w:r>
      <w:r>
        <w:rPr>
          <w:rFonts w:hint="eastAsia" w:ascii="仿宋_GB2312" w:hAnsi="仿宋_GB2312" w:eastAsia="仿宋_GB2312" w:cs="仿宋_GB2312"/>
          <w:spacing w:val="11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pacing w:val="11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>
      <w:pPr>
        <w:spacing w:line="760" w:lineRule="exact"/>
        <w:ind w:firstLine="672" w:firstLineChars="200"/>
        <w:jc w:val="lef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柴国文</w:t>
      </w:r>
    </w:p>
    <w:p>
      <w:pPr>
        <w:spacing w:line="760" w:lineRule="exact"/>
        <w:ind w:firstLine="672" w:firstLineChars="200"/>
        <w:jc w:val="left"/>
        <w:rPr>
          <w:rFonts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刘孟花、郭力辉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樊兴章、李永福</w:t>
      </w:r>
    </w:p>
    <w:p>
      <w:pPr>
        <w:rPr>
          <w:rFonts w:ascii="仿宋_GB2312" w:hAnsi="仿宋_GB2312" w:eastAsia="仿宋_GB2312" w:cs="仿宋_GB2312"/>
          <w:u w:val="single"/>
        </w:rPr>
      </w:pPr>
      <w:bookmarkStart w:id="0" w:name="_Toc5909_WPSOffice_Level1"/>
      <w:bookmarkStart w:id="1" w:name="_Toc7470_WPSOffice_Level1"/>
    </w:p>
    <w:bookmarkEnd w:id="0"/>
    <w:bookmarkEnd w:id="1"/>
    <w:p>
      <w:pPr>
        <w:pStyle w:val="6"/>
        <w:spacing w:line="120" w:lineRule="exact"/>
        <w:ind w:firstLine="560"/>
        <w:rPr>
          <w:rFonts w:ascii="仿宋_GB2312" w:hAnsi="仿宋_GB2312" w:eastAsia="仿宋_GB2312" w:cs="仿宋_GB2312"/>
        </w:rPr>
      </w:pP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" w:name="_Toc4013"/>
      <w:bookmarkStart w:id="3" w:name="_Toc18334"/>
      <w:bookmarkStart w:id="4" w:name="_Toc30335"/>
      <w:bookmarkStart w:id="5" w:name="_Toc16913"/>
      <w:bookmarkStart w:id="6" w:name="_Toc23411"/>
      <w:bookmarkStart w:id="7" w:name="_Toc2245"/>
      <w:bookmarkStart w:id="8" w:name="_Toc9525"/>
      <w:bookmarkStart w:id="9" w:name="_Toc13153"/>
      <w:bookmarkStart w:id="10" w:name="_Toc6314"/>
      <w:bookmarkStart w:id="11" w:name="_Toc11301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2" w:name="_Toc19963"/>
      <w:bookmarkStart w:id="13" w:name="_Toc24784"/>
      <w:bookmarkStart w:id="14" w:name="_Toc937"/>
      <w:bookmarkStart w:id="15" w:name="_Toc30895"/>
      <w:bookmarkStart w:id="16" w:name="_Toc22453"/>
      <w:bookmarkStart w:id="17" w:name="_Toc22285"/>
      <w:bookmarkStart w:id="18" w:name="_Toc32742"/>
      <w:bookmarkStart w:id="19" w:name="_Toc19370"/>
      <w:bookmarkStart w:id="20" w:name="_Toc23957"/>
      <w:bookmarkStart w:id="21" w:name="_Toc15831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pacing w:line="580" w:lineRule="exact"/>
        <w:ind w:firstLine="640" w:firstLineChars="200"/>
        <w:outlineLvl w:val="1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bookmarkStart w:id="22" w:name="_Toc15167"/>
      <w:bookmarkStart w:id="23" w:name="_Toc8843"/>
      <w:bookmarkStart w:id="24" w:name="_Toc29308"/>
      <w:r>
        <w:rPr>
          <w:rFonts w:hint="eastAsia" w:ascii="仿宋_GB2312" w:hAnsi="仿宋_GB2312" w:eastAsia="仿宋_GB2312" w:cs="仿宋_GB2312"/>
          <w:sz w:val="32"/>
          <w:szCs w:val="40"/>
        </w:rPr>
        <w:t>单位名称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隆尧县双碑校区西良后小学</w:t>
      </w:r>
    </w:p>
    <w:p>
      <w:pPr>
        <w:spacing w:line="580" w:lineRule="exact"/>
        <w:ind w:firstLine="1280" w:firstLineChars="400"/>
        <w:outlineLvl w:val="1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地址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西良后小学院内</w:t>
      </w:r>
    </w:p>
    <w:p>
      <w:pPr>
        <w:spacing w:line="580" w:lineRule="exact"/>
        <w:ind w:firstLine="1280" w:firstLineChars="400"/>
        <w:outlineLvl w:val="1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性质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公益一类事业单位</w:t>
      </w:r>
    </w:p>
    <w:p>
      <w:pPr>
        <w:spacing w:line="580" w:lineRule="exact"/>
        <w:ind w:firstLine="960" w:firstLineChars="300"/>
        <w:outlineLvl w:val="1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承担的业务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实施小学义务教育，促进基础教育发展。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2"/>
      <w:bookmarkEnd w:id="23"/>
      <w:bookmarkEnd w:id="24"/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25" w:name="_Toc24191"/>
      <w:bookmarkStart w:id="26" w:name="_Toc26594"/>
      <w:bookmarkStart w:id="27" w:name="_Toc27552"/>
      <w:bookmarkStart w:id="28" w:name="_Toc32656"/>
      <w:r>
        <w:rPr>
          <w:rFonts w:hint="eastAsia" w:ascii="仿宋" w:hAnsi="仿宋" w:eastAsia="仿宋" w:cs="仿宋"/>
          <w:sz w:val="32"/>
          <w:szCs w:val="40"/>
        </w:rPr>
        <w:t>项目资金数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冀财教[2021]167号/下达2022年义务教育薄弱环节改善与能力提升省级补助资金/薄改与能力提升/西良后小学新建餐厅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项目资金262万元。</w:t>
      </w:r>
    </w:p>
    <w:p>
      <w:pPr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具体项目数量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新建餐厅项目一个。</w:t>
      </w:r>
    </w:p>
    <w:p>
      <w:pPr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工程量与支付资金情况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2022年该项目未进行招标、资金未支付。</w:t>
      </w:r>
    </w:p>
    <w:bookmarkEnd w:id="25"/>
    <w:bookmarkEnd w:id="26"/>
    <w:bookmarkEnd w:id="27"/>
    <w:bookmarkEnd w:id="28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9" w:name="_Toc17782"/>
      <w:bookmarkStart w:id="30" w:name="_Toc12860"/>
      <w:bookmarkStart w:id="31" w:name="_Toc7839"/>
      <w:bookmarkStart w:id="32" w:name="_Toc18992"/>
      <w:bookmarkStart w:id="33" w:name="_Toc2988"/>
      <w:bookmarkStart w:id="34" w:name="_Toc4859"/>
      <w:bookmarkStart w:id="35" w:name="_Toc6781"/>
      <w:bookmarkStart w:id="36" w:name="_Toc26109"/>
      <w:bookmarkStart w:id="37" w:name="_Toc14644"/>
      <w:bookmarkStart w:id="38" w:name="_Toc28908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40"/>
          <w:lang w:val="en-US"/>
        </w:rPr>
      </w:pPr>
      <w:bookmarkStart w:id="39" w:name="_Toc22812"/>
      <w:bookmarkStart w:id="40" w:name="_Toc4138"/>
      <w:bookmarkStart w:id="41" w:name="_Toc9227"/>
      <w:bookmarkStart w:id="42" w:name="_Toc31876"/>
      <w:bookmarkStart w:id="43" w:name="_Toc13114"/>
      <w:bookmarkStart w:id="44" w:name="_Toc11365"/>
      <w:bookmarkStart w:id="45" w:name="_Toc17067"/>
      <w:bookmarkStart w:id="46" w:name="_Toc20844"/>
      <w:bookmarkStart w:id="47" w:name="_Toc17743"/>
      <w:bookmarkStart w:id="48" w:name="_Toc10886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截止2022年底已完成地勘、设计、立项、选址、规划、预算及预算评审工作。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49" w:name="_Toc10651"/>
      <w:bookmarkStart w:id="50" w:name="_Toc5317"/>
      <w:bookmarkStart w:id="51" w:name="_Toc18915"/>
      <w:bookmarkStart w:id="52" w:name="_Toc20904"/>
      <w:bookmarkStart w:id="53" w:name="_Toc26855"/>
      <w:bookmarkStart w:id="54" w:name="_Toc6451"/>
      <w:bookmarkStart w:id="55" w:name="_Toc21501"/>
      <w:bookmarkStart w:id="56" w:name="_Toc29800"/>
      <w:bookmarkStart w:id="57" w:name="_Toc5215"/>
      <w:bookmarkStart w:id="58" w:name="_Toc12150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bookmarkStart w:id="59" w:name="_Toc8077"/>
      <w:bookmarkStart w:id="60" w:name="_Toc5105"/>
      <w:bookmarkStart w:id="61" w:name="_Toc14742"/>
      <w:bookmarkStart w:id="62" w:name="_Toc4056"/>
      <w:bookmarkStart w:id="63" w:name="_Toc7570"/>
      <w:bookmarkStart w:id="64" w:name="_Toc25600"/>
      <w:bookmarkStart w:id="65" w:name="_Toc23608"/>
      <w:bookmarkStart w:id="66" w:name="_Toc22771"/>
      <w:bookmarkStart w:id="67" w:name="_Toc15730"/>
      <w:bookmarkStart w:id="68" w:name="_Toc17355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</w:p>
    <w:p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西良后小学餐厅</w:t>
      </w:r>
      <w:r>
        <w:rPr>
          <w:rFonts w:hint="eastAsia" w:ascii="仿宋_GB2312" w:eastAsia="仿宋_GB2312"/>
          <w:sz w:val="32"/>
          <w:szCs w:val="32"/>
        </w:rPr>
        <w:t>项目资金进行绩效评价，了解和掌握项目的决策情况、具体实施情况、采取的工作措施等，提出加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强</w:t>
      </w:r>
      <w:r>
        <w:rPr>
          <w:rFonts w:hint="eastAsia" w:ascii="仿宋_GB2312" w:eastAsia="仿宋_GB2312"/>
          <w:sz w:val="32"/>
          <w:szCs w:val="32"/>
        </w:rPr>
        <w:t>项目资金支出管理建议，促进财政资金使用绩效。</w:t>
      </w:r>
    </w:p>
    <w:p>
      <w:pPr>
        <w:spacing w:line="580" w:lineRule="exact"/>
        <w:ind w:firstLine="640" w:firstLineChars="200"/>
        <w:jc w:val="left"/>
      </w:pPr>
      <w:r>
        <w:rPr>
          <w:rFonts w:hint="eastAsia" w:ascii="仿宋_GB2312" w:eastAsia="仿宋_GB2312"/>
          <w:sz w:val="32"/>
          <w:szCs w:val="32"/>
        </w:rPr>
        <w:t>促使项目单位根据绩效评价中发现的问题，认真整改，及时调整和完善单位工作计划和绩效目标并加强项目管理，同时为项目后续资金投入、分配和管理提供决策依据。</w:t>
      </w:r>
    </w:p>
    <w:p>
      <w:pPr>
        <w:pStyle w:val="6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bookmarkStart w:id="69" w:name="_Toc27346"/>
      <w:bookmarkStart w:id="70" w:name="_Toc18502"/>
      <w:bookmarkStart w:id="71" w:name="_Toc3910"/>
      <w:bookmarkStart w:id="72" w:name="_Toc22727"/>
      <w:bookmarkStart w:id="73" w:name="_Toc30351"/>
      <w:bookmarkStart w:id="74" w:name="_Toc8288"/>
      <w:bookmarkStart w:id="75" w:name="_Toc27199"/>
      <w:bookmarkStart w:id="76" w:name="_Toc16971"/>
      <w:bookmarkStart w:id="77" w:name="_Toc25746"/>
      <w:bookmarkStart w:id="78" w:name="_Toc16121"/>
      <w:r>
        <w:rPr>
          <w:rFonts w:hint="eastAsia" w:ascii="仿宋_GB2312" w:hAnsi="仿宋_GB2312" w:eastAsia="仿宋_GB2312" w:cs="仿宋_GB2312"/>
          <w:color w:val="000000" w:themeColor="text1"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4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40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40"/>
        </w:rPr>
        <w:t>评价指标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6"/>
        <w:numPr>
          <w:ilvl w:val="0"/>
          <w:numId w:val="0"/>
        </w:numPr>
        <w:ind w:firstLine="960" w:firstLineChars="3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设定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双碑校区西良后小学餐厅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项目重点绩效评价指标表，如下表。</w:t>
      </w:r>
    </w:p>
    <w:p>
      <w:pPr>
        <w:numPr>
          <w:ilvl w:val="0"/>
          <w:numId w:val="1"/>
        </w:numPr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bookmarkStart w:id="79" w:name="_Toc23270"/>
      <w:bookmarkStart w:id="80" w:name="_Toc32241"/>
      <w:bookmarkStart w:id="81" w:name="_Toc19154"/>
      <w:bookmarkStart w:id="82" w:name="_Toc32306"/>
      <w:bookmarkStart w:id="83" w:name="_Toc5587"/>
      <w:bookmarkStart w:id="84" w:name="_Toc11684"/>
      <w:bookmarkStart w:id="85" w:name="_Toc5304"/>
      <w:bookmarkStart w:id="86" w:name="_Toc12572"/>
      <w:bookmarkStart w:id="87" w:name="_Toc25343"/>
      <w:bookmarkStart w:id="88" w:name="_Toc19068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numPr>
          <w:ilvl w:val="0"/>
          <w:numId w:val="0"/>
        </w:num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1.《中华人民共和国预算法》</w:t>
      </w:r>
    </w:p>
    <w:p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2.《中华人民共和国会计法》</w:t>
      </w:r>
    </w:p>
    <w:p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3.《中华人民共和国教育法》</w:t>
      </w:r>
    </w:p>
    <w:p>
      <w:pPr>
        <w:widowControl/>
        <w:spacing w:line="58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4.《财政检查工作办法》（财政部令〔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2006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〕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32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号）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5.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《</w:t>
      </w:r>
      <w:r>
        <w:rPr>
          <w:rFonts w:hint="eastAsia" w:ascii="仿宋_GB2312" w:hAnsi="宋体" w:eastAsia="仿宋_GB2312" w:cs="宋体"/>
          <w:sz w:val="32"/>
          <w:szCs w:val="32"/>
        </w:rPr>
        <w:t>财政部关于印发</w:t>
      </w:r>
      <w:r>
        <w:rPr>
          <w:rFonts w:ascii="仿宋_GB2312" w:hAnsi="宋体" w:eastAsia="仿宋_GB2312" w:cs="宋体"/>
          <w:sz w:val="32"/>
          <w:szCs w:val="32"/>
        </w:rPr>
        <w:t>&lt;</w:t>
      </w:r>
      <w:r>
        <w:rPr>
          <w:rFonts w:hint="eastAsia" w:ascii="仿宋_GB2312" w:hAnsi="宋体" w:eastAsia="仿宋_GB2312" w:cs="宋体"/>
          <w:sz w:val="32"/>
          <w:szCs w:val="32"/>
        </w:rPr>
        <w:t>项目支出绩效评价管理办法</w:t>
      </w:r>
      <w:r>
        <w:rPr>
          <w:rFonts w:ascii="仿宋_GB2312" w:hAnsi="宋体" w:eastAsia="仿宋_GB2312" w:cs="宋体"/>
          <w:sz w:val="32"/>
          <w:szCs w:val="32"/>
        </w:rPr>
        <w:t>&gt;</w:t>
      </w:r>
      <w:r>
        <w:rPr>
          <w:rFonts w:hint="eastAsia" w:ascii="仿宋_GB2312" w:hAnsi="宋体" w:eastAsia="仿宋_GB2312" w:cs="宋体"/>
          <w:sz w:val="32"/>
          <w:szCs w:val="32"/>
        </w:rPr>
        <w:t>的通知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》（</w:t>
      </w:r>
      <w:r>
        <w:rPr>
          <w:rFonts w:hint="eastAsia" w:ascii="仿宋_GB2312" w:hAnsi="宋体" w:eastAsia="仿宋_GB2312" w:cs="宋体"/>
          <w:sz w:val="32"/>
          <w:szCs w:val="32"/>
        </w:rPr>
        <w:t>财预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hAnsi="宋体" w:eastAsia="仿宋_GB2312" w:cs="宋体"/>
          <w:sz w:val="32"/>
          <w:szCs w:val="32"/>
          <w:lang w:val="zh-CN"/>
        </w:rPr>
        <w:t>20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号）</w:t>
      </w:r>
    </w:p>
    <w:p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6.《中共隆尧县委 隆尧县人民政府关于全面落实预算绩效管理的实施意见》（隆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发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2019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5号）</w:t>
      </w:r>
    </w:p>
    <w:p>
      <w:pPr>
        <w:widowControl/>
        <w:spacing w:line="580" w:lineRule="exact"/>
        <w:ind w:firstLine="640" w:firstLineChars="200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7.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《隆尧县县级预算绩效重点评价管理办法》（隆财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43号）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bookmarkStart w:id="89" w:name="_Toc1868"/>
      <w:bookmarkStart w:id="90" w:name="_Toc22038"/>
      <w:bookmarkStart w:id="91" w:name="_Toc11243"/>
      <w:bookmarkStart w:id="92" w:name="_Toc6747"/>
      <w:bookmarkStart w:id="93" w:name="_Toc9401"/>
      <w:bookmarkStart w:id="94" w:name="_Toc26780"/>
      <w:bookmarkStart w:id="95" w:name="_Toc12940"/>
      <w:bookmarkStart w:id="96" w:name="_Toc7393"/>
      <w:bookmarkStart w:id="97" w:name="_Toc13179"/>
      <w:bookmarkStart w:id="98" w:name="_Toc24302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Style w:val="9"/>
          <w:rFonts w:hint="eastAsia" w:ascii="仿宋_GB2312" w:hAnsi="宋体" w:eastAsia="仿宋_GB2312" w:cs="仿宋_GB2312"/>
          <w:b w:val="0"/>
          <w:bCs/>
          <w:sz w:val="32"/>
          <w:szCs w:val="32"/>
        </w:rPr>
        <w:t>根据相关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要求，评价工作将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网络评价与现场评价相结合；数字资料与纸质资料评价相结合；会计资料评价与工程技术资料评价相结合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。</w:t>
      </w:r>
    </w:p>
    <w:p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1.在听取</w:t>
      </w:r>
      <w:r>
        <w:rPr>
          <w:rFonts w:hint="eastAsia" w:ascii="仿宋_GB2312" w:eastAsia="仿宋_GB2312"/>
          <w:sz w:val="32"/>
          <w:szCs w:val="32"/>
          <w:lang w:eastAsia="zh-CN"/>
        </w:rPr>
        <w:t>项目施工单位和学校项目资金领导小组各成员对</w:t>
      </w:r>
      <w:r>
        <w:rPr>
          <w:rFonts w:hint="eastAsia" w:ascii="仿宋_GB2312" w:eastAsia="仿宋_GB2312"/>
          <w:sz w:val="32"/>
          <w:szCs w:val="32"/>
        </w:rPr>
        <w:t>项目实施情况汇报的基础上，核实相关资料的真实性、合法性、合理性，对项目资料中反映的或分析中发现的问题进行重点核查。</w:t>
      </w:r>
    </w:p>
    <w:p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2.实地检查的形式：采取座谈、现场核实、走访、调查问卷、查阅资料等方式。</w:t>
      </w:r>
    </w:p>
    <w:p>
      <w:pPr>
        <w:pStyle w:val="6"/>
        <w:ind w:firstLine="640"/>
        <w:rPr>
          <w:rFonts w:ascii="仿宋_GB2312" w:hAnsi="Calibri" w:eastAsia="仿宋_GB2312"/>
          <w:color w:val="auto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3.综合评价。评价组在全面分析整理被评价项目的相关数据资料的基础上，总结评价情况，对照评价指标和标准，进行综合评议与打分，得出评价结论，撰写评价报告。</w:t>
      </w:r>
    </w:p>
    <w:p>
      <w:pPr>
        <w:spacing w:line="48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4.评价等级设置为：优秀95分以上（含95分）、良好80分-94分（含80分）、合格60分-79分（含60分）、不合格（60分以下）四个等级。</w:t>
      </w:r>
    </w:p>
    <w:p>
      <w:pPr>
        <w:pStyle w:val="6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《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双碑校区西良后小学餐厅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项目》绩效自评为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color w:val="auto"/>
          <w:sz w:val="32"/>
          <w:szCs w:val="32"/>
        </w:rPr>
        <w:t>分，自评结果为</w:t>
      </w:r>
      <w:r>
        <w:rPr>
          <w:rFonts w:hint="eastAsia" w:ascii="仿宋_GB2312" w:hAnsi="Calibri" w:eastAsia="仿宋_GB2312"/>
          <w:color w:val="auto"/>
          <w:sz w:val="32"/>
          <w:szCs w:val="32"/>
          <w:lang w:val="en-US" w:eastAsia="zh-CN"/>
        </w:rPr>
        <w:t>不合格。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99" w:name="_Toc18842"/>
      <w:bookmarkStart w:id="100" w:name="_Toc21014"/>
      <w:bookmarkStart w:id="101" w:name="_Toc5623"/>
      <w:bookmarkStart w:id="102" w:name="_Toc6105"/>
      <w:bookmarkStart w:id="103" w:name="_Toc17025"/>
      <w:bookmarkStart w:id="104" w:name="_Toc28621"/>
      <w:bookmarkStart w:id="105" w:name="_Toc22222"/>
      <w:bookmarkStart w:id="106" w:name="_Toc10113"/>
      <w:bookmarkStart w:id="107" w:name="_Toc20748"/>
      <w:bookmarkStart w:id="108" w:name="_Toc30508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ind w:firstLine="2080" w:firstLineChars="740"/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val="en-US" w:eastAsia="zh-CN"/>
        </w:rPr>
        <w:t>双碑校区西良后小学餐厅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536"/>
        <w:gridCol w:w="3586"/>
        <w:gridCol w:w="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53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3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7.5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地上二层框架结构1栋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项目规划方案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总建筑面积1190㎡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项目规划方案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餐厅建设标准完成率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项目规划方案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施工验收合格率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项目规划方案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施工完成及时率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是否达到年度工作序时进度目标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资金到位率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是否达到年度工作计划目标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公众和师生满意度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项目规划方案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</w:tr>
    </w:tbl>
    <w:p>
      <w:pPr>
        <w:pStyle w:val="6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09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109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110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110"/>
    </w:p>
    <w:p>
      <w:pPr>
        <w:pStyle w:val="6"/>
        <w:tabs>
          <w:tab w:val="left" w:pos="1900"/>
        </w:tabs>
        <w:ind w:firstLine="560"/>
        <w:rPr>
          <w:rFonts w:hint="default" w:eastAsia="宋体"/>
          <w:color w:val="auto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color w:val="auto"/>
          <w:lang w:val="en-US" w:eastAsia="zh-CN"/>
        </w:rPr>
        <w:t>双碑校区西良后小学餐厅重点项目，2022年度未进行招标，致使该项目重点绩效评价指标等不能得分。</w:t>
      </w:r>
    </w:p>
    <w:p>
      <w:pPr>
        <w:pStyle w:val="6"/>
        <w:spacing w:line="560" w:lineRule="exact"/>
        <w:ind w:left="0" w:leftChars="0"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11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111"/>
      <w:bookmarkStart w:id="112" w:name="_GoBack"/>
      <w:bookmarkEnd w:id="112"/>
    </w:p>
    <w:p>
      <w:pPr>
        <w:pStyle w:val="6"/>
        <w:tabs>
          <w:tab w:val="left" w:pos="1450"/>
        </w:tabs>
        <w:spacing w:line="560" w:lineRule="exact"/>
        <w:outlineLvl w:val="0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该项目资金已落实，具备招标条件，应及时进行公开招标并按照程序推进该项目及早实施。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6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6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6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6"/>
        <w:spacing w:line="560" w:lineRule="exact"/>
        <w:ind w:left="420" w:leftChars="200" w:firstLine="4960" w:firstLineChars="1550"/>
        <w:outlineLvl w:val="0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隆尧县双碑校区</w:t>
      </w:r>
    </w:p>
    <w:p>
      <w:pPr>
        <w:pStyle w:val="6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D2903"/>
    <w:multiLevelType w:val="singleLevel"/>
    <w:tmpl w:val="868D290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dlMjk0Yjc1NjE5ZjE0M2JhMWM0YzNmMTI4ZTg0YTIifQ=="/>
  </w:docVars>
  <w:rsids>
    <w:rsidRoot w:val="00172A27"/>
    <w:rsid w:val="00092B14"/>
    <w:rsid w:val="000D47D0"/>
    <w:rsid w:val="001373BE"/>
    <w:rsid w:val="001F3212"/>
    <w:rsid w:val="002707C6"/>
    <w:rsid w:val="00280F82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1A6926"/>
    <w:rsid w:val="1156122B"/>
    <w:rsid w:val="11F11891"/>
    <w:rsid w:val="12C35BB4"/>
    <w:rsid w:val="13305465"/>
    <w:rsid w:val="140849FA"/>
    <w:rsid w:val="14583EA3"/>
    <w:rsid w:val="151D09B5"/>
    <w:rsid w:val="1689469A"/>
    <w:rsid w:val="16DB1E7D"/>
    <w:rsid w:val="178C6C5A"/>
    <w:rsid w:val="17CD646A"/>
    <w:rsid w:val="184F3049"/>
    <w:rsid w:val="1A131D71"/>
    <w:rsid w:val="1B3F225B"/>
    <w:rsid w:val="1B4269FF"/>
    <w:rsid w:val="1D4B3C83"/>
    <w:rsid w:val="1DBD7AB3"/>
    <w:rsid w:val="1E0B387E"/>
    <w:rsid w:val="21460607"/>
    <w:rsid w:val="21FF1E9B"/>
    <w:rsid w:val="23C1122C"/>
    <w:rsid w:val="23C25E9F"/>
    <w:rsid w:val="243D751D"/>
    <w:rsid w:val="24522B03"/>
    <w:rsid w:val="253926AF"/>
    <w:rsid w:val="25ED2FD4"/>
    <w:rsid w:val="264A346A"/>
    <w:rsid w:val="270A41B9"/>
    <w:rsid w:val="274B3C4E"/>
    <w:rsid w:val="27FB5C37"/>
    <w:rsid w:val="285356FD"/>
    <w:rsid w:val="288E37E0"/>
    <w:rsid w:val="290243B4"/>
    <w:rsid w:val="2A5C748F"/>
    <w:rsid w:val="2B10000E"/>
    <w:rsid w:val="2B2D56DA"/>
    <w:rsid w:val="2C71577B"/>
    <w:rsid w:val="2D391E20"/>
    <w:rsid w:val="30785FD3"/>
    <w:rsid w:val="31702E0D"/>
    <w:rsid w:val="31921B21"/>
    <w:rsid w:val="33C32B3C"/>
    <w:rsid w:val="34E52524"/>
    <w:rsid w:val="34F75CF9"/>
    <w:rsid w:val="35CA4ECD"/>
    <w:rsid w:val="35CE5164"/>
    <w:rsid w:val="35F07825"/>
    <w:rsid w:val="360C2FBA"/>
    <w:rsid w:val="363913FE"/>
    <w:rsid w:val="36D6548C"/>
    <w:rsid w:val="37295F55"/>
    <w:rsid w:val="376918C7"/>
    <w:rsid w:val="37832AC7"/>
    <w:rsid w:val="38195BED"/>
    <w:rsid w:val="39B23A02"/>
    <w:rsid w:val="3A4766ED"/>
    <w:rsid w:val="3A713A3B"/>
    <w:rsid w:val="3AAB2217"/>
    <w:rsid w:val="3BD117A3"/>
    <w:rsid w:val="3CAE49E3"/>
    <w:rsid w:val="3DAE40CB"/>
    <w:rsid w:val="3E7103A9"/>
    <w:rsid w:val="3E7E746E"/>
    <w:rsid w:val="3EBE2184"/>
    <w:rsid w:val="3F5912F8"/>
    <w:rsid w:val="3F9B4FC0"/>
    <w:rsid w:val="3FDA3B7F"/>
    <w:rsid w:val="41B74B09"/>
    <w:rsid w:val="43DC781A"/>
    <w:rsid w:val="441C7555"/>
    <w:rsid w:val="44604DD6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E0606B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6D52FE"/>
    <w:rsid w:val="56D42516"/>
    <w:rsid w:val="56FE5044"/>
    <w:rsid w:val="57E03285"/>
    <w:rsid w:val="5AE71036"/>
    <w:rsid w:val="5B5F30DA"/>
    <w:rsid w:val="5BAF6F84"/>
    <w:rsid w:val="5BE03A0F"/>
    <w:rsid w:val="5C4F7D56"/>
    <w:rsid w:val="5D5C7CBD"/>
    <w:rsid w:val="5DF86B3F"/>
    <w:rsid w:val="5F1C1ADB"/>
    <w:rsid w:val="60134031"/>
    <w:rsid w:val="602D5041"/>
    <w:rsid w:val="60C120AA"/>
    <w:rsid w:val="6304094B"/>
    <w:rsid w:val="64041AE8"/>
    <w:rsid w:val="64165E4C"/>
    <w:rsid w:val="6536013A"/>
    <w:rsid w:val="68DA698B"/>
    <w:rsid w:val="6A3E1F45"/>
    <w:rsid w:val="6B4355EC"/>
    <w:rsid w:val="6CCC6D4C"/>
    <w:rsid w:val="6D5F4EC3"/>
    <w:rsid w:val="6D631F76"/>
    <w:rsid w:val="6E2F1CDF"/>
    <w:rsid w:val="6E3F5A2C"/>
    <w:rsid w:val="7008088F"/>
    <w:rsid w:val="709154C1"/>
    <w:rsid w:val="712634CC"/>
    <w:rsid w:val="71624E17"/>
    <w:rsid w:val="71A3781D"/>
    <w:rsid w:val="724E698E"/>
    <w:rsid w:val="756501CF"/>
    <w:rsid w:val="76BF1192"/>
    <w:rsid w:val="778F438E"/>
    <w:rsid w:val="7A055146"/>
    <w:rsid w:val="7A757A3F"/>
    <w:rsid w:val="7C647BFE"/>
    <w:rsid w:val="7CC902E8"/>
    <w:rsid w:val="7D9B64C3"/>
    <w:rsid w:val="7EED78F1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6">
    <w:name w:val="Body Text First Indent 2"/>
    <w:basedOn w:val="2"/>
    <w:next w:val="1"/>
    <w:qFormat/>
    <w:uiPriority w:val="0"/>
    <w:pPr>
      <w:ind w:firstLine="420"/>
    </w:p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2121</Words>
  <Characters>2215</Characters>
  <Lines>9</Lines>
  <Paragraphs>2</Paragraphs>
  <TotalTime>9</TotalTime>
  <ScaleCrop>false</ScaleCrop>
  <LinksUpToDate>false</LinksUpToDate>
  <CharactersWithSpaces>2853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cp:lastPrinted>2023-03-21T02:28:00Z</cp:lastPrinted>
  <dcterms:modified xsi:type="dcterms:W3CDTF">2023-03-22T03:46:48Z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55AE69E11C7B4680A5D8079EBC097037</vt:lpwstr>
  </property>
</Properties>
</file>