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5D2B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ind w:left="0" w:leftChars="0" w:firstLine="0" w:firstLineChars="0"/>
        <w:jc w:val="center"/>
        <w:textAlignment w:val="auto"/>
        <w:outlineLvl w:val="0"/>
        <w:rPr>
          <w:rFonts w:hint="eastAsia" w:ascii="方正小标宋_GBK" w:hAnsi="方正小标宋_GBK" w:eastAsia="方正小标宋_GBK" w:cs="方正小标宋_GBK"/>
          <w:bCs/>
          <w:color w:val="auto"/>
          <w:spacing w:val="-6"/>
          <w:sz w:val="44"/>
          <w:szCs w:val="44"/>
          <w:highlight w:val="none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Cs/>
          <w:color w:val="auto"/>
          <w:spacing w:val="-6"/>
          <w:sz w:val="44"/>
          <w:szCs w:val="44"/>
          <w:highlight w:val="none"/>
          <w:lang w:val="en-US" w:eastAsia="zh-CN"/>
        </w:rPr>
        <w:t>关于分布式光伏可开放容量的报告</w:t>
      </w:r>
    </w:p>
    <w:p w14:paraId="6CD98A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  <w:t>隆尧县发展和改革局：</w:t>
      </w:r>
    </w:p>
    <w:p w14:paraId="48E8C3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16" w:firstLineChars="200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  <w:t>为服务我县分布式光伏高质量发展，进一步引导分布式光伏规范开发，保障电力系统安全运行和可靠供应，按照国家能源局《分布式光伏发电开发建设管理办法》（国能发新能规〔2025〕7号）、《河北省分布式光伏发电开发建设管理实施细则（试行）》（冀发改能源〔2025〕3号）、《分布式光伏并网服务工作手册（试行）》（国家电网营销〔2025〕163 号）要求，现将本县域内新能源已并网、在途容量及分布式光伏可开放容量情况进行报备，为后续开发分布式光伏提供参考，具体内容如下：</w:t>
      </w:r>
    </w:p>
    <w:p w14:paraId="5DB49E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16" w:firstLineChars="200"/>
        <w:jc w:val="left"/>
        <w:textAlignment w:val="auto"/>
        <w:outlineLvl w:val="0"/>
        <w:rPr>
          <w:rFonts w:hint="eastAsia" w:ascii="方正黑体_GBK" w:hAnsi="方正黑体_GBK" w:eastAsia="方正黑体_GBK" w:cs="方正黑体_GBK"/>
          <w:bCs/>
          <w:color w:val="auto"/>
          <w:spacing w:val="-6"/>
          <w:sz w:val="32"/>
          <w:szCs w:val="32"/>
          <w:highlight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Cs/>
          <w:color w:val="auto"/>
          <w:spacing w:val="-6"/>
          <w:sz w:val="32"/>
          <w:szCs w:val="32"/>
          <w:highlight w:val="none"/>
          <w:lang w:val="en-US" w:eastAsia="zh-CN"/>
        </w:rPr>
        <w:t>一、已并网容量情况</w:t>
      </w:r>
    </w:p>
    <w:p w14:paraId="0A9372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16" w:firstLineChars="200"/>
        <w:jc w:val="left"/>
        <w:textAlignment w:val="auto"/>
        <w:outlineLvl w:val="1"/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zh-CN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zh-CN" w:eastAsia="zh-CN"/>
        </w:rPr>
        <w:t>1.分布式新能源项目</w:t>
      </w:r>
    </w:p>
    <w:p w14:paraId="1FE19A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9"/>
        <w:rPr>
          <w:rFonts w:hint="eastAsia" w:ascii="微软雅黑" w:hAnsi="微软雅黑" w:eastAsia="微软雅黑"/>
          <w:color w:val="auto"/>
          <w:sz w:val="32"/>
          <w:highlight w:val="none"/>
          <w:lang w:val="zh-CN"/>
        </w:rPr>
      </w:pPr>
      <w:r>
        <w:rPr>
          <w:rFonts w:hint="eastAsia" w:ascii="微软雅黑" w:hAnsi="微软雅黑" w:eastAsia="微软雅黑"/>
          <w:color w:val="auto"/>
          <w:sz w:val="32"/>
          <w:highlight w:val="none"/>
          <w:lang w:val="zh-CN"/>
        </w:rPr>
        <w:t>截止202</w:t>
      </w:r>
      <w:r>
        <w:rPr>
          <w:rFonts w:hint="eastAsia" w:ascii="微软雅黑" w:hAnsi="微软雅黑" w:eastAsia="微软雅黑"/>
          <w:color w:val="auto"/>
          <w:sz w:val="32"/>
          <w:highlight w:val="none"/>
          <w:lang w:val="en-US" w:eastAsia="zh-CN"/>
        </w:rPr>
        <w:t>6</w:t>
      </w:r>
      <w:r>
        <w:rPr>
          <w:rFonts w:hint="eastAsia" w:ascii="微软雅黑" w:hAnsi="微软雅黑" w:eastAsia="微软雅黑"/>
          <w:color w:val="auto"/>
          <w:sz w:val="32"/>
          <w:highlight w:val="none"/>
          <w:lang w:val="zh-CN"/>
        </w:rPr>
        <w:t>年</w:t>
      </w:r>
      <w:r>
        <w:rPr>
          <w:rFonts w:hint="eastAsia" w:ascii="微软雅黑" w:hAnsi="微软雅黑" w:eastAsia="微软雅黑"/>
          <w:color w:val="auto"/>
          <w:sz w:val="32"/>
          <w:highlight w:val="none"/>
          <w:lang w:val="en-US" w:eastAsia="zh-CN"/>
        </w:rPr>
        <w:t>3</w:t>
      </w:r>
      <w:r>
        <w:rPr>
          <w:rFonts w:hint="eastAsia" w:ascii="微软雅黑" w:hAnsi="微软雅黑" w:eastAsia="微软雅黑"/>
          <w:color w:val="auto"/>
          <w:sz w:val="32"/>
          <w:highlight w:val="none"/>
          <w:lang w:val="zh-CN"/>
        </w:rPr>
        <w:t>月底，本县域内已并网分布式光伏9</w:t>
      </w:r>
      <w:r>
        <w:rPr>
          <w:rFonts w:hint="eastAsia" w:ascii="微软雅黑" w:hAnsi="微软雅黑" w:eastAsia="微软雅黑"/>
          <w:color w:val="auto"/>
          <w:sz w:val="32"/>
          <w:highlight w:val="none"/>
          <w:lang w:val="en-US" w:eastAsia="zh-CN"/>
        </w:rPr>
        <w:t>713</w:t>
      </w:r>
      <w:r>
        <w:rPr>
          <w:rFonts w:hint="eastAsia" w:ascii="微软雅黑" w:hAnsi="微软雅黑" w:eastAsia="微软雅黑"/>
          <w:color w:val="auto"/>
          <w:sz w:val="32"/>
          <w:highlight w:val="none"/>
          <w:lang w:val="zh-CN"/>
        </w:rPr>
        <w:t>户，装机容量总计</w:t>
      </w:r>
      <w:r>
        <w:rPr>
          <w:rFonts w:hint="eastAsia" w:ascii="微软雅黑" w:hAnsi="微软雅黑" w:eastAsia="微软雅黑"/>
          <w:color w:val="auto"/>
          <w:sz w:val="32"/>
          <w:highlight w:val="none"/>
          <w:lang w:val="en-US" w:eastAsia="zh-CN"/>
        </w:rPr>
        <w:t>28.2414</w:t>
      </w:r>
      <w:r>
        <w:rPr>
          <w:rFonts w:hint="eastAsia" w:ascii="微软雅黑" w:hAnsi="微软雅黑" w:eastAsia="微软雅黑"/>
          <w:color w:val="auto"/>
          <w:sz w:val="32"/>
          <w:highlight w:val="none"/>
          <w:lang w:val="zh-CN"/>
        </w:rPr>
        <w:t>万千瓦，在途分布式光伏</w:t>
      </w:r>
      <w:r>
        <w:rPr>
          <w:rFonts w:hint="eastAsia" w:ascii="微软雅黑" w:hAnsi="微软雅黑" w:eastAsia="微软雅黑"/>
          <w:color w:val="auto"/>
          <w:sz w:val="32"/>
          <w:highlight w:val="none"/>
          <w:lang w:val="en-US" w:eastAsia="zh-CN"/>
        </w:rPr>
        <w:t>159</w:t>
      </w:r>
      <w:r>
        <w:rPr>
          <w:rFonts w:hint="eastAsia" w:ascii="微软雅黑" w:hAnsi="微软雅黑" w:eastAsia="微软雅黑"/>
          <w:color w:val="auto"/>
          <w:sz w:val="32"/>
          <w:highlight w:val="none"/>
          <w:lang w:val="zh-CN"/>
        </w:rPr>
        <w:t>户，容量</w:t>
      </w:r>
      <w:r>
        <w:rPr>
          <w:rFonts w:hint="eastAsia" w:ascii="微软雅黑" w:hAnsi="微软雅黑" w:eastAsia="微软雅黑"/>
          <w:color w:val="auto"/>
          <w:sz w:val="32"/>
          <w:highlight w:val="none"/>
          <w:lang w:val="en-US" w:eastAsia="zh-CN"/>
        </w:rPr>
        <w:t>3.5302</w:t>
      </w:r>
      <w:r>
        <w:rPr>
          <w:rFonts w:hint="eastAsia" w:ascii="微软雅黑" w:hAnsi="微软雅黑" w:eastAsia="微软雅黑"/>
          <w:color w:val="auto"/>
          <w:sz w:val="32"/>
          <w:highlight w:val="none"/>
          <w:lang w:val="zh-CN"/>
        </w:rPr>
        <w:t>万千瓦。</w:t>
      </w:r>
    </w:p>
    <w:p w14:paraId="292852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16" w:firstLineChars="200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zh-CN" w:eastAsia="zh-CN"/>
        </w:rPr>
      </w:pPr>
      <w:r>
        <w:rPr>
          <w:rFonts w:hint="eastAsia" w:ascii="方正仿宋_GBK" w:hAnsi="方正仿宋_GBK" w:eastAsia="方正仿宋_GBK" w:cs="方正仿宋_GBK"/>
          <w:b/>
          <w:bCs w:val="0"/>
          <w:color w:val="auto"/>
          <w:spacing w:val="-6"/>
          <w:sz w:val="32"/>
          <w:szCs w:val="32"/>
          <w:highlight w:val="none"/>
          <w:lang w:val="zh-CN" w:eastAsia="zh-CN"/>
        </w:rPr>
        <w:t>按并网点电压等级划分</w:t>
      </w: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zh-CN" w:eastAsia="zh-CN"/>
        </w:rPr>
        <w:t>：低压接入项目</w:t>
      </w: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  <w:t>9709</w:t>
      </w: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zh-CN" w:eastAsia="zh-CN"/>
        </w:rPr>
        <w:t>个、</w:t>
      </w: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  <w:t>26.2414</w:t>
      </w: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zh-CN" w:eastAsia="zh-CN"/>
        </w:rPr>
        <w:t>万千瓦；高压接入项目</w:t>
      </w: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zh-CN" w:eastAsia="zh-CN"/>
        </w:rPr>
        <w:t>个、</w:t>
      </w: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zh-CN" w:eastAsia="zh-CN"/>
        </w:rPr>
        <w:t>万千瓦。</w:t>
      </w:r>
    </w:p>
    <w:p w14:paraId="741DD8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16" w:firstLineChars="200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zh-CN" w:eastAsia="zh-CN"/>
        </w:rPr>
      </w:pPr>
      <w:r>
        <w:rPr>
          <w:rFonts w:hint="eastAsia" w:ascii="方正仿宋_GBK" w:hAnsi="方正仿宋_GBK" w:eastAsia="方正仿宋_GBK" w:cs="方正仿宋_GBK"/>
          <w:b/>
          <w:bCs w:val="0"/>
          <w:color w:val="auto"/>
          <w:spacing w:val="-6"/>
          <w:sz w:val="32"/>
          <w:szCs w:val="32"/>
          <w:highlight w:val="none"/>
          <w:lang w:val="zh-CN" w:eastAsia="zh-CN"/>
        </w:rPr>
        <w:t>按运营模式划分：</w:t>
      </w: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zh-CN" w:eastAsia="zh-CN"/>
        </w:rPr>
        <w:t>全额上网项目</w:t>
      </w: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  <w:t>9556</w:t>
      </w: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zh-CN" w:eastAsia="zh-CN"/>
        </w:rPr>
        <w:t>个、</w:t>
      </w: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  <w:t>23.9619</w:t>
      </w: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zh-CN" w:eastAsia="zh-CN"/>
        </w:rPr>
        <w:t>万千瓦；全部自用项目0个、0万千瓦；自发自用余电上网项目</w:t>
      </w: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  <w:t>157</w:t>
      </w: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zh-CN" w:eastAsia="zh-CN"/>
        </w:rPr>
        <w:t>个、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  <w:t>4.2794</w:t>
      </w: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zh-CN" w:eastAsia="zh-CN"/>
        </w:rPr>
        <w:t>万千瓦。</w:t>
      </w:r>
    </w:p>
    <w:p w14:paraId="723947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16" w:firstLineChars="200"/>
        <w:jc w:val="left"/>
        <w:textAlignment w:val="auto"/>
        <w:outlineLvl w:val="0"/>
        <w:rPr>
          <w:rFonts w:hint="eastAsia" w:ascii="方正黑体_GBK" w:hAnsi="方正黑体_GBK" w:eastAsia="方正黑体_GBK" w:cs="方正黑体_GBK"/>
          <w:bCs/>
          <w:color w:val="auto"/>
          <w:spacing w:val="-6"/>
          <w:sz w:val="32"/>
          <w:szCs w:val="32"/>
          <w:highlight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Cs/>
          <w:color w:val="auto"/>
          <w:spacing w:val="-6"/>
          <w:sz w:val="32"/>
          <w:szCs w:val="32"/>
          <w:highlight w:val="none"/>
          <w:lang w:val="en-US" w:eastAsia="zh-CN"/>
        </w:rPr>
        <w:t>二、可开发容量情况</w:t>
      </w:r>
    </w:p>
    <w:p w14:paraId="6915DF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16" w:firstLineChars="200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  <w:t>为统筹推动县域分布式光伏发电项目持续健康有序发展，国网隆尧县供电公司按照《分布式光伏并网服务工作手册（试行）》（国家电网营销〔2025〕163 号）文件要求，根据辖区各级主变（配变）容量、负荷等运行数据，结合已并网、在途分布式电源情况，开展分布式光伏可开放容量测算，经计算：隆尧县域2026年二季度220千伏隆尧站可开放容量为7.0270兆瓦、尧山站可开放容量为8.7923兆瓦、北张站可开放容量为14.5992兆瓦，220千伏唐尧站、金店站、临泉站无可开放容量。</w:t>
      </w:r>
    </w:p>
    <w:p w14:paraId="223FBA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16" w:firstLineChars="200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  <w:t>隆尧县分布式光伏220千伏变电站可开放容量一览表</w:t>
      </w:r>
    </w:p>
    <w:p w14:paraId="7C4C6C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396" w:firstLineChars="200"/>
        <w:jc w:val="right"/>
        <w:textAlignment w:val="auto"/>
        <w:outlineLvl w:val="9"/>
        <w:rPr>
          <w:rFonts w:hint="eastAsia" w:ascii="方正仿宋_GBK" w:hAnsi="方正仿宋_GBK" w:eastAsia="方正仿宋_GBK" w:cs="方正仿宋_GBK"/>
          <w:bCs/>
          <w:color w:val="auto"/>
          <w:spacing w:val="-6"/>
          <w:sz w:val="21"/>
          <w:szCs w:val="21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21"/>
          <w:szCs w:val="21"/>
          <w:highlight w:val="none"/>
          <w:lang w:val="en-US" w:eastAsia="zh-CN"/>
        </w:rPr>
        <w:t>单位：兆瓦</w:t>
      </w:r>
    </w:p>
    <w:tbl>
      <w:tblPr>
        <w:tblStyle w:val="2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24"/>
      </w:tblGrid>
      <w:tr w14:paraId="6EC454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524" w:type="dxa"/>
            <w:noWrap w:val="0"/>
            <w:vAlign w:val="center"/>
          </w:tcPr>
          <w:tbl>
            <w:tblPr>
              <w:tblStyle w:val="2"/>
              <w:tblpPr w:leftFromText="180" w:rightFromText="180" w:vertAnchor="text" w:horzAnchor="page" w:tblpX="-336" w:tblpY="-3681"/>
              <w:tblOverlap w:val="never"/>
              <w:tblW w:w="0" w:type="auto"/>
              <w:tblInd w:w="0" w:type="dxa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791"/>
              <w:gridCol w:w="2291"/>
              <w:gridCol w:w="1748"/>
              <w:gridCol w:w="1240"/>
              <w:gridCol w:w="1232"/>
              <w:gridCol w:w="1217"/>
            </w:tblGrid>
            <w:tr w14:paraId="03078845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rHeight w:val="420" w:hRule="atLeast"/>
              </w:trPr>
              <w:tc>
                <w:tcPr>
                  <w:tcW w:w="79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4415A6D4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县域</w:t>
                  </w:r>
                </w:p>
              </w:tc>
              <w:tc>
                <w:tcPr>
                  <w:tcW w:w="229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58079301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该县域供电变电站</w:t>
                  </w:r>
                </w:p>
              </w:tc>
              <w:tc>
                <w:tcPr>
                  <w:tcW w:w="174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13F46C27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变电站</w:t>
                  </w:r>
                </w:p>
                <w:p w14:paraId="211352BD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可开放容量</w:t>
                  </w:r>
                </w:p>
              </w:tc>
              <w:tc>
                <w:tcPr>
                  <w:tcW w:w="124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7004F749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县域</w:t>
                  </w:r>
                </w:p>
                <w:p w14:paraId="720192BF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可开放容量</w:t>
                  </w:r>
                </w:p>
              </w:tc>
              <w:tc>
                <w:tcPr>
                  <w:tcW w:w="1232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7274B49F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县域</w:t>
                  </w:r>
                </w:p>
                <w:p w14:paraId="528FBC82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承载力评估预警等级</w:t>
                  </w:r>
                </w:p>
              </w:tc>
              <w:tc>
                <w:tcPr>
                  <w:tcW w:w="12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1677A450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县域</w:t>
                  </w:r>
                </w:p>
                <w:p w14:paraId="15EF122E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分布式光伏装机情况</w:t>
                  </w:r>
                </w:p>
              </w:tc>
            </w:tr>
            <w:tr w14:paraId="2A1F664A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rHeight w:val="420" w:hRule="atLeast"/>
              </w:trPr>
              <w:tc>
                <w:tcPr>
                  <w:tcW w:w="79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79DBD654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隆尧县</w:t>
                  </w:r>
                </w:p>
              </w:tc>
              <w:tc>
                <w:tcPr>
                  <w:tcW w:w="2291" w:type="dxa"/>
                  <w:tcBorders>
                    <w:top w:val="single" w:color="000000" w:sz="4" w:space="0"/>
                    <w:left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32C37A3D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金店220千伏变电站</w:t>
                  </w:r>
                </w:p>
              </w:tc>
              <w:tc>
                <w:tcPr>
                  <w:tcW w:w="1748" w:type="dxa"/>
                  <w:tcBorders>
                    <w:top w:val="single" w:color="000000" w:sz="4" w:space="0"/>
                    <w:left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5168C864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default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  <w:lang w:val="en-US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0.00</w:t>
                  </w:r>
                  <w:r>
                    <w:rPr>
                      <w:rFonts w:hint="eastAsia" w:ascii="宋体" w:hAnsi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00</w:t>
                  </w:r>
                </w:p>
              </w:tc>
              <w:tc>
                <w:tcPr>
                  <w:tcW w:w="1240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51D6FB63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default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  <w:lang w:val="en-US"/>
                    </w:rPr>
                  </w:pPr>
                  <w:r>
                    <w:rPr>
                      <w:rFonts w:hint="eastAsia" w:ascii="宋体" w:hAnsi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30.4185</w:t>
                  </w:r>
                </w:p>
              </w:tc>
              <w:tc>
                <w:tcPr>
                  <w:tcW w:w="1232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4A6EA0A5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黄色</w:t>
                  </w:r>
                </w:p>
              </w:tc>
              <w:tc>
                <w:tcPr>
                  <w:tcW w:w="1217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30C5CEF0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both"/>
                    <w:textAlignment w:val="center"/>
                    <w:rPr>
                      <w:rFonts w:hint="default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282.414</w:t>
                  </w:r>
                </w:p>
              </w:tc>
            </w:tr>
            <w:tr w14:paraId="029DA9A5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rHeight w:val="420" w:hRule="atLeast"/>
              </w:trPr>
              <w:tc>
                <w:tcPr>
                  <w:tcW w:w="79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29ADFA3A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隆尧县</w:t>
                  </w:r>
                </w:p>
              </w:tc>
              <w:tc>
                <w:tcPr>
                  <w:tcW w:w="2291" w:type="dxa"/>
                  <w:tcBorders>
                    <w:top w:val="single" w:color="000000" w:sz="4" w:space="0"/>
                    <w:left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2784D86E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隆尧220千伏变电站</w:t>
                  </w:r>
                </w:p>
              </w:tc>
              <w:tc>
                <w:tcPr>
                  <w:tcW w:w="1748" w:type="dxa"/>
                  <w:tcBorders>
                    <w:top w:val="single" w:color="000000" w:sz="4" w:space="0"/>
                    <w:left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1B439AC6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default" w:ascii="宋体" w:hAnsi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7.0270</w:t>
                  </w:r>
                </w:p>
              </w:tc>
              <w:tc>
                <w:tcPr>
                  <w:tcW w:w="1240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1227307E"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</w:rPr>
                  </w:pPr>
                </w:p>
              </w:tc>
              <w:tc>
                <w:tcPr>
                  <w:tcW w:w="1232" w:type="dxa"/>
                  <w:vMerge w:val="continue"/>
                  <w:tcBorders>
                    <w:left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0C45E651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</w:p>
              </w:tc>
              <w:tc>
                <w:tcPr>
                  <w:tcW w:w="1217" w:type="dxa"/>
                  <w:vMerge w:val="continue"/>
                  <w:tcBorders>
                    <w:left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10F21F79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</w:p>
              </w:tc>
            </w:tr>
            <w:tr w14:paraId="6EF83942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rHeight w:val="420" w:hRule="atLeast"/>
              </w:trPr>
              <w:tc>
                <w:tcPr>
                  <w:tcW w:w="79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256DDCA1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隆尧县</w:t>
                  </w:r>
                </w:p>
              </w:tc>
              <w:tc>
                <w:tcPr>
                  <w:tcW w:w="2291" w:type="dxa"/>
                  <w:tcBorders>
                    <w:top w:val="single" w:color="000000" w:sz="4" w:space="0"/>
                    <w:left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767F4D4A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唐尧220千伏变电站</w:t>
                  </w:r>
                </w:p>
              </w:tc>
              <w:tc>
                <w:tcPr>
                  <w:tcW w:w="1748" w:type="dxa"/>
                  <w:tcBorders>
                    <w:top w:val="single" w:color="000000" w:sz="4" w:space="0"/>
                    <w:left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46391366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default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  <w:lang w:val="en-US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0.00</w:t>
                  </w:r>
                  <w:r>
                    <w:rPr>
                      <w:rFonts w:hint="eastAsia" w:ascii="宋体" w:hAnsi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00</w:t>
                  </w:r>
                </w:p>
              </w:tc>
              <w:tc>
                <w:tcPr>
                  <w:tcW w:w="1240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6A957CD6"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</w:rPr>
                  </w:pPr>
                </w:p>
              </w:tc>
              <w:tc>
                <w:tcPr>
                  <w:tcW w:w="1232" w:type="dxa"/>
                  <w:vMerge w:val="continue"/>
                  <w:tcBorders>
                    <w:left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3CFB4DD7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</w:p>
              </w:tc>
              <w:tc>
                <w:tcPr>
                  <w:tcW w:w="1217" w:type="dxa"/>
                  <w:vMerge w:val="continue"/>
                  <w:tcBorders>
                    <w:left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04DEF75E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</w:p>
              </w:tc>
            </w:tr>
            <w:tr w14:paraId="1B64B2C3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rHeight w:val="420" w:hRule="atLeast"/>
              </w:trPr>
              <w:tc>
                <w:tcPr>
                  <w:tcW w:w="79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38E28A99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隆尧县</w:t>
                  </w:r>
                </w:p>
              </w:tc>
              <w:tc>
                <w:tcPr>
                  <w:tcW w:w="2291" w:type="dxa"/>
                  <w:tcBorders>
                    <w:top w:val="single" w:color="000000" w:sz="4" w:space="0"/>
                    <w:left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38759727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尧山220千伏变电站</w:t>
                  </w:r>
                </w:p>
              </w:tc>
              <w:tc>
                <w:tcPr>
                  <w:tcW w:w="1748" w:type="dxa"/>
                  <w:tcBorders>
                    <w:top w:val="single" w:color="000000" w:sz="4" w:space="0"/>
                    <w:left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38D5AEEF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default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  <w:lang w:val="en-US"/>
                    </w:rPr>
                  </w:pPr>
                  <w:r>
                    <w:rPr>
                      <w:rFonts w:hint="eastAsia" w:ascii="宋体" w:hAnsi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  <w:lang w:val="en-US" w:eastAsia="zh-CN"/>
                    </w:rPr>
                    <w:t>8.7923</w:t>
                  </w:r>
                </w:p>
              </w:tc>
              <w:tc>
                <w:tcPr>
                  <w:tcW w:w="1240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3CE245A0"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</w:rPr>
                  </w:pPr>
                </w:p>
              </w:tc>
              <w:tc>
                <w:tcPr>
                  <w:tcW w:w="1232" w:type="dxa"/>
                  <w:vMerge w:val="continue"/>
                  <w:tcBorders>
                    <w:left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2C11F22B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</w:p>
              </w:tc>
              <w:tc>
                <w:tcPr>
                  <w:tcW w:w="1217" w:type="dxa"/>
                  <w:vMerge w:val="continue"/>
                  <w:tcBorders>
                    <w:left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333CF1D1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</w:p>
              </w:tc>
            </w:tr>
            <w:tr w14:paraId="79D2E7A9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rHeight w:val="420" w:hRule="atLeast"/>
              </w:trPr>
              <w:tc>
                <w:tcPr>
                  <w:tcW w:w="79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0AD0B05E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隆尧县</w:t>
                  </w:r>
                </w:p>
              </w:tc>
              <w:tc>
                <w:tcPr>
                  <w:tcW w:w="2291" w:type="dxa"/>
                  <w:tcBorders>
                    <w:top w:val="single" w:color="000000" w:sz="4" w:space="0"/>
                    <w:left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55E050E9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北张220千伏变电站</w:t>
                  </w:r>
                </w:p>
              </w:tc>
              <w:tc>
                <w:tcPr>
                  <w:tcW w:w="1748" w:type="dxa"/>
                  <w:tcBorders>
                    <w:top w:val="single" w:color="000000" w:sz="4" w:space="0"/>
                    <w:left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5000EABB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default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  <w:lang w:val="en-US"/>
                    </w:rPr>
                  </w:pPr>
                  <w:r>
                    <w:rPr>
                      <w:rFonts w:hint="eastAsia" w:ascii="宋体" w:hAnsi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  <w:lang w:val="en-US" w:eastAsia="zh-CN"/>
                    </w:rPr>
                    <w:t>14.5992</w:t>
                  </w:r>
                </w:p>
              </w:tc>
              <w:tc>
                <w:tcPr>
                  <w:tcW w:w="1240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335B353B"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</w:rPr>
                  </w:pPr>
                </w:p>
              </w:tc>
              <w:tc>
                <w:tcPr>
                  <w:tcW w:w="1232" w:type="dxa"/>
                  <w:vMerge w:val="continue"/>
                  <w:tcBorders>
                    <w:left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586A8A3A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</w:p>
              </w:tc>
              <w:tc>
                <w:tcPr>
                  <w:tcW w:w="1217" w:type="dxa"/>
                  <w:vMerge w:val="continue"/>
                  <w:tcBorders>
                    <w:left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2AD086F9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</w:p>
              </w:tc>
            </w:tr>
            <w:tr w14:paraId="4C0EDDAB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rHeight w:val="420" w:hRule="atLeast"/>
              </w:trPr>
              <w:tc>
                <w:tcPr>
                  <w:tcW w:w="79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3D616420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隆尧县</w:t>
                  </w:r>
                </w:p>
              </w:tc>
              <w:tc>
                <w:tcPr>
                  <w:tcW w:w="229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30371C9E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临泉220千伏变电站</w:t>
                  </w:r>
                </w:p>
              </w:tc>
              <w:tc>
                <w:tcPr>
                  <w:tcW w:w="174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0364281F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default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  <w:lang w:val="en-US"/>
                    </w:rPr>
                  </w:pPr>
                  <w:r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0.00</w:t>
                  </w:r>
                  <w:r>
                    <w:rPr>
                      <w:rFonts w:hint="eastAsia" w:ascii="宋体" w:hAnsi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  <w:t>00</w:t>
                  </w:r>
                </w:p>
              </w:tc>
              <w:tc>
                <w:tcPr>
                  <w:tcW w:w="1240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230191E7"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sz w:val="22"/>
                      <w:szCs w:val="22"/>
                      <w:highlight w:val="none"/>
                      <w:u w:val="none"/>
                    </w:rPr>
                  </w:pPr>
                </w:p>
              </w:tc>
              <w:tc>
                <w:tcPr>
                  <w:tcW w:w="1232" w:type="dxa"/>
                  <w:vMerge w:val="continue"/>
                  <w:tcBorders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6071909E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</w:p>
              </w:tc>
              <w:tc>
                <w:tcPr>
                  <w:tcW w:w="1217" w:type="dxa"/>
                  <w:vMerge w:val="continue"/>
                  <w:tcBorders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 w:val="0"/>
                  <w:vAlign w:val="center"/>
                </w:tcPr>
                <w:p w14:paraId="6CE50527"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line="240" w:lineRule="atLeast"/>
                    <w:jc w:val="center"/>
                    <w:textAlignment w:val="center"/>
                    <w:rPr>
                      <w:rFonts w:hint="eastAsia" w:ascii="宋体" w:hAnsi="宋体" w:eastAsia="宋体" w:cs="宋体"/>
                      <w:b w:val="0"/>
                      <w:bCs/>
                      <w:i w:val="0"/>
                      <w:color w:val="auto"/>
                      <w:kern w:val="0"/>
                      <w:sz w:val="22"/>
                      <w:szCs w:val="22"/>
                      <w:highlight w:val="none"/>
                      <w:u w:val="none"/>
                      <w:lang w:val="en-US" w:eastAsia="zh-CN" w:bidi="ar"/>
                    </w:rPr>
                  </w:pPr>
                </w:p>
              </w:tc>
            </w:tr>
          </w:tbl>
          <w:p w14:paraId="4B654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</w:tr>
    </w:tbl>
    <w:p w14:paraId="138398D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zh-CN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zh-CN" w:eastAsia="zh-CN"/>
        </w:rPr>
        <w:t>备注：</w:t>
      </w:r>
    </w:p>
    <w:p w14:paraId="0391CA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16" w:firstLineChars="200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  <w:t>1.公示的分布式光伏可开放容量，是指评估时刻（本季度为2026年3月31日），该区域电网除去已并网的分布式电源（含已备案且计划当季度并网的分布式光伏）外，还能继续开发并网的分布式光伏容量规模。</w:t>
      </w:r>
    </w:p>
    <w:p w14:paraId="23093F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16" w:firstLineChars="200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  <w:t>2.各配变可开放容量请至所在辖区供电所或营业厅咨询。</w:t>
      </w:r>
    </w:p>
    <w:p w14:paraId="05AD0D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928" w:firstLineChars="1600"/>
        <w:jc w:val="left"/>
        <w:textAlignment w:val="auto"/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  <w:t>国网隆尧县供电公司</w:t>
      </w:r>
    </w:p>
    <w:p w14:paraId="4D675F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928" w:firstLineChars="1600"/>
        <w:jc w:val="left"/>
        <w:textAlignment w:val="auto"/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  <w:t>二〇二六年四月十五日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1237F7"/>
    <w:rsid w:val="011824C8"/>
    <w:rsid w:val="02106E55"/>
    <w:rsid w:val="02FA2299"/>
    <w:rsid w:val="0329135B"/>
    <w:rsid w:val="03AE5C85"/>
    <w:rsid w:val="03C36FA8"/>
    <w:rsid w:val="046C5548"/>
    <w:rsid w:val="048331E5"/>
    <w:rsid w:val="04A80A08"/>
    <w:rsid w:val="05D10AB7"/>
    <w:rsid w:val="05DD3E95"/>
    <w:rsid w:val="062F5934"/>
    <w:rsid w:val="071E0F5D"/>
    <w:rsid w:val="076D7A9F"/>
    <w:rsid w:val="083A618D"/>
    <w:rsid w:val="08605F8A"/>
    <w:rsid w:val="08E539EE"/>
    <w:rsid w:val="09020373"/>
    <w:rsid w:val="09C2350D"/>
    <w:rsid w:val="0A7960B1"/>
    <w:rsid w:val="0B173142"/>
    <w:rsid w:val="0BC00D82"/>
    <w:rsid w:val="0BD07010"/>
    <w:rsid w:val="0C3B393E"/>
    <w:rsid w:val="0C524218"/>
    <w:rsid w:val="0C7E3C9B"/>
    <w:rsid w:val="0D412961"/>
    <w:rsid w:val="0DE44A0C"/>
    <w:rsid w:val="0DEB1CCA"/>
    <w:rsid w:val="0E5B7070"/>
    <w:rsid w:val="0E746EEA"/>
    <w:rsid w:val="0E9721E1"/>
    <w:rsid w:val="0EC348CE"/>
    <w:rsid w:val="0F585F90"/>
    <w:rsid w:val="0F7C7EFC"/>
    <w:rsid w:val="0FC25ACF"/>
    <w:rsid w:val="103A3D6B"/>
    <w:rsid w:val="10DF5D73"/>
    <w:rsid w:val="10FC3CEC"/>
    <w:rsid w:val="11214A29"/>
    <w:rsid w:val="11586564"/>
    <w:rsid w:val="11954B40"/>
    <w:rsid w:val="12291A4D"/>
    <w:rsid w:val="12413A02"/>
    <w:rsid w:val="12493B99"/>
    <w:rsid w:val="12D93553"/>
    <w:rsid w:val="13AC5B9F"/>
    <w:rsid w:val="13E61333"/>
    <w:rsid w:val="15083EC3"/>
    <w:rsid w:val="155C2F18"/>
    <w:rsid w:val="15817460"/>
    <w:rsid w:val="16087536"/>
    <w:rsid w:val="16E8716B"/>
    <w:rsid w:val="176F618F"/>
    <w:rsid w:val="187349D4"/>
    <w:rsid w:val="1A505152"/>
    <w:rsid w:val="1B111640"/>
    <w:rsid w:val="1C1D12D6"/>
    <w:rsid w:val="1C335BFE"/>
    <w:rsid w:val="1CF71928"/>
    <w:rsid w:val="1D606AF6"/>
    <w:rsid w:val="1DE9352B"/>
    <w:rsid w:val="1FCE7DDD"/>
    <w:rsid w:val="208D40C1"/>
    <w:rsid w:val="20E22813"/>
    <w:rsid w:val="211F29BE"/>
    <w:rsid w:val="22034AFE"/>
    <w:rsid w:val="225D2224"/>
    <w:rsid w:val="22FD1704"/>
    <w:rsid w:val="23292355"/>
    <w:rsid w:val="23E25F05"/>
    <w:rsid w:val="24696BA8"/>
    <w:rsid w:val="24E97050"/>
    <w:rsid w:val="255155FF"/>
    <w:rsid w:val="264D35AA"/>
    <w:rsid w:val="26C31FAC"/>
    <w:rsid w:val="27D54DB9"/>
    <w:rsid w:val="28050601"/>
    <w:rsid w:val="28664FC0"/>
    <w:rsid w:val="29940E8C"/>
    <w:rsid w:val="2A030B52"/>
    <w:rsid w:val="2A4A0890"/>
    <w:rsid w:val="2A4F56D1"/>
    <w:rsid w:val="2A7E0A8A"/>
    <w:rsid w:val="2ACA3361"/>
    <w:rsid w:val="2B8851BE"/>
    <w:rsid w:val="2B93064B"/>
    <w:rsid w:val="2C660547"/>
    <w:rsid w:val="2C8864C2"/>
    <w:rsid w:val="2D021756"/>
    <w:rsid w:val="2E0F7F38"/>
    <w:rsid w:val="2E74471C"/>
    <w:rsid w:val="2E991590"/>
    <w:rsid w:val="2EE36012"/>
    <w:rsid w:val="2F1A5F06"/>
    <w:rsid w:val="311B5020"/>
    <w:rsid w:val="314237F1"/>
    <w:rsid w:val="322F79A2"/>
    <w:rsid w:val="325434EB"/>
    <w:rsid w:val="325662A3"/>
    <w:rsid w:val="337E1BA8"/>
    <w:rsid w:val="34211065"/>
    <w:rsid w:val="34287878"/>
    <w:rsid w:val="34616FBB"/>
    <w:rsid w:val="348C2709"/>
    <w:rsid w:val="3538508A"/>
    <w:rsid w:val="35F217AA"/>
    <w:rsid w:val="363C6F5B"/>
    <w:rsid w:val="36A21CEC"/>
    <w:rsid w:val="36E74215"/>
    <w:rsid w:val="37295711"/>
    <w:rsid w:val="376E43F8"/>
    <w:rsid w:val="3783090C"/>
    <w:rsid w:val="37A1503C"/>
    <w:rsid w:val="38112E6C"/>
    <w:rsid w:val="3885440F"/>
    <w:rsid w:val="3C480D77"/>
    <w:rsid w:val="3CA93B6B"/>
    <w:rsid w:val="3DAD4CFD"/>
    <w:rsid w:val="3DFF3002"/>
    <w:rsid w:val="3E38561B"/>
    <w:rsid w:val="3F100F23"/>
    <w:rsid w:val="3F4E20AD"/>
    <w:rsid w:val="3F7F2668"/>
    <w:rsid w:val="3FA226EB"/>
    <w:rsid w:val="3FA87C4D"/>
    <w:rsid w:val="3FD709B1"/>
    <w:rsid w:val="40385501"/>
    <w:rsid w:val="406C7118"/>
    <w:rsid w:val="40A603CA"/>
    <w:rsid w:val="40F85396"/>
    <w:rsid w:val="411A5044"/>
    <w:rsid w:val="412B1CE5"/>
    <w:rsid w:val="419C7719"/>
    <w:rsid w:val="4249548F"/>
    <w:rsid w:val="43E94592"/>
    <w:rsid w:val="44236E43"/>
    <w:rsid w:val="45820B4A"/>
    <w:rsid w:val="458E33A4"/>
    <w:rsid w:val="45B474CB"/>
    <w:rsid w:val="46465567"/>
    <w:rsid w:val="46524306"/>
    <w:rsid w:val="4736543B"/>
    <w:rsid w:val="479308BB"/>
    <w:rsid w:val="4835030E"/>
    <w:rsid w:val="49314241"/>
    <w:rsid w:val="494E0EEE"/>
    <w:rsid w:val="495110D6"/>
    <w:rsid w:val="4A4C0DC6"/>
    <w:rsid w:val="4BB84611"/>
    <w:rsid w:val="4BBB425C"/>
    <w:rsid w:val="4BE9269F"/>
    <w:rsid w:val="4C1240CB"/>
    <w:rsid w:val="4D305F70"/>
    <w:rsid w:val="4D463B39"/>
    <w:rsid w:val="4D6249F2"/>
    <w:rsid w:val="4D676A3C"/>
    <w:rsid w:val="4DB56574"/>
    <w:rsid w:val="4DD014C4"/>
    <w:rsid w:val="4DD860C1"/>
    <w:rsid w:val="4E1A283D"/>
    <w:rsid w:val="4E365EDA"/>
    <w:rsid w:val="4EB71FC4"/>
    <w:rsid w:val="4EF40F72"/>
    <w:rsid w:val="4F20674D"/>
    <w:rsid w:val="4F3E7DEC"/>
    <w:rsid w:val="4FEB0F2B"/>
    <w:rsid w:val="50421A18"/>
    <w:rsid w:val="5057162D"/>
    <w:rsid w:val="505939F9"/>
    <w:rsid w:val="50801538"/>
    <w:rsid w:val="511A29F4"/>
    <w:rsid w:val="51486233"/>
    <w:rsid w:val="514D7E76"/>
    <w:rsid w:val="519F3DDF"/>
    <w:rsid w:val="52484A38"/>
    <w:rsid w:val="52826F47"/>
    <w:rsid w:val="52D61395"/>
    <w:rsid w:val="53580AB8"/>
    <w:rsid w:val="53A255EB"/>
    <w:rsid w:val="53FD1485"/>
    <w:rsid w:val="54FE7A4C"/>
    <w:rsid w:val="55123775"/>
    <w:rsid w:val="556B77C3"/>
    <w:rsid w:val="557D0FA8"/>
    <w:rsid w:val="55E773FA"/>
    <w:rsid w:val="56046BBD"/>
    <w:rsid w:val="562734B1"/>
    <w:rsid w:val="562E602A"/>
    <w:rsid w:val="574267B5"/>
    <w:rsid w:val="58FC7A01"/>
    <w:rsid w:val="59711A3B"/>
    <w:rsid w:val="59CC32A5"/>
    <w:rsid w:val="59FA7BDF"/>
    <w:rsid w:val="5A2C795B"/>
    <w:rsid w:val="5A642EFA"/>
    <w:rsid w:val="5A836E5B"/>
    <w:rsid w:val="5A9F7651"/>
    <w:rsid w:val="5B5C58EA"/>
    <w:rsid w:val="5B5E0554"/>
    <w:rsid w:val="5BD10C67"/>
    <w:rsid w:val="5C306A99"/>
    <w:rsid w:val="5CFB0D8F"/>
    <w:rsid w:val="5CFE4C9E"/>
    <w:rsid w:val="5D22618B"/>
    <w:rsid w:val="5D2B0A61"/>
    <w:rsid w:val="5E19129F"/>
    <w:rsid w:val="5E8E4C57"/>
    <w:rsid w:val="5EFD6DFC"/>
    <w:rsid w:val="5F0D39CB"/>
    <w:rsid w:val="5F355A3D"/>
    <w:rsid w:val="6027478F"/>
    <w:rsid w:val="60CE5FB2"/>
    <w:rsid w:val="60E4377B"/>
    <w:rsid w:val="60FE1EDF"/>
    <w:rsid w:val="611E3835"/>
    <w:rsid w:val="61355962"/>
    <w:rsid w:val="613F6637"/>
    <w:rsid w:val="616A242C"/>
    <w:rsid w:val="61FB2AC6"/>
    <w:rsid w:val="62477C0D"/>
    <w:rsid w:val="62606D1B"/>
    <w:rsid w:val="62F06A30"/>
    <w:rsid w:val="639D02B9"/>
    <w:rsid w:val="642B591B"/>
    <w:rsid w:val="643A058F"/>
    <w:rsid w:val="64AD2ED1"/>
    <w:rsid w:val="64FE7025"/>
    <w:rsid w:val="65254812"/>
    <w:rsid w:val="65DA24BA"/>
    <w:rsid w:val="65F02544"/>
    <w:rsid w:val="673539FB"/>
    <w:rsid w:val="67AD6291"/>
    <w:rsid w:val="67E456BF"/>
    <w:rsid w:val="6A3E2239"/>
    <w:rsid w:val="6A967843"/>
    <w:rsid w:val="6AFF06C2"/>
    <w:rsid w:val="6B6A05F8"/>
    <w:rsid w:val="6B7A0254"/>
    <w:rsid w:val="6CF7593A"/>
    <w:rsid w:val="6DAE2423"/>
    <w:rsid w:val="6DE56C9C"/>
    <w:rsid w:val="6E882E8C"/>
    <w:rsid w:val="6FCE7D0B"/>
    <w:rsid w:val="702D72D3"/>
    <w:rsid w:val="70EA5EBC"/>
    <w:rsid w:val="71A03665"/>
    <w:rsid w:val="71A154B5"/>
    <w:rsid w:val="720707C9"/>
    <w:rsid w:val="724B1585"/>
    <w:rsid w:val="726E356E"/>
    <w:rsid w:val="73A24B27"/>
    <w:rsid w:val="73FD235A"/>
    <w:rsid w:val="74E31515"/>
    <w:rsid w:val="75247FFA"/>
    <w:rsid w:val="75BB67CA"/>
    <w:rsid w:val="75EE1F8C"/>
    <w:rsid w:val="75EF1F0A"/>
    <w:rsid w:val="767B78AC"/>
    <w:rsid w:val="77212583"/>
    <w:rsid w:val="773E141D"/>
    <w:rsid w:val="7773464A"/>
    <w:rsid w:val="777454B3"/>
    <w:rsid w:val="791F2967"/>
    <w:rsid w:val="79A75625"/>
    <w:rsid w:val="79F97C26"/>
    <w:rsid w:val="79FE5FC8"/>
    <w:rsid w:val="7AA54865"/>
    <w:rsid w:val="7B8778FC"/>
    <w:rsid w:val="7DED76AC"/>
    <w:rsid w:val="7E1B34AB"/>
    <w:rsid w:val="7E60734D"/>
    <w:rsid w:val="7EB21F48"/>
    <w:rsid w:val="7EDA4C94"/>
    <w:rsid w:val="7FA01DB9"/>
    <w:rsid w:val="7FC247B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宋体" w:hAnsi="宋体" w:eastAsia="方正小标宋_GBK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FollowedHyperlink"/>
    <w:basedOn w:val="3"/>
    <w:qFormat/>
    <w:uiPriority w:val="0"/>
    <w:rPr>
      <w:color w:val="0000FF"/>
      <w:u w:val="none"/>
    </w:rPr>
  </w:style>
  <w:style w:type="character" w:styleId="5">
    <w:name w:val="Hyperlink"/>
    <w:basedOn w:val="3"/>
    <w:qFormat/>
    <w:uiPriority w:val="0"/>
    <w:rPr>
      <w:color w:val="0000FF"/>
      <w:u w:val="none"/>
    </w:rPr>
  </w:style>
  <w:style w:type="character" w:customStyle="1" w:styleId="6">
    <w:name w:val="jsfw_window_title"/>
    <w:basedOn w:val="3"/>
    <w:qFormat/>
    <w:uiPriority w:val="0"/>
    <w:rPr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903</Words>
  <Characters>1050</Characters>
  <Lines>0</Lines>
  <Paragraphs>0</Paragraphs>
  <TotalTime>37</TotalTime>
  <ScaleCrop>false</ScaleCrop>
  <LinksUpToDate>false</LinksUpToDate>
  <CharactersWithSpaces>1052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隆尧县供电公司</dc:creator>
  <cp:lastModifiedBy>曹战强</cp:lastModifiedBy>
  <cp:lastPrinted>2026-04-15T00:45:00Z</cp:lastPrinted>
  <dcterms:modified xsi:type="dcterms:W3CDTF">2026-04-20T06:12:46Z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E4C91A35217B40F8B659BCF2C70BCC92_13</vt:lpwstr>
  </property>
</Properties>
</file>