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16591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隆尧县人力资源和社会保障局</w:t>
      </w:r>
    </w:p>
    <w:p w14:paraId="6402983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2025</w:t>
      </w:r>
      <w:r>
        <w:rPr>
          <w:rFonts w:hint="eastAsia" w:ascii="方正小标宋简体" w:hAnsi="方正小标宋简体" w:eastAsia="方正小标宋简体" w:cs="方正小标宋简体"/>
          <w:color w:val="000000"/>
          <w:sz w:val="44"/>
          <w:szCs w:val="44"/>
        </w:rPr>
        <w:t>年</w:t>
      </w:r>
      <w:r>
        <w:rPr>
          <w:rFonts w:hint="eastAsia" w:ascii="方正小标宋简体" w:hAnsi="方正小标宋简体" w:eastAsia="方正小标宋简体" w:cs="方正小标宋简体"/>
          <w:color w:val="000000"/>
          <w:sz w:val="44"/>
          <w:szCs w:val="44"/>
          <w:lang w:eastAsia="zh-CN"/>
        </w:rPr>
        <w:t>度法治政府建设情况</w:t>
      </w:r>
      <w:r>
        <w:rPr>
          <w:rFonts w:hint="eastAsia" w:ascii="方正小标宋简体" w:hAnsi="方正小标宋简体" w:eastAsia="方正小标宋简体" w:cs="方正小标宋简体"/>
          <w:color w:val="000000"/>
          <w:sz w:val="44"/>
          <w:szCs w:val="44"/>
        </w:rPr>
        <w:t>报告</w:t>
      </w:r>
    </w:p>
    <w:p w14:paraId="5419EA2B">
      <w:pPr>
        <w:keepNext w:val="0"/>
        <w:keepLines w:val="0"/>
        <w:pageBreakBefore w:val="0"/>
        <w:widowControl w:val="0"/>
        <w:kinsoku/>
        <w:wordWrap/>
        <w:overflowPunct/>
        <w:topLinePunct w:val="0"/>
        <w:autoSpaceDE/>
        <w:autoSpaceDN/>
        <w:bidi w:val="0"/>
        <w:adjustRightInd/>
        <w:snapToGrid/>
        <w:spacing w:before="313" w:beforeLines="100" w:line="5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在县委、县政府的正确领导下，在中共隆尧县委全面依法治县委员会办公室的具体指导下，紧扣法治政府建设部署要求，始终将改善和发展民生作为人社法治工作的出发点和落脚点，坚持把法治政府建设放在加强自身建设的重要位置，全面推进依法行政工作，为我县人社事业发展创造良好的法治环境。现将2025年度法治建设工作情况报告如下：</w:t>
      </w:r>
    </w:p>
    <w:p w14:paraId="30FE5B27">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一、工作措施</w:t>
      </w:r>
    </w:p>
    <w:p w14:paraId="20962FF1">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2025年，我局认真贯彻落实法治政府建设的相关要求，将法治政府建设与人社中心工作深度融合，严格依法行政，加快建设完善法治体系，全面提升我县人社领域治理法治化水平。</w:t>
      </w:r>
    </w:p>
    <w:p w14:paraId="3685B0B6">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依法行政工作稳步推进。</w:t>
      </w:r>
      <w:r>
        <w:rPr>
          <w:rFonts w:hint="eastAsia" w:ascii="仿宋_GB2312" w:hAnsi="仿宋_GB2312" w:eastAsia="仿宋_GB2312" w:cs="仿宋_GB2312"/>
          <w:sz w:val="32"/>
          <w:szCs w:val="32"/>
          <w:lang w:val="en-US" w:eastAsia="zh-CN"/>
        </w:rPr>
        <w:t>我局高度重视法治政府建设工作，局法治建设工作领导小组充分发挥统筹协调作用，将法治建设列入年度工作要点，与全局工作同步部署、同步推进。各科室严格按照三定方案全面履行自身职能，有步骤、有重点地推进法治建设实施与落实，全面打造“法治人社”。</w:t>
      </w:r>
    </w:p>
    <w:p w14:paraId="3262B5F6">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加强法治学习和执法人员培训。</w:t>
      </w:r>
      <w:r>
        <w:rPr>
          <w:rFonts w:hint="eastAsia" w:ascii="仿宋_GB2312" w:hAnsi="仿宋_GB2312" w:eastAsia="仿宋_GB2312" w:cs="仿宋_GB2312"/>
          <w:sz w:val="32"/>
          <w:szCs w:val="32"/>
          <w:lang w:val="en-US" w:eastAsia="zh-CN"/>
        </w:rPr>
        <w:t>我局坚持领导干部学法制度，通过“民主生活会”等学习活动，组织领导全局党员干部积极学习党的二十大精神、习近平法治思想及相关法律法规，提高党员干部政治站位及学法懂法守法用法意识。同时，按照县关于执法人员相关要求，严格落实行政执法人员持证上岗和资格管理制度，参加相关培训考试，确保持证人员具备相应执法能力。并加强执法队伍廉政教育和作风建设，明确执法行为规范，严禁粗暴执法、选择性执法、逐利执法。畅通投诉举报渠道，对执法不作为、乱作为等问题严肃查处，维护人社执法队伍的良好形象。</w:t>
      </w:r>
    </w:p>
    <w:p w14:paraId="176BEC5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（三）严格规范行政执法。</w:t>
      </w:r>
      <w:r>
        <w:rPr>
          <w:rFonts w:hint="eastAsia" w:ascii="仿宋_GB2312" w:hAnsi="仿宋_GB2312" w:eastAsia="仿宋_GB2312" w:cs="仿宋_GB2312"/>
          <w:sz w:val="32"/>
          <w:szCs w:val="32"/>
        </w:rPr>
        <w:t>一是认真贯彻执行省市人社部门制定的行政裁量权基准制度，制定并执行本部门行政执法全过程记录、重大执法决定法制审核、行政执法公示制度。二是</w:t>
      </w:r>
      <w:r>
        <w:rPr>
          <w:rFonts w:hint="eastAsia" w:ascii="仿宋_GB2312" w:hAnsi="仿宋_GB2312" w:eastAsia="仿宋_GB2312" w:cs="仿宋_GB2312"/>
          <w:sz w:val="32"/>
          <w:szCs w:val="32"/>
          <w:lang w:val="en-US" w:eastAsia="zh-CN"/>
        </w:rPr>
        <w:t>严格落实“入企扫码”制度，全面规范执法行为。在工作中，加强对执法人员的业务培训和法治教育，提升执法队伍专业素养和依法履职能力。我局按要求对10名持证执法人员开展人社系统内部执法人员培训，确保执法人员均下载安装“邢台执法”APP，人人会用“入企扫码”功能，并严格按照要求进行使用，确保了人社系统劳动保障领域涉企行政执法程序规范化、制度化。三是加强部门协同监管，主动加强与市场监管、住建等部门的沟通协作，探索开展跨部门联合“双随机”抽查，实现“进一次门、查多项事”，避免多头检查、重复检</w:t>
      </w:r>
      <w:bookmarkStart w:id="0" w:name="_GoBack"/>
      <w:bookmarkEnd w:id="0"/>
      <w:r>
        <w:rPr>
          <w:rFonts w:hint="eastAsia" w:ascii="仿宋_GB2312" w:hAnsi="仿宋_GB2312" w:eastAsia="仿宋_GB2312" w:cs="仿宋_GB2312"/>
          <w:sz w:val="32"/>
          <w:szCs w:val="32"/>
          <w:lang w:val="en-US" w:eastAsia="zh-CN"/>
        </w:rPr>
        <w:t>查，切实减轻企业负担。</w:t>
      </w:r>
    </w:p>
    <w:p w14:paraId="562AC67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napToGrid w:val="0"/>
          <w:kern w:val="0"/>
          <w:sz w:val="32"/>
          <w:szCs w:val="32"/>
          <w:lang w:val="en-US" w:eastAsia="zh-CN" w:bidi="ar-SA"/>
        </w:rPr>
        <w:t>（</w:t>
      </w:r>
      <w:r>
        <w:rPr>
          <w:rFonts w:hint="eastAsia" w:ascii="楷体_GB2312" w:hAnsi="楷体_GB2312" w:eastAsia="楷体_GB2312" w:cs="楷体_GB2312"/>
          <w:sz w:val="32"/>
          <w:szCs w:val="32"/>
          <w:lang w:val="en-US" w:eastAsia="zh-CN"/>
        </w:rPr>
        <w:t>四</w:t>
      </w:r>
      <w:r>
        <w:rPr>
          <w:rFonts w:hint="eastAsia" w:ascii="仿宋_GB2312" w:hAnsi="仿宋_GB2312" w:eastAsia="仿宋_GB2312" w:cs="仿宋_GB2312"/>
          <w:snapToGrid w:val="0"/>
          <w:kern w:val="0"/>
          <w:sz w:val="32"/>
          <w:szCs w:val="32"/>
          <w:lang w:val="en-US" w:eastAsia="zh-CN" w:bidi="ar-SA"/>
        </w:rPr>
        <w:t>）</w:t>
      </w:r>
      <w:r>
        <w:rPr>
          <w:rFonts w:hint="eastAsia" w:ascii="楷体_GB2312" w:hAnsi="楷体_GB2312" w:eastAsia="楷体_GB2312" w:cs="楷体_GB2312"/>
          <w:sz w:val="32"/>
          <w:szCs w:val="32"/>
          <w:lang w:eastAsia="zh-CN"/>
        </w:rPr>
        <w:t>充分发挥法律顾问作用。</w:t>
      </w:r>
      <w:r>
        <w:rPr>
          <w:rFonts w:hint="eastAsia" w:ascii="仿宋_GB2312" w:hAnsi="宋体" w:eastAsia="仿宋_GB2312" w:cs="宋体"/>
          <w:color w:val="000000"/>
          <w:kern w:val="0"/>
          <w:sz w:val="32"/>
          <w:szCs w:val="36"/>
        </w:rPr>
        <w:t>为进一步提高我局依法行政、科学决策的能力和水平，充分发挥法律人才在政府机关法治建设中的作用，我局完善了法律顾问制度，专门为我局的重大行政决策事项和制定规范性文件等方面提供法律服务。</w:t>
      </w:r>
      <w:r>
        <w:rPr>
          <w:rFonts w:hint="eastAsia" w:ascii="仿宋_GB2312" w:hAnsi="仿宋_GB2312" w:eastAsia="仿宋_GB2312" w:cs="仿宋_GB2312"/>
          <w:sz w:val="32"/>
          <w:szCs w:val="32"/>
          <w:lang w:eastAsia="zh-CN"/>
        </w:rPr>
        <w:t>充分发挥法律顾问、法制工作者在重大决策、规范性文件合法性审查、合同协议等法律文件审查、重大行政执法决定法制审核、代理行政复议诉讼案件、化解矛盾纠纷、提供法律咨询论证等方面的积极作用。</w:t>
      </w:r>
    </w:p>
    <w:p w14:paraId="22EE497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（五）社会矛盾化解工作稳中有进。</w:t>
      </w:r>
      <w:r>
        <w:rPr>
          <w:rFonts w:hint="eastAsia" w:ascii="仿宋_GB2312" w:hAnsi="仿宋_GB2312" w:eastAsia="仿宋_GB2312" w:cs="仿宋_GB2312"/>
          <w:sz w:val="32"/>
          <w:szCs w:val="32"/>
        </w:rPr>
        <w:t>通过调解仲裁、劳动监察等</w:t>
      </w:r>
      <w:r>
        <w:rPr>
          <w:rFonts w:hint="eastAsia" w:ascii="仿宋_GB2312" w:hAnsi="仿宋_GB2312" w:eastAsia="仿宋_GB2312" w:cs="仿宋_GB2312"/>
          <w:sz w:val="32"/>
          <w:szCs w:val="32"/>
          <w:lang w:eastAsia="zh-CN"/>
        </w:rPr>
        <w:t>多种</w:t>
      </w:r>
      <w:r>
        <w:rPr>
          <w:rFonts w:hint="eastAsia" w:ascii="仿宋_GB2312" w:hAnsi="仿宋_GB2312" w:eastAsia="仿宋_GB2312" w:cs="仿宋_GB2312"/>
          <w:sz w:val="32"/>
          <w:szCs w:val="32"/>
        </w:rPr>
        <w:t>途径，引导群众通过法定途径解决问题，注重运用调解手段化解矛盾纠纷，维护社会稳定大局。</w:t>
      </w:r>
      <w:r>
        <w:rPr>
          <w:rFonts w:hint="eastAsia" w:ascii="仿宋_GB2312" w:hAnsi="仿宋_GB2312" w:eastAsia="仿宋_GB2312" w:cs="仿宋_GB2312"/>
          <w:sz w:val="32"/>
          <w:szCs w:val="32"/>
          <w:lang w:val="en-US" w:eastAsia="zh-CN"/>
        </w:rPr>
        <w:t>继续</w:t>
      </w:r>
      <w:r>
        <w:rPr>
          <w:rFonts w:hint="eastAsia" w:ascii="仿宋_GB2312" w:hAnsi="仿宋_GB2312" w:eastAsia="仿宋_GB2312" w:cs="仿宋_GB2312"/>
          <w:kern w:val="2"/>
          <w:sz w:val="32"/>
          <w:szCs w:val="32"/>
          <w:lang w:val="en-US" w:eastAsia="zh-CN" w:bidi="ar-SA"/>
        </w:rPr>
        <w:t>开展欠薪常态排查，对劳动者进行现场面对面法律法规、政策宣传，检查企业劳动合同签订、工资支付等情况，增强劳资双方的权益维护意识，切实规范企业用工行为。组织相关专项检查行动，专项治理企业欠薪失信行为，推进劳动保障诚信体系建设。畅通举报投诉咨询电话，开启绿色通道，快速处理简易案件。</w:t>
      </w:r>
      <w:r>
        <w:rPr>
          <w:rFonts w:hint="eastAsia" w:ascii="仿宋_GB2312" w:hAnsi="仿宋_GB2312" w:eastAsia="仿宋_GB2312" w:cs="仿宋_GB2312"/>
          <w:sz w:val="32"/>
          <w:szCs w:val="32"/>
          <w:lang w:val="en-US" w:eastAsia="zh-CN"/>
        </w:rPr>
        <w:t>加强司法衔接，积极与法院、公安局等部门沟通协调，依法打击恶意欠薪行为，维护了社会大局稳定。</w:t>
      </w:r>
    </w:p>
    <w:p w14:paraId="1AB34FC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二、当前工作存在的问题</w:t>
      </w:r>
    </w:p>
    <w:p w14:paraId="4F9AF26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回顾一年来的工作，我局在法治政府建设方面虽然取得了一定成绩，但在实际工作中仍存在一些不足</w:t>
      </w:r>
      <w:r>
        <w:rPr>
          <w:rFonts w:hint="eastAsia" w:ascii="仿宋_GB2312" w:hAnsi="Times New Roman" w:eastAsia="仿宋_GB2312" w:cs="Times New Roman"/>
          <w:color w:val="000000"/>
          <w:sz w:val="32"/>
          <w:szCs w:val="32"/>
          <w:lang w:eastAsia="zh-CN"/>
        </w:rPr>
        <w:t>，主要表现在</w:t>
      </w:r>
      <w:r>
        <w:rPr>
          <w:rFonts w:hint="eastAsia" w:ascii="仿宋_GB2312" w:hAnsi="仿宋_GB2312" w:eastAsia="仿宋_GB2312" w:cs="仿宋_GB2312"/>
          <w:sz w:val="32"/>
          <w:szCs w:val="32"/>
          <w:lang w:val="en-US" w:eastAsia="zh-CN"/>
        </w:rPr>
        <w:t>：一是法治思维与专业能力仍需提升，部分人员运用法治方式解决复杂问题的能力有待加强；二是执法力量和执法能力薄弱，目前我局仍然存在执法队伍身兼数职、专业人员少、执法力量薄弱的问题，执法力量无法满足工作需求，执法监管效果有待提升；三是普法精准度与实效性有待提升，新业态用工、灵活就业等领域普法针对性需增强；四是争议前端化解效能仍需提效，基层调解组织作用发挥不充分。</w:t>
      </w:r>
    </w:p>
    <w:p w14:paraId="089229C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三、下一步工作谋划</w:t>
      </w:r>
    </w:p>
    <w:p w14:paraId="237BA8D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下一步</w:t>
      </w:r>
      <w:r>
        <w:rPr>
          <w:rFonts w:hint="eastAsia" w:ascii="仿宋_GB2312" w:hAnsi="仿宋_GB2312" w:eastAsia="仿宋_GB2312" w:cs="仿宋_GB2312"/>
          <w:sz w:val="32"/>
          <w:szCs w:val="32"/>
        </w:rPr>
        <w:t>，我局将按照</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政府的要求，紧紧围绕贯彻落实党的</w:t>
      </w:r>
      <w:r>
        <w:rPr>
          <w:rFonts w:hint="eastAsia" w:ascii="仿宋_GB2312" w:hAnsi="仿宋_GB2312" w:eastAsia="仿宋_GB2312" w:cs="仿宋_GB2312"/>
          <w:sz w:val="32"/>
          <w:szCs w:val="32"/>
          <w:lang w:eastAsia="zh-CN"/>
        </w:rPr>
        <w:t>二十大</w:t>
      </w:r>
      <w:r>
        <w:rPr>
          <w:rFonts w:hint="eastAsia" w:ascii="仿宋_GB2312" w:hAnsi="仿宋_GB2312" w:eastAsia="仿宋_GB2312" w:cs="仿宋_GB2312"/>
          <w:sz w:val="32"/>
          <w:szCs w:val="32"/>
        </w:rPr>
        <w:t>精神和关于法治政府建设的要求，立足发挥法治保障作用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服务全</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发展，重点做好以下工作：</w:t>
      </w:r>
    </w:p>
    <w:p w14:paraId="68B182DA">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0" w:afterAutospacing="0" w:line="580" w:lineRule="exact"/>
        <w:ind w:right="0" w:rightChars="0" w:firstLine="640" w:firstLineChars="200"/>
        <w:textAlignment w:val="auto"/>
        <w:rPr>
          <w:rFonts w:hint="eastAsia" w:ascii="仿宋_GB2312" w:eastAsia="仿宋_GB2312"/>
          <w:sz w:val="32"/>
          <w:szCs w:val="32"/>
        </w:rPr>
      </w:pPr>
      <w:r>
        <w:rPr>
          <w:rFonts w:hint="eastAsia" w:ascii="楷体_GB2312" w:hAnsi="楷体_GB2312" w:eastAsia="楷体_GB2312" w:cs="楷体_GB2312"/>
          <w:sz w:val="32"/>
          <w:szCs w:val="32"/>
          <w:lang w:val="en-US" w:eastAsia="zh-CN"/>
        </w:rPr>
        <w:t>（一）持续深化法治学习。</w:t>
      </w:r>
      <w:r>
        <w:rPr>
          <w:rFonts w:hint="eastAsia" w:ascii="仿宋_GB2312" w:eastAsia="仿宋_GB2312"/>
          <w:sz w:val="32"/>
          <w:szCs w:val="32"/>
        </w:rPr>
        <w:t>建立常态化学法机制，重点加强对领导干部和一线执法人员的法治培训，不断提升运用法治思维解决实际问题的能力。</w:t>
      </w:r>
    </w:p>
    <w:p w14:paraId="38450FB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napToGrid w:val="0"/>
          <w:kern w:val="0"/>
          <w:sz w:val="32"/>
          <w:szCs w:val="32"/>
          <w:lang w:val="en-US" w:eastAsia="zh-CN" w:bidi="ar-SA"/>
        </w:rPr>
        <w:t>（二）</w:t>
      </w:r>
      <w:r>
        <w:rPr>
          <w:rFonts w:hint="eastAsia" w:ascii="楷体_GB2312" w:hAnsi="楷体_GB2312" w:eastAsia="楷体_GB2312" w:cs="楷体_GB2312"/>
          <w:sz w:val="32"/>
          <w:szCs w:val="32"/>
          <w:lang w:val="en-US" w:eastAsia="zh-CN"/>
        </w:rPr>
        <w:t>强化执法监督检查力度。</w:t>
      </w:r>
      <w:r>
        <w:rPr>
          <w:rFonts w:hint="eastAsia" w:ascii="仿宋_GB2312" w:hAnsi="仿宋_GB2312" w:eastAsia="仿宋_GB2312" w:cs="仿宋_GB2312"/>
          <w:sz w:val="32"/>
          <w:szCs w:val="32"/>
          <w:lang w:val="en-US" w:eastAsia="zh-CN"/>
        </w:rPr>
        <w:t>继续加强人社系统执法案卷评查和专项监督检查，重点对各类执法行为的全过程记录（包括文字记录和音像记录）情况、执法公示情况、重大执法决定法制审核情况等进行监督检查，提升执法案卷组卷水平，促进依法行政。同时，认真做好罚没许可证年检、执法证件申领、培训和年检工作，加强执法资格管理。</w:t>
      </w:r>
    </w:p>
    <w:p w14:paraId="07DF295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color w:val="000000"/>
          <w:sz w:val="32"/>
          <w:szCs w:val="32"/>
          <w:lang w:eastAsia="zh-CN"/>
        </w:rPr>
      </w:pPr>
      <w:r>
        <w:rPr>
          <w:rFonts w:hint="eastAsia" w:ascii="楷体_GB2312" w:hAnsi="楷体_GB2312" w:eastAsia="楷体_GB2312" w:cs="楷体_GB2312"/>
          <w:snapToGrid w:val="0"/>
          <w:kern w:val="0"/>
          <w:sz w:val="32"/>
          <w:szCs w:val="32"/>
          <w:lang w:val="en-US" w:eastAsia="zh-CN" w:bidi="ar-SA"/>
        </w:rPr>
        <w:t>（三）</w:t>
      </w:r>
      <w:r>
        <w:rPr>
          <w:rFonts w:hint="eastAsia" w:ascii="楷体_GB2312" w:hAnsi="楷体_GB2312" w:eastAsia="楷体_GB2312" w:cs="楷体_GB2312"/>
          <w:sz w:val="32"/>
          <w:szCs w:val="32"/>
          <w:lang w:val="en-US" w:eastAsia="zh-CN"/>
        </w:rPr>
        <w:t>做好普法宣传工作。</w:t>
      </w:r>
      <w:r>
        <w:rPr>
          <w:rFonts w:hint="eastAsia" w:hAnsi="仿宋_GB2312" w:eastAsia="仿宋_GB2312" w:cs="仿宋_GB2312" w:asciiTheme="minorAscii"/>
          <w:sz w:val="32"/>
          <w:szCs w:val="32"/>
        </w:rPr>
        <w:t>深入推进“谁执法谁普法”普法责任制落实</w:t>
      </w:r>
      <w:r>
        <w:rPr>
          <w:rFonts w:hint="eastAsia" w:hAnsi="仿宋_GB2312" w:eastAsia="仿宋_GB2312" w:cs="仿宋_GB2312" w:asciiTheme="minorAscii"/>
          <w:sz w:val="32"/>
          <w:szCs w:val="32"/>
          <w:lang w:eastAsia="zh-CN"/>
        </w:rPr>
        <w:t>，</w:t>
      </w:r>
      <w:r>
        <w:rPr>
          <w:rFonts w:hint="eastAsia" w:ascii="仿宋_GB2312" w:hAnsi="仿宋_GB2312" w:eastAsia="仿宋_GB2312" w:cs="仿宋_GB2312"/>
          <w:sz w:val="32"/>
          <w:szCs w:val="32"/>
          <w:lang w:eastAsia="zh-CN"/>
        </w:rPr>
        <w:t>聚焦人社局主责主业，</w:t>
      </w:r>
      <w:r>
        <w:rPr>
          <w:rFonts w:hint="eastAsia" w:ascii="仿宋_GB2312" w:hAnsi="Times New Roman" w:eastAsia="仿宋_GB2312" w:cs="Times New Roman"/>
          <w:color w:val="000000"/>
          <w:sz w:val="32"/>
          <w:szCs w:val="32"/>
          <w:lang w:eastAsia="zh-CN"/>
        </w:rPr>
        <w:t>积极开展法治宣传活动，制作宣传展板，发放宣传资料，帮助广大群众树立法治观念，增强用法意识，不断提升普法和依法治理水平。同时，还下沉到基层和企业，开展送法进工地、送法进企业活动，结合典型法律案例向企业员工宣讲学法懂法用法的益处，培养法治思维解决问题能力，形成全民守法遵法的好氛围。</w:t>
      </w:r>
    </w:p>
    <w:p w14:paraId="1D167B5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0" w:afterAutospacing="0" w:line="600" w:lineRule="atLeast"/>
        <w:ind w:right="0"/>
        <w:textAlignment w:val="auto"/>
        <w:rPr>
          <w:rFonts w:hint="eastAsia" w:ascii="仿宋_GB2312" w:eastAsia="仿宋_GB2312"/>
          <w:sz w:val="32"/>
          <w:szCs w:val="32"/>
          <w:lang w:eastAsia="zh-CN"/>
        </w:rPr>
      </w:pPr>
    </w:p>
    <w:p w14:paraId="3AEE9C4F">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0" w:afterAutospacing="0" w:line="600" w:lineRule="exact"/>
        <w:ind w:right="0" w:righ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eastAsia="仿宋_GB2312"/>
          <w:sz w:val="32"/>
          <w:szCs w:val="32"/>
          <w:lang w:val="en-US" w:eastAsia="zh-CN"/>
        </w:rPr>
        <w:t xml:space="preserve">                          2026年2月27日</w:t>
      </w:r>
    </w:p>
    <w:sectPr>
      <w:pgSz w:w="11906" w:h="16838"/>
      <w:pgMar w:top="2041" w:right="1531" w:bottom="153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2731BC1-F926-4680-8F42-5362DCBF612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F6DABF9F-F2EC-4E71-BD78-C22E51E16C35}"/>
  </w:font>
  <w:font w:name="仿宋_GB2312">
    <w:panose1 w:val="02010609030101010101"/>
    <w:charset w:val="86"/>
    <w:family w:val="modern"/>
    <w:pitch w:val="default"/>
    <w:sig w:usb0="00000001" w:usb1="080E0000" w:usb2="00000000" w:usb3="00000000" w:csb0="00040000" w:csb1="00000000"/>
    <w:embedRegular r:id="rId3" w:fontKey="{AECA5CC3-FB32-4984-8366-CA30245B24CA}"/>
  </w:font>
  <w:font w:name="方正小标宋简体">
    <w:panose1 w:val="02000000000000000000"/>
    <w:charset w:val="86"/>
    <w:family w:val="auto"/>
    <w:pitch w:val="default"/>
    <w:sig w:usb0="00000001" w:usb1="08000000" w:usb2="00000000" w:usb3="00000000" w:csb0="00040000" w:csb1="00000000"/>
    <w:embedRegular r:id="rId4" w:fontKey="{E67464E4-11F2-4B2E-AD8B-1F7A10469CBE}"/>
  </w:font>
  <w:font w:name="楷体_GB2312">
    <w:panose1 w:val="02010609030101010101"/>
    <w:charset w:val="86"/>
    <w:family w:val="auto"/>
    <w:pitch w:val="default"/>
    <w:sig w:usb0="00000001" w:usb1="080E0000" w:usb2="00000000" w:usb3="00000000" w:csb0="00040000" w:csb1="00000000"/>
    <w:embedRegular r:id="rId5" w:fontKey="{3A0DC9FF-B5D3-4E9A-A814-783BF002A574}"/>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D7833D"/>
    <w:multiLevelType w:val="singleLevel"/>
    <w:tmpl w:val="22D7833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IxNzk2NTI4ZmZlOTJkOTQ2ODc5OWY2ZTYyNmQ4ZDMifQ=="/>
  </w:docVars>
  <w:rsids>
    <w:rsidRoot w:val="0B1D01F0"/>
    <w:rsid w:val="00100A84"/>
    <w:rsid w:val="04071193"/>
    <w:rsid w:val="04204756"/>
    <w:rsid w:val="0556791D"/>
    <w:rsid w:val="06774AA1"/>
    <w:rsid w:val="08F002F5"/>
    <w:rsid w:val="0B1D01F0"/>
    <w:rsid w:val="0B5659BE"/>
    <w:rsid w:val="0BFF3772"/>
    <w:rsid w:val="0E7C36A7"/>
    <w:rsid w:val="0EB2020F"/>
    <w:rsid w:val="1487714C"/>
    <w:rsid w:val="14BB617C"/>
    <w:rsid w:val="1A740593"/>
    <w:rsid w:val="1B395F40"/>
    <w:rsid w:val="1CBD494F"/>
    <w:rsid w:val="1DB33CD2"/>
    <w:rsid w:val="1FB73EE2"/>
    <w:rsid w:val="21CB7DF5"/>
    <w:rsid w:val="21CE1A01"/>
    <w:rsid w:val="220946BA"/>
    <w:rsid w:val="238D6950"/>
    <w:rsid w:val="245D237A"/>
    <w:rsid w:val="25207D8A"/>
    <w:rsid w:val="25D32BD8"/>
    <w:rsid w:val="265A6C12"/>
    <w:rsid w:val="29024506"/>
    <w:rsid w:val="29934024"/>
    <w:rsid w:val="2B3F53AE"/>
    <w:rsid w:val="2E3D47D2"/>
    <w:rsid w:val="2E5844D8"/>
    <w:rsid w:val="319E262F"/>
    <w:rsid w:val="31E60354"/>
    <w:rsid w:val="33BB4F76"/>
    <w:rsid w:val="35200040"/>
    <w:rsid w:val="38482FE7"/>
    <w:rsid w:val="39AB7BB1"/>
    <w:rsid w:val="39EF01F1"/>
    <w:rsid w:val="39F33306"/>
    <w:rsid w:val="39F801E3"/>
    <w:rsid w:val="3BEB34A3"/>
    <w:rsid w:val="3CBE43CE"/>
    <w:rsid w:val="3E601E6B"/>
    <w:rsid w:val="402A1696"/>
    <w:rsid w:val="42BE4C75"/>
    <w:rsid w:val="459025B7"/>
    <w:rsid w:val="49A828BD"/>
    <w:rsid w:val="4A7D0ADA"/>
    <w:rsid w:val="4AFA38B1"/>
    <w:rsid w:val="4C253936"/>
    <w:rsid w:val="4CF076E1"/>
    <w:rsid w:val="4DD327C8"/>
    <w:rsid w:val="4DE90B47"/>
    <w:rsid w:val="4EC6354D"/>
    <w:rsid w:val="50850D04"/>
    <w:rsid w:val="51674139"/>
    <w:rsid w:val="55FB749B"/>
    <w:rsid w:val="564C4EA4"/>
    <w:rsid w:val="57174680"/>
    <w:rsid w:val="578C3E54"/>
    <w:rsid w:val="5A44578C"/>
    <w:rsid w:val="5A5359CF"/>
    <w:rsid w:val="5A5714D0"/>
    <w:rsid w:val="5AD568E7"/>
    <w:rsid w:val="5C796065"/>
    <w:rsid w:val="5FC96C90"/>
    <w:rsid w:val="61004B42"/>
    <w:rsid w:val="630C3A8E"/>
    <w:rsid w:val="660272EF"/>
    <w:rsid w:val="66EA700F"/>
    <w:rsid w:val="69F22A9A"/>
    <w:rsid w:val="6E5300E1"/>
    <w:rsid w:val="6FD90258"/>
    <w:rsid w:val="6FF2585B"/>
    <w:rsid w:val="70B36F94"/>
    <w:rsid w:val="70B64A15"/>
    <w:rsid w:val="730F363B"/>
    <w:rsid w:val="736815F8"/>
    <w:rsid w:val="736F5E76"/>
    <w:rsid w:val="74E569AC"/>
    <w:rsid w:val="77772DE0"/>
    <w:rsid w:val="77BF5FCA"/>
    <w:rsid w:val="788B4E63"/>
    <w:rsid w:val="7B57549D"/>
    <w:rsid w:val="7BBC029F"/>
    <w:rsid w:val="7C25016C"/>
    <w:rsid w:val="7C2F344E"/>
    <w:rsid w:val="7F9F4A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snapToGrid w:val="0"/>
      <w:kern w:val="0"/>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2150</Words>
  <Characters>2169</Characters>
  <Lines>0</Lines>
  <Paragraphs>0</Paragraphs>
  <TotalTime>8</TotalTime>
  <ScaleCrop>false</ScaleCrop>
  <LinksUpToDate>false</LinksUpToDate>
  <CharactersWithSpaces>2195</CharactersWithSpaces>
  <Application>WPS Office_12.1.0.25835_F1E327BC-269C-435d-A152-05C5408002CA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2022-03-17T02:26:00Z</dcterms:created>
  <dc:creator>劳动股</dc:creator>
  <cp:lastModifiedBy>F</cp:lastModifiedBy>
  <dcterms:modified xsi:type="dcterms:W3CDTF">2026-03-30T03:15:14Z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2052-12.1.0.25835</vt:lpwstr>
  </property>
  <property fmtid="{D5CDD505-2E9C-101B-9397-08002B2CF9AE}" pid="3" name="ICV">
    <vt:lpwstr>8F6D56DD286E4EC098CB1D07924FB30B_12</vt:lpwstr>
  </property>
  <property fmtid="{D5CDD505-2E9C-101B-9397-08002B2CF9AE}" pid="4" name="KSOTemplateDocerSaveRecord">
    <vt:lpwstr>eyJoZGlkIjoiODY1YjBkMDVhNTllODlkMzJjZGJhM2UyYTAyNTBhZWEiLCJ1c2VySWQiOiIyODQzNTIyNjAifQ==</vt:lpwstr>
  </property>
</Properties>
</file>