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 w:val="0"/>
        <w:ind w:left="0" w:firstLineChars="600" w:firstLine="2640"/>
        <w:jc w:val="both"/>
        <w:rPr>
          <w:rFonts w:ascii="方正小标宋简体" w:eastAsia="方正小标宋简体" w:cs="方正小标宋简体" w:hAnsi="方正小标宋简体" w:hint="eastAsia"/>
          <w:sz w:val="44"/>
          <w:szCs w:val="44"/>
          <w:shd w:val="clear" w:color="auto" w:fill="auto"/>
        </w:rPr>
      </w:pPr>
      <w:r>
        <w:rPr>
          <w:rFonts w:ascii="方正小标宋简体" w:eastAsia="方正小标宋简体" w:cs="方正小标宋简体" w:hAnsi="方正小标宋简体" w:hint="eastAsia"/>
          <w:sz w:val="44"/>
          <w:szCs w:val="44"/>
          <w:shd w:val="clear" w:color="auto" w:fill="auto"/>
        </w:rPr>
        <w:t>隆尧县医疗保障局</w:t>
      </w:r>
    </w:p>
    <w:p>
      <w:pPr>
        <w:keepNext w:val="0"/>
        <w:keepLines w:val="0"/>
        <w:pageBreakBefore w:val="0"/>
        <w:widowControl w:val="0"/>
        <w:ind w:left="0"/>
        <w:jc w:val="center"/>
        <w:rPr>
          <w:rFonts w:ascii="方正小标宋简体" w:eastAsia="方正小标宋简体" w:cs="方正小标宋简体" w:hAnsi="方正小标宋简体" w:hint="eastAsia"/>
          <w:sz w:val="44"/>
          <w:szCs w:val="44"/>
          <w:shd w:val="clear" w:color="auto" w:fill="auto"/>
        </w:rPr>
      </w:pPr>
      <w:r>
        <w:rPr>
          <w:rFonts w:ascii="方正小标宋简体" w:eastAsia="方正小标宋简体" w:cs="方正小标宋简体" w:hAnsi="方正小标宋简体" w:hint="eastAsia"/>
          <w:sz w:val="44"/>
          <w:szCs w:val="44"/>
          <w:shd w:val="clear" w:color="auto" w:fill="auto"/>
        </w:rPr>
        <w:t>2025年法治政府建设年度报告</w:t>
      </w:r>
    </w:p>
    <w:p>
      <w:pPr>
        <w:rPr>
          <w:sz w:val="15"/>
          <w:szCs w:val="15"/>
        </w:rPr>
      </w:pPr>
    </w:p>
    <w:p>
      <w:pPr>
        <w:ind w:firstLineChars="200" w:firstLine="640"/>
        <w:jc w:val="both"/>
        <w:rPr>
          <w:rFonts w:ascii="Arial" w:eastAsia="方正仿宋_GBK" w:cs="方正仿宋_GBK" w:hAnsi="方正仿宋_GBK"/>
          <w:sz w:val="32"/>
          <w:szCs w:val="32"/>
        </w:rPr>
      </w:pPr>
      <w:r>
        <w:rPr>
          <w:rFonts w:ascii="方正仿宋_GBK" w:eastAsia="方正仿宋_GBK" w:cs="方正仿宋_GBK" w:hAnsi="方正仿宋_GBK" w:hint="eastAsia"/>
          <w:sz w:val="32"/>
          <w:szCs w:val="32"/>
        </w:rPr>
        <w:t>2025年我局坚持以习近平法治思想为引领，全面贯彻党的二十大及二十届二中、三中、四中全会精神，严格落实法治政府建设各项部署，将法治思维与法治方式贯穿医保基金监管、政策执行、经办服务、行政执法全过程，扎实推进医保领域依法行政，现将年度工作情况报告如</w:t>
      </w:r>
      <w:r>
        <w:rPr>
          <w:rFonts w:ascii="方正仿宋_GBK" w:eastAsia="方正仿宋_GBK" w:cs="方正仿宋_GBK" w:hAnsi="方正仿宋_GBK"/>
          <w:sz w:val="32"/>
          <w:szCs w:val="32"/>
        </w:rPr>
        <w:t>下：</w:t>
      </w:r>
      <w:r>
        <w:rPr>
          <w:rFonts w:ascii="Arial" w:eastAsia="方正仿宋_GBK" w:cs="方正仿宋_GBK" w:hAnsi="方正仿宋_GBK"/>
          <w:sz w:val="32"/>
          <w:szCs w:val="32"/>
        </w:rPr>
        <w:t xml:space="preserve">   </w:t>
      </w:r>
    </w:p>
    <w:p>
      <w:pPr>
        <w:ind w:firstLineChars="200" w:firstLine="640"/>
        <w:jc w:val="both"/>
        <w:rPr>
          <w:rFonts w:ascii="方正仿宋_GBK" w:eastAsia="方正仿宋_GBK" w:cs="方正仿宋_GBK" w:hAnsi="方正仿宋_GBK"/>
          <w:b/>
          <w:bCs/>
          <w:sz w:val="32"/>
          <w:szCs w:val="32"/>
        </w:rPr>
      </w:pPr>
      <w:r>
        <w:rPr>
          <w:rFonts w:ascii="Arial" w:eastAsia="方正仿宋_GBK" w:cs="方正仿宋_GBK" w:hAnsi="方正仿宋_GBK"/>
          <w:b/>
          <w:bCs/>
          <w:sz w:val="32"/>
          <w:szCs w:val="32"/>
        </w:rPr>
        <w:t>一、</w:t>
      </w:r>
      <w:r>
        <w:rPr>
          <w:rFonts w:ascii="方正仿宋_GBK" w:eastAsia="方正仿宋_GBK" w:cs="方正仿宋_GBK" w:hAnsi="方正仿宋_GBK" w:hint="eastAsia"/>
          <w:b/>
          <w:bCs/>
          <w:sz w:val="32"/>
          <w:szCs w:val="32"/>
        </w:rPr>
        <w:t>强化政治引领，压实法治建设责任</w:t>
      </w:r>
    </w:p>
    <w:p>
      <w:pPr>
        <w:ind w:firstLineChars="200" w:firstLine="640"/>
        <w:rPr>
          <w:rFonts w:ascii="方正仿宋_GBK" w:eastAsia="方正仿宋_GBK" w:cs="方正仿宋_GBK" w:hAnsi="方正仿宋_GBK"/>
          <w:sz w:val="32"/>
          <w:szCs w:val="32"/>
        </w:rPr>
      </w:pPr>
      <w:r>
        <w:rPr>
          <w:rFonts w:ascii="方正仿宋_GBK" w:eastAsia="方正仿宋_GBK" w:cs="方正仿宋_GBK" w:hAnsi="方正仿宋_GBK" w:hint="eastAsia"/>
          <w:sz w:val="32"/>
          <w:szCs w:val="32"/>
        </w:rPr>
        <w:t>落实第一责任人职责</w:t>
      </w:r>
      <w:r>
        <w:rPr>
          <w:rFonts w:ascii="方正仿宋_GBK" w:eastAsia="方正仿宋_GBK" w:cs="方正仿宋_GBK" w:hAnsi="方正仿宋_GBK"/>
          <w:sz w:val="32"/>
          <w:szCs w:val="32"/>
        </w:rPr>
        <w:t>，</w:t>
      </w:r>
      <w:r>
        <w:rPr>
          <w:rFonts w:ascii="方正仿宋_GBK" w:eastAsia="方正仿宋_GBK" w:cs="方正仿宋_GBK" w:hAnsi="方正仿宋_GBK" w:hint="eastAsia"/>
          <w:sz w:val="32"/>
          <w:szCs w:val="32"/>
        </w:rPr>
        <w:t>局党组切实履行法治建设主体责任，主要负责人履行第一责任人职责，将法治政府建设纳入年度重点工作，与医保业务同部署、同推进、同考核。</w:t>
      </w:r>
    </w:p>
    <w:p>
      <w:pPr>
        <w:ind w:firstLineChars="200" w:firstLine="640"/>
        <w:rPr>
          <w:rFonts w:ascii="方正仿宋_GBK" w:eastAsia="方正仿宋_GBK" w:cs="方正仿宋_GBK" w:hAnsi="方正仿宋_GBK"/>
          <w:b/>
          <w:bCs/>
          <w:sz w:val="32"/>
          <w:szCs w:val="32"/>
        </w:rPr>
      </w:pPr>
      <w:r>
        <w:rPr>
          <w:rFonts w:ascii="方正仿宋_GBK" w:eastAsia="方正仿宋_GBK" w:cs="方正仿宋_GBK" w:hAnsi="方正仿宋_GBK" w:hint="eastAsia"/>
          <w:b/>
          <w:bCs/>
          <w:sz w:val="32"/>
          <w:szCs w:val="32"/>
        </w:rPr>
        <w:t>二、完善制度体系，规范行政权力运行</w:t>
      </w:r>
    </w:p>
    <w:p>
      <w:pPr>
        <w:ind w:firstLineChars="200" w:firstLine="640"/>
        <w:rPr>
          <w:rFonts w:ascii="方正仿宋_GBK" w:eastAsia="方正仿宋_GBK" w:cs="方正仿宋_GBK"/>
          <w:sz w:val="32"/>
          <w:szCs w:val="32"/>
        </w:rPr>
      </w:pPr>
      <w:r>
        <w:rPr>
          <w:rFonts w:ascii="方正仿宋_GBK" w:eastAsia="方正仿宋_GBK" w:cs="方正仿宋_GBK"/>
          <w:sz w:val="32"/>
          <w:szCs w:val="32"/>
        </w:rPr>
        <w:t>1、</w:t>
      </w:r>
      <w:r>
        <w:rPr>
          <w:rFonts w:ascii="方正仿宋_GBK" w:eastAsia="方正仿宋_GBK" w:cs="方正仿宋_GBK" w:hint="eastAsia"/>
          <w:sz w:val="32"/>
          <w:szCs w:val="32"/>
        </w:rPr>
        <w:t>落实权责清单制度</w:t>
      </w:r>
      <w:r>
        <w:rPr>
          <w:rFonts w:ascii="方正仿宋_GBK" w:eastAsia="方正仿宋_GBK" w:cs="方正仿宋_GBK"/>
          <w:sz w:val="32"/>
          <w:szCs w:val="32"/>
        </w:rPr>
        <w:t>，</w:t>
      </w:r>
      <w:r>
        <w:rPr>
          <w:rFonts w:ascii="方正仿宋_GBK" w:eastAsia="方正仿宋_GBK" w:cs="方正仿宋_GBK" w:hint="eastAsia"/>
          <w:sz w:val="32"/>
          <w:szCs w:val="32"/>
        </w:rPr>
        <w:t>动态更新医保权责清单、行政执法事项清单、“首违免罚”清单，明确执法边界与服务流程，推进机构、职能、权限、程序、责任法定化。</w:t>
      </w:r>
    </w:p>
    <w:p>
      <w:pPr>
        <w:ind w:firstLineChars="200" w:firstLine="640"/>
        <w:rPr>
          <w:rFonts w:ascii="方正仿宋_GBK" w:eastAsia="方正仿宋_GBK" w:cs="方正仿宋_GBK"/>
          <w:sz w:val="32"/>
          <w:szCs w:val="32"/>
        </w:rPr>
      </w:pPr>
      <w:r>
        <w:rPr>
          <w:rFonts w:ascii="方正仿宋_GBK" w:eastAsia="方正仿宋_GBK" w:cs="方正仿宋_GBK"/>
          <w:sz w:val="32"/>
          <w:szCs w:val="32"/>
        </w:rPr>
        <w:t>2、</w:t>
      </w:r>
      <w:r>
        <w:rPr>
          <w:rFonts w:ascii="方正仿宋_GBK" w:eastAsia="方正仿宋_GBK" w:cs="方正仿宋_GBK" w:hint="eastAsia"/>
          <w:sz w:val="32"/>
          <w:szCs w:val="32"/>
        </w:rPr>
        <w:t>健全决策机制严格执行重大行政决策程序，涉及基金监管、待遇政策、定点管理等重大事项均开展合法性论证、风险评估，确保决策科学民主合法。</w:t>
      </w:r>
    </w:p>
    <w:p>
      <w:pPr>
        <w:ind w:firstLineChars="200" w:firstLine="640"/>
        <w:jc w:val="both"/>
        <w:rPr>
          <w:rFonts w:ascii="Arial" w:eastAsia="方正仿宋_GBK" w:cs="方正仿宋_GBK" w:hAnsi="方正仿宋_GBK"/>
          <w:b/>
          <w:bCs/>
          <w:sz w:val="32"/>
          <w:szCs w:val="32"/>
        </w:rPr>
      </w:pPr>
      <w:r>
        <w:rPr>
          <w:rFonts w:ascii="Arial" w:eastAsia="方正仿宋_GBK" w:cs="方正仿宋_GBK" w:hAnsi="方正仿宋_GBK" w:hint="eastAsia"/>
          <w:b/>
          <w:bCs/>
          <w:sz w:val="32"/>
          <w:szCs w:val="32"/>
        </w:rPr>
        <w:t>三、严格规范执法，筑牢基金安全防线</w:t>
      </w:r>
    </w:p>
    <w:p>
      <w:pPr>
        <w:ind w:firstLineChars="200" w:firstLine="640"/>
        <w:jc w:val="both"/>
        <w:rPr>
          <w:rFonts w:ascii="Arial" w:eastAsia="方正仿宋_GBK" w:cs="方正仿宋_GBK" w:hAnsi="方正仿宋_GBK"/>
          <w:sz w:val="32"/>
          <w:szCs w:val="32"/>
        </w:rPr>
      </w:pPr>
      <w:r>
        <w:rPr>
          <w:rFonts w:ascii="Arial" w:eastAsia="方正仿宋_GBK" w:cs="方正仿宋_GBK" w:hAnsi="方正仿宋_GBK"/>
          <w:sz w:val="32"/>
          <w:szCs w:val="32"/>
        </w:rPr>
        <w:t>1、</w:t>
      </w:r>
      <w:r>
        <w:rPr>
          <w:rFonts w:ascii="Arial" w:eastAsia="方正仿宋_GBK" w:cs="方正仿宋_GBK" w:hAnsi="方正仿宋_GBK" w:hint="eastAsia"/>
          <w:sz w:val="32"/>
          <w:szCs w:val="32"/>
        </w:rPr>
        <w:t>全面落实行政执法“三项制度”</w:t>
      </w:r>
      <w:r>
        <w:rPr>
          <w:rFonts w:ascii="Arial" w:eastAsia="方正仿宋_GBK" w:cs="方正仿宋_GBK" w:hAnsi="方正仿宋_GBK"/>
          <w:sz w:val="32"/>
          <w:szCs w:val="32"/>
        </w:rPr>
        <w:t>，</w:t>
      </w:r>
      <w:r>
        <w:rPr>
          <w:rFonts w:ascii="Arial" w:eastAsia="方正仿宋_GBK" w:cs="方正仿宋_GBK" w:hAnsi="方正仿宋_GBK" w:hint="eastAsia"/>
          <w:sz w:val="32"/>
          <w:szCs w:val="32"/>
        </w:rPr>
        <w:t>推行执法公示、全</w:t>
      </w:r>
      <w:r>
        <w:rPr>
          <w:rFonts w:ascii="Arial" w:eastAsia="方正仿宋_GBK" w:cs="方正仿宋_GBK" w:hAnsi="方正仿宋_GBK"/>
          <w:sz w:val="32"/>
          <w:szCs w:val="32"/>
        </w:rPr>
        <w:t>过</w:t>
      </w:r>
      <w:r>
        <w:rPr>
          <w:rFonts w:ascii="Arial" w:eastAsia="方正仿宋_GBK" w:cs="方正仿宋_GBK" w:hAnsi="方正仿宋_GBK" w:hint="eastAsia"/>
          <w:sz w:val="32"/>
          <w:szCs w:val="32"/>
        </w:rPr>
        <w:t>程记录、重大执法决定法制审核，实现执法行为全程留痕、合法可溯。</w:t>
      </w:r>
    </w:p>
    <w:p>
      <w:pPr>
        <w:ind w:left="0" w:firstLineChars="200" w:firstLine="640"/>
        <w:jc w:val="both"/>
        <w:rPr>
          <w:rFonts w:ascii="Arial" w:eastAsia="方正仿宋_GBK" w:cs="方正仿宋_GBK" w:hAnsi="方正仿宋_GBK"/>
          <w:sz w:val="32"/>
          <w:szCs w:val="32"/>
        </w:rPr>
      </w:pPr>
      <w:r>
        <w:rPr>
          <w:rFonts w:ascii="Arial" w:eastAsia="方正仿宋_GBK" w:cs="方正仿宋_GBK" w:hAnsi="方正仿宋_GBK"/>
          <w:sz w:val="32"/>
          <w:szCs w:val="32"/>
        </w:rPr>
        <w:t>2、</w:t>
      </w:r>
      <w:r>
        <w:rPr>
          <w:rFonts w:ascii="Arial" w:eastAsia="方正仿宋_GBK" w:cs="方正仿宋_GBK" w:hAnsi="方正仿宋_GBK" w:hint="eastAsia"/>
          <w:sz w:val="32"/>
          <w:szCs w:val="32"/>
        </w:rPr>
        <w:t>规范执法裁量与程序</w:t>
      </w:r>
      <w:r>
        <w:rPr>
          <w:rFonts w:ascii="Arial" w:eastAsia="方正仿宋_GBK" w:cs="方正仿宋_GBK" w:hAnsi="方正仿宋_GBK"/>
          <w:sz w:val="32"/>
          <w:szCs w:val="32"/>
        </w:rPr>
        <w:t>，</w:t>
      </w:r>
      <w:r>
        <w:rPr>
          <w:rFonts w:ascii="Arial" w:eastAsia="方正仿宋_GBK" w:cs="方正仿宋_GBK" w:hAnsi="方正仿宋_GBK" w:hint="eastAsia"/>
          <w:sz w:val="32"/>
          <w:szCs w:val="32"/>
        </w:rPr>
        <w:t>严格执行行政处罚裁量基准，落实“双随机、一公开”监管，规范调查取证、告知听证、文书送达等环节，推行柔性执法、审慎监管，提升执法公信力。</w:t>
      </w:r>
      <w:r>
        <w:rPr>
          <w:rFonts w:ascii="Arial" w:eastAsia="方正仿宋_GBK" w:cs="方正仿宋_GBK" w:hAnsi="方正仿宋_GBK"/>
          <w:sz w:val="32"/>
          <w:szCs w:val="32"/>
        </w:rPr>
        <w:t xml:space="preserve">     </w:t>
      </w:r>
    </w:p>
    <w:p>
      <w:pPr>
        <w:ind w:left="0" w:firstLineChars="200" w:firstLine="640"/>
        <w:jc w:val="both"/>
        <w:rPr>
          <w:rFonts w:ascii="Arial" w:eastAsia="方正仿宋_GBK" w:cs="方正仿宋_GBK" w:hAnsi="方正仿宋_GBK"/>
          <w:sz w:val="32"/>
          <w:szCs w:val="32"/>
        </w:rPr>
      </w:pPr>
      <w:r>
        <w:rPr>
          <w:rFonts w:ascii="Arial" w:eastAsia="方正仿宋_GBK" w:cs="方正仿宋_GBK" w:hAnsi="方正仿宋_GBK"/>
          <w:sz w:val="32"/>
          <w:szCs w:val="32"/>
        </w:rPr>
        <w:t>3、</w:t>
      </w:r>
      <w:r>
        <w:rPr>
          <w:rFonts w:ascii="Arial" w:eastAsia="方正仿宋_GBK" w:cs="方正仿宋_GBK" w:hAnsi="方正仿宋_GBK" w:hint="eastAsia"/>
          <w:sz w:val="32"/>
          <w:szCs w:val="32"/>
        </w:rPr>
        <w:t>深化部门协同与行刑衔接</w:t>
      </w:r>
      <w:r>
        <w:rPr>
          <w:rFonts w:ascii="Arial" w:eastAsia="方正仿宋_GBK" w:cs="方正仿宋_GBK" w:hAnsi="方正仿宋_GBK"/>
          <w:sz w:val="32"/>
          <w:szCs w:val="32"/>
        </w:rPr>
        <w:t>，</w:t>
      </w:r>
      <w:r>
        <w:rPr>
          <w:rFonts w:ascii="Arial" w:eastAsia="方正仿宋_GBK" w:cs="方正仿宋_GBK" w:hAnsi="方正仿宋_GBK" w:hint="eastAsia"/>
          <w:sz w:val="32"/>
          <w:szCs w:val="32"/>
        </w:rPr>
        <w:t>联合公安、卫健、市场监管等部门建立联合监管机制，畅通线索移送、案件协办渠道，形成监管合力。</w:t>
      </w:r>
    </w:p>
    <w:p>
      <w:pPr>
        <w:ind w:left="0" w:firstLineChars="200" w:firstLine="640"/>
        <w:jc w:val="both"/>
        <w:rPr>
          <w:rFonts w:ascii="Arial" w:eastAsia="方正仿宋_GBK" w:cs="方正仿宋_GBK" w:hAnsi="方正仿宋_GBK"/>
          <w:b/>
          <w:bCs/>
          <w:sz w:val="32"/>
          <w:szCs w:val="32"/>
        </w:rPr>
      </w:pPr>
      <w:r>
        <w:rPr>
          <w:rFonts w:ascii="Arial" w:eastAsia="方正仿宋_GBK" w:cs="方正仿宋_GBK" w:hAnsi="方正仿宋_GBK" w:hint="eastAsia"/>
          <w:b/>
          <w:bCs/>
          <w:sz w:val="32"/>
          <w:szCs w:val="32"/>
        </w:rPr>
        <w:t>四、优化法治服务，提升便民惠民水平</w:t>
      </w:r>
    </w:p>
    <w:p>
      <w:pPr>
        <w:ind w:left="0" w:firstLineChars="200" w:firstLine="640"/>
        <w:jc w:val="both"/>
        <w:rPr>
          <w:rFonts w:ascii="Arial" w:eastAsia="方正仿宋_GBK" w:cs="方正仿宋_GBK" w:hAnsi="方正仿宋_GBK"/>
          <w:sz w:val="32"/>
          <w:szCs w:val="32"/>
        </w:rPr>
      </w:pPr>
      <w:r>
        <w:rPr>
          <w:rFonts w:ascii="Arial" w:eastAsia="方正仿宋_GBK" w:cs="方正仿宋_GBK" w:hAnsi="方正仿宋_GBK"/>
          <w:sz w:val="32"/>
          <w:szCs w:val="32"/>
        </w:rPr>
        <w:t>1、</w:t>
      </w:r>
      <w:r>
        <w:rPr>
          <w:rFonts w:ascii="Arial" w:eastAsia="方正仿宋_GBK" w:cs="方正仿宋_GBK" w:hAnsi="方正仿宋_GBK" w:hint="eastAsia"/>
          <w:sz w:val="32"/>
          <w:szCs w:val="32"/>
        </w:rPr>
        <w:t>推进政务服务法治化</w:t>
      </w:r>
      <w:r>
        <w:rPr>
          <w:rFonts w:ascii="Arial" w:eastAsia="方正仿宋_GBK" w:cs="方正仿宋_GBK" w:hAnsi="方正仿宋_GBK"/>
          <w:sz w:val="32"/>
          <w:szCs w:val="32"/>
        </w:rPr>
        <w:t>，</w:t>
      </w:r>
      <w:r>
        <w:rPr>
          <w:rFonts w:ascii="Arial" w:eastAsia="方正仿宋_GBK" w:cs="方正仿宋_GBK" w:hAnsi="方正仿宋_GBK" w:hint="eastAsia"/>
          <w:sz w:val="32"/>
          <w:szCs w:val="32"/>
        </w:rPr>
        <w:t>精简医保经办流程，压缩办理时限，全面落实一次性告知、首问负责、限时办结，推进异地就医直接结算、生育津贴、门诊慢特病等业务“网上办、掌上办、就近办”，依法保障群众医保权益。</w:t>
      </w:r>
    </w:p>
    <w:p>
      <w:pPr>
        <w:ind w:left="0" w:firstLineChars="200" w:firstLine="640"/>
        <w:jc w:val="both"/>
        <w:rPr>
          <w:rFonts w:ascii="Arial" w:eastAsia="方正仿宋_GBK" w:cs="方正仿宋_GBK" w:hAnsi="方正仿宋_GBK"/>
          <w:b/>
          <w:bCs/>
          <w:sz w:val="32"/>
          <w:szCs w:val="32"/>
        </w:rPr>
      </w:pPr>
      <w:r>
        <w:rPr>
          <w:rFonts w:ascii="Arial" w:eastAsia="方正仿宋_GBK" w:cs="方正仿宋_GBK" w:hAnsi="方正仿宋_GBK"/>
          <w:sz w:val="32"/>
          <w:szCs w:val="32"/>
        </w:rPr>
        <w:t>2、</w:t>
      </w:r>
      <w:r>
        <w:rPr>
          <w:rFonts w:ascii="Arial" w:eastAsia="方正仿宋_GBK" w:cs="方正仿宋_GBK" w:hAnsi="方正仿宋_GBK" w:hint="eastAsia"/>
          <w:sz w:val="32"/>
          <w:szCs w:val="32"/>
        </w:rPr>
        <w:t>加强信用体系建设</w:t>
      </w:r>
      <w:r>
        <w:rPr>
          <w:rFonts w:ascii="Arial" w:eastAsia="方正仿宋_GBK" w:cs="方正仿宋_GBK" w:hAnsi="方正仿宋_GBK"/>
          <w:sz w:val="32"/>
          <w:szCs w:val="32"/>
        </w:rPr>
        <w:t>，</w:t>
      </w:r>
      <w:r>
        <w:rPr>
          <w:rFonts w:ascii="Arial" w:eastAsia="方正仿宋_GBK" w:cs="方正仿宋_GBK" w:hAnsi="方正仿宋_GBK" w:hint="eastAsia"/>
          <w:sz w:val="32"/>
          <w:szCs w:val="32"/>
        </w:rPr>
        <w:t>落实定点医药机构信用评价、记分管理，实行分类监管，强化守信激励与失信惩戒，推动行业自律规范发展。</w:t>
        <w:br/>
      </w:r>
      <w:r>
        <w:rPr>
          <w:rFonts w:ascii="Arial" w:eastAsia="方正仿宋_GBK" w:cs="方正仿宋_GBK" w:hAnsi="方正仿宋_GBK"/>
          <w:sz w:val="32"/>
          <w:szCs w:val="32"/>
        </w:rPr>
        <w:t xml:space="preserve">  </w:t>
      </w:r>
      <w:r>
        <w:rPr>
          <w:rFonts w:ascii="Arial" w:eastAsia="方正仿宋_GBK" w:cs="方正仿宋_GBK" w:hAnsi="方正仿宋_GBK" w:hint="eastAsia"/>
          <w:b/>
          <w:bCs/>
          <w:sz w:val="32"/>
          <w:szCs w:val="32"/>
        </w:rPr>
        <w:t>五、深化普法宣传，营造良好法治氛围</w:t>
      </w:r>
    </w:p>
    <w:p>
      <w:pPr>
        <w:ind w:left="0" w:firstLineChars="200" w:firstLine="640"/>
        <w:jc w:val="both"/>
        <w:rPr>
          <w:rFonts w:ascii="Arial" w:eastAsia="方正仿宋_GBK" w:cs="方正仿宋_GBK" w:hAnsi="方正仿宋_GBK"/>
          <w:sz w:val="32"/>
          <w:szCs w:val="32"/>
        </w:rPr>
      </w:pPr>
      <w:r>
        <w:rPr>
          <w:rFonts w:ascii="Arial" w:eastAsia="方正仿宋_GBK" w:cs="方正仿宋_GBK" w:hAnsi="方正仿宋_GBK" w:hint="eastAsia"/>
          <w:sz w:val="32"/>
          <w:szCs w:val="32"/>
        </w:rPr>
        <w:t>落实“谁执法谁普法”责任制，结合基金监管宣传月、法治宣传日等节点，通过线上线下多渠道开展普法</w:t>
      </w:r>
      <w:r>
        <w:rPr>
          <w:rFonts w:ascii="Arial" w:eastAsia="方正仿宋_GBK" w:cs="方正仿宋_GBK" w:hAnsi="方正仿宋_GBK"/>
          <w:sz w:val="32"/>
          <w:szCs w:val="32"/>
        </w:rPr>
        <w:t>，</w:t>
      </w:r>
      <w:r>
        <w:rPr>
          <w:rFonts w:ascii="Arial" w:eastAsia="方正仿宋_GBK" w:cs="方正仿宋_GBK" w:hAnsi="方正仿宋_GBK" w:hint="eastAsia"/>
          <w:sz w:val="32"/>
          <w:szCs w:val="32"/>
        </w:rPr>
        <w:t>引导全社会知法守法、共同守护医保基金。</w:t>
      </w:r>
    </w:p>
    <w:p>
      <w:pPr>
        <w:ind w:left="0" w:firstLineChars="200" w:firstLine="640"/>
        <w:jc w:val="both"/>
        <w:rPr>
          <w:rFonts w:ascii="Arial" w:eastAsia="方正仿宋_GBK" w:cs="方正仿宋_GBK" w:hAnsi="方正仿宋_GBK"/>
          <w:b/>
          <w:bCs/>
          <w:sz w:val="32"/>
          <w:szCs w:val="32"/>
        </w:rPr>
      </w:pPr>
      <w:r>
        <w:rPr>
          <w:rFonts w:ascii="Arial" w:eastAsia="方正仿宋_GBK" w:cs="方正仿宋_GBK" w:hAnsi="方正仿宋_GBK" w:hint="eastAsia"/>
          <w:b/>
          <w:bCs/>
          <w:sz w:val="32"/>
          <w:szCs w:val="32"/>
        </w:rPr>
        <w:t>六、存在问题与不足</w:t>
      </w:r>
    </w:p>
    <w:p>
      <w:pPr>
        <w:ind w:left="0" w:firstLineChars="200" w:firstLine="640"/>
        <w:jc w:val="both"/>
        <w:rPr>
          <w:rFonts w:ascii="Arial" w:eastAsia="方正仿宋_GBK" w:cs="方正仿宋_GBK" w:hAnsi="方正仿宋_GBK"/>
          <w:sz w:val="32"/>
          <w:szCs w:val="32"/>
        </w:rPr>
      </w:pPr>
      <w:r>
        <w:rPr>
          <w:rFonts w:ascii="Arial" w:eastAsia="方正仿宋_GBK" w:cs="方正仿宋_GBK" w:hAnsi="方正仿宋_GBK" w:hint="eastAsia"/>
          <w:sz w:val="32"/>
          <w:szCs w:val="32"/>
        </w:rPr>
        <w:t>基层执法力量薄弱，专业能力与监管任务不匹配。跨部门数据共享与协同监管仍需深化，智能风控效能有待提升。</w:t>
      </w:r>
      <w:r>
        <w:rPr>
          <w:rFonts w:ascii="Arial" w:eastAsia="方正仿宋_GBK" w:cs="方正仿宋_GBK" w:hAnsi="方正仿宋_GBK"/>
          <w:sz w:val="32"/>
          <w:szCs w:val="32"/>
        </w:rPr>
        <w:t xml:space="preserve">    </w:t>
      </w:r>
      <w:r>
        <w:rPr>
          <w:rFonts w:ascii="Arial" w:eastAsia="方正仿宋_GBK" w:cs="方正仿宋_GBK" w:hAnsi="方正仿宋_GBK" w:hint="eastAsia"/>
          <w:sz w:val="32"/>
          <w:szCs w:val="32"/>
        </w:rPr>
        <w:t>部分定点机构与参保人员法治意识不强，违规风险依然存在。</w:t>
      </w:r>
      <w:r>
        <w:rPr>
          <w:rFonts w:ascii="Arial" w:eastAsia="方正仿宋_GBK" w:cs="方正仿宋_GBK" w:hAnsi="方正仿宋_GBK"/>
          <w:sz w:val="32"/>
          <w:szCs w:val="32"/>
        </w:rPr>
        <w:t xml:space="preserve">          </w:t>
      </w:r>
    </w:p>
    <w:p>
      <w:pPr>
        <w:ind w:left="0" w:firstLineChars="200" w:firstLine="640"/>
        <w:jc w:val="both"/>
        <w:rPr>
          <w:rFonts w:ascii="Arial" w:eastAsia="方正仿宋_GBK" w:cs="方正仿宋_GBK" w:hAnsi="方正仿宋_GBK"/>
          <w:sz w:val="32"/>
          <w:szCs w:val="32"/>
        </w:rPr>
      </w:pPr>
      <w:r>
        <w:rPr>
          <w:rFonts w:ascii="Arial" w:eastAsia="方正仿宋_GBK" w:cs="方正仿宋_GBK" w:hAnsi="方正仿宋_GBK" w:hint="eastAsia"/>
          <w:sz w:val="32"/>
          <w:szCs w:val="32"/>
        </w:rPr>
        <w:t>2026年一是健全制度规范</w:t>
      </w:r>
      <w:r>
        <w:rPr>
          <w:rFonts w:ascii="Arial" w:eastAsia="方正仿宋_GBK" w:cs="方正仿宋_GBK" w:hAnsi="方正仿宋_GBK"/>
          <w:sz w:val="32"/>
          <w:szCs w:val="32"/>
        </w:rPr>
        <w:t>，二是提升执法效能，</w:t>
      </w:r>
      <w:r>
        <w:rPr>
          <w:rFonts w:ascii="Arial" w:eastAsia="方正仿宋_GBK" w:cs="方正仿宋_GBK" w:hAnsi="方正仿宋_GBK" w:hint="eastAsia"/>
          <w:sz w:val="32"/>
          <w:szCs w:val="32"/>
        </w:rPr>
        <w:t>深化行政执法“三项制度”，加强执法队伍建设，强化大数据监管，从严打击欺诈骗保。</w:t>
      </w:r>
      <w:r>
        <w:rPr>
          <w:rFonts w:ascii="Arial" w:eastAsia="方正仿宋_GBK" w:cs="方正仿宋_GBK" w:hAnsi="方正仿宋_GBK"/>
          <w:sz w:val="32"/>
          <w:szCs w:val="32"/>
        </w:rPr>
        <w:t>三是</w:t>
      </w:r>
      <w:r>
        <w:rPr>
          <w:rFonts w:ascii="Arial" w:eastAsia="方正仿宋_GBK" w:cs="方正仿宋_GBK" w:hAnsi="方正仿宋_GBK" w:hint="eastAsia"/>
          <w:sz w:val="32"/>
          <w:szCs w:val="32"/>
        </w:rPr>
        <w:t>强化普法共治</w:t>
      </w:r>
      <w:r>
        <w:rPr>
          <w:rFonts w:ascii="Arial" w:eastAsia="方正仿宋_GBK" w:cs="方正仿宋_GBK" w:hAnsi="方正仿宋_GBK"/>
          <w:sz w:val="32"/>
          <w:szCs w:val="32"/>
        </w:rPr>
        <w:t>，</w:t>
      </w:r>
      <w:r>
        <w:rPr>
          <w:rFonts w:ascii="Arial" w:eastAsia="方正仿宋_GBK" w:cs="方正仿宋_GBK" w:hAnsi="方正仿宋_GBK" w:hint="eastAsia"/>
          <w:sz w:val="32"/>
          <w:szCs w:val="32"/>
        </w:rPr>
        <w:t>加大普法力度，健全部门协同监管机制，推进信用监管，构建医保法治共治格局。</w:t>
      </w:r>
    </w:p>
    <w:p>
      <w:pPr>
        <w:ind w:left="0" w:firstLineChars="200" w:firstLine="640"/>
        <w:jc w:val="both"/>
        <w:rPr>
          <w:rFonts w:ascii="Arial" w:eastAsia="方正仿宋_GBK" w:cs="方正仿宋_GBK" w:hAnsi="方正仿宋_GBK"/>
          <w:sz w:val="32"/>
          <w:szCs w:val="32"/>
        </w:rPr>
      </w:pPr>
    </w:p>
    <w:p>
      <w:pPr>
        <w:ind w:left="0" w:firstLineChars="200" w:firstLine="640"/>
        <w:jc w:val="both"/>
        <w:rPr>
          <w:rFonts w:ascii="Arial" w:eastAsia="方正仿宋_GBK" w:cs="方正仿宋_GBK" w:hAnsi="方正仿宋_GBK"/>
          <w:sz w:val="32"/>
          <w:szCs w:val="32"/>
        </w:rPr>
      </w:pPr>
    </w:p>
    <w:p>
      <w:pPr>
        <w:ind w:left="0" w:firstLineChars="200" w:firstLine="640"/>
        <w:jc w:val="both"/>
        <w:rPr>
          <w:rFonts w:ascii="Arial" w:eastAsia="方正仿宋_GBK" w:cs="方正仿宋_GBK" w:hAnsi="方正仿宋_GBK"/>
          <w:sz w:val="32"/>
          <w:szCs w:val="32"/>
        </w:rPr>
      </w:pPr>
    </w:p>
    <w:p>
      <w:pPr>
        <w:ind w:left="0" w:firstLineChars="200" w:firstLine="640"/>
        <w:jc w:val="right"/>
        <w:rPr>
          <w:rFonts w:ascii="Arial" w:eastAsia="方正仿宋_GBK" w:cs="方正仿宋_GBK" w:hAnsi="方正仿宋_GBK" w:hint="eastAsia"/>
          <w:sz w:val="32"/>
          <w:szCs w:val="32"/>
        </w:rPr>
      </w:pPr>
      <w:r>
        <w:rPr>
          <w:rFonts w:ascii="Arial" w:eastAsia="方正仿宋_GBK" w:cs="方正仿宋_GBK" w:hAnsi="方正仿宋_GBK"/>
          <w:sz w:val="32"/>
          <w:szCs w:val="32"/>
        </w:rPr>
        <w:t>2026年3</w:t>
      </w:r>
      <w:bookmarkStart w:id="0" w:name="_GoBack"/>
      <w:bookmarkEnd w:id="0"/>
      <w:r>
        <w:rPr>
          <w:rFonts w:ascii="Arial" w:eastAsia="方正仿宋_GBK" w:cs="方正仿宋_GBK" w:hAnsi="方正仿宋_GBK"/>
          <w:sz w:val="32"/>
          <w:szCs w:val="32"/>
        </w:rPr>
        <w:t>月25日</w:t>
      </w:r>
    </w:p>
    <w:p>
      <w:pPr>
        <w:ind w:firstLineChars="200" w:firstLine="640"/>
        <w:jc w:val="center"/>
        <w:rPr>
          <w:rFonts w:ascii="Arial" w:eastAsia="方正仿宋_GBK" w:cs="方正仿宋_GBK" w:hAnsi="方正仿宋_GBK"/>
          <w:sz w:val="32"/>
          <w:szCs w:val="32"/>
        </w:rPr>
      </w:pPr>
    </w:p>
    <w:sectPr>
      <w:pgSz w:w="11907" w:h="16839"/>
      <w:pgMar w:top="1440" w:right="1800" w:bottom="1440" w:left="1800" w:header="851" w:footer="992" w:gutter="0"/>
      <w:docGrid w:type="lines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简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仿宋_GBK">
    <w:panose1 w:val="02000000000000000000"/>
    <w:charset w:val="86"/>
    <w:family w:val="script"/>
    <w:pitch w:val="variable"/>
    <w:sig w:usb0="A00002BF" w:usb1="38CF7CFA" w:usb2="00082016" w:usb3="00000000" w:csb0="00040001" w:csb1="0000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90"/>
  <w:displayBackgroundShape/>
  <w:bordersDoNotSurroundHeader/>
  <w:bordersDoNotSurroundFooter/>
  <w:defaultTabStop w:val="420"/>
  <w:drawingGridHorizontalSpacing w:val="120"/>
  <w:drawingGridVerticalSpacing w:val="163"/>
  <w:displayHorizontalDrawingGridEvery w:val="0"/>
  <w:displayVerticalDrawingGridEvery w:val="1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spacing w:line="240" w:lineRule="auto"/>
      <w:jc w:val="left"/>
    </w:pPr>
    <w:rPr>
      <w:rFonts w:ascii="宋体" w:eastAsia="宋体"/>
      <w:kern w:val="2"/>
      <w:sz w:val="24"/>
      <w:szCs w:val="21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宋体" w:eastAsia="宋体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宋体" w:eastAsia="宋体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36">
    <w:name w:val="table of figures"/>
    <w:qFormat/>
    <w:basedOn w:val="0"/>
    <w:next w:val="0"/>
    <w:pPr>
      <w:ind w:leftChars="200" w:left="400" w:hangingChars="200" w:hanging="200"/>
    </w:p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b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-1 0 1 0 0 0 3000 0 1 1 1 1"/>
    <sectPr/>
  </customProps>
</customData>
</file>

<file path=customXml/itemProps1.xml><?xml version="1.0" encoding="utf-8"?>
<ds:datastoreItem xmlns:ds="http://schemas.openxmlformats.org/officeDocument/2006/customXml" ds:itemID="{13084178-417C-4D6B-8E83-F54D76573154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30</TotalTime>
  <Application>Yozo_Office27021597764231189</Application>
  <Pages>3</Pages>
  <Words>0</Words>
  <Characters>837</Characters>
  <Lines>0</Lines>
  <Paragraphs>25</Paragraphs>
  <CharactersWithSpaces>1116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DELL</dc:creator>
  <cp:lastModifiedBy>DELL</cp:lastModifiedBy>
  <cp:revision>1</cp:revision>
  <dcterms:created xsi:type="dcterms:W3CDTF">2026-03-25T07:35:39Z</dcterms:created>
  <dcterms:modified xsi:type="dcterms:W3CDTF">2026-03-25T08:05:50Z</dcterms:modified>
</cp:coreProperties>
</file>