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7C6E2DC">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黑体" w:hAnsi="黑体" w:eastAsia="黑体" w:cs="黑体"/>
          <w:sz w:val="44"/>
          <w:szCs w:val="44"/>
          <w:lang w:eastAsia="zh-CN"/>
        </w:rPr>
      </w:pPr>
      <w:r>
        <w:rPr>
          <w:rFonts w:hint="eastAsia" w:ascii="黑体" w:hAnsi="黑体" w:eastAsia="黑体" w:cs="黑体"/>
          <w:sz w:val="44"/>
          <w:szCs w:val="44"/>
          <w:lang w:eastAsia="zh-CN"/>
        </w:rPr>
        <w:t>隆尧县城市管理综合行政执法局</w:t>
      </w:r>
    </w:p>
    <w:p w14:paraId="70EFDB40">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int="eastAsia" w:ascii="黑体" w:hAnsi="黑体" w:eastAsia="黑体" w:cs="黑体"/>
          <w:sz w:val="44"/>
          <w:szCs w:val="44"/>
        </w:rPr>
      </w:pPr>
      <w:r>
        <w:rPr>
          <w:rFonts w:hint="eastAsia" w:ascii="黑体" w:hAnsi="黑体" w:eastAsia="黑体" w:cs="黑体"/>
          <w:sz w:val="44"/>
          <w:szCs w:val="44"/>
          <w:lang w:eastAsia="zh-CN"/>
        </w:rPr>
        <w:t>关于</w:t>
      </w:r>
      <w:r>
        <w:rPr>
          <w:rFonts w:hint="eastAsia" w:ascii="黑体" w:hAnsi="黑体" w:eastAsia="黑体" w:cs="黑体"/>
          <w:sz w:val="44"/>
          <w:szCs w:val="44"/>
        </w:rPr>
        <w:t>2025年法治政府建设</w:t>
      </w:r>
      <w:r>
        <w:rPr>
          <w:rFonts w:hint="eastAsia" w:ascii="黑体" w:hAnsi="黑体" w:eastAsia="黑体" w:cs="黑体"/>
          <w:sz w:val="44"/>
          <w:szCs w:val="44"/>
          <w:lang w:eastAsia="zh-CN"/>
        </w:rPr>
        <w:t>情况的</w:t>
      </w:r>
      <w:r>
        <w:rPr>
          <w:rFonts w:hint="eastAsia" w:ascii="黑体" w:hAnsi="黑体" w:eastAsia="黑体" w:cs="黑体"/>
          <w:sz w:val="44"/>
          <w:szCs w:val="44"/>
        </w:rPr>
        <w:t>报告</w:t>
      </w:r>
    </w:p>
    <w:p w14:paraId="0DB686AB">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仿宋_GB2312" w:hAnsi="仿宋_GB2312" w:eastAsia="仿宋_GB2312" w:cs="仿宋_GB2312"/>
          <w:sz w:val="32"/>
          <w:szCs w:val="32"/>
        </w:rPr>
      </w:pPr>
    </w:p>
    <w:p w14:paraId="01EBD74A">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2025年，我局坚持以习近平新时代中国特色社会主义思想为指导，深入贯彻习近平法治思想，全面落实党的二十大及二十届历次全会精神，严格按照</w:t>
      </w:r>
      <w:r>
        <w:rPr>
          <w:rFonts w:hint="eastAsia" w:ascii="仿宋_GB2312" w:hAnsi="仿宋_GB2312" w:eastAsia="仿宋_GB2312" w:cs="仿宋_GB2312"/>
          <w:sz w:val="32"/>
          <w:szCs w:val="32"/>
          <w:lang w:eastAsia="zh-CN"/>
        </w:rPr>
        <w:t>省、市、县</w:t>
      </w:r>
      <w:r>
        <w:rPr>
          <w:rFonts w:hint="eastAsia" w:ascii="仿宋_GB2312" w:hAnsi="仿宋_GB2312" w:eastAsia="仿宋_GB2312" w:cs="仿宋_GB2312"/>
          <w:sz w:val="32"/>
          <w:szCs w:val="32"/>
        </w:rPr>
        <w:t>法治政府建设决策部署，紧扣中心职能，将法治建设贯穿于工作全过程、各环节，依法行政能力和水平显著提升。现将全年工作情况报告如下：</w:t>
      </w:r>
    </w:p>
    <w:p w14:paraId="74967376">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 xml:space="preserve">  </w:t>
      </w:r>
      <w:r>
        <w:rPr>
          <w:rFonts w:hint="eastAsia" w:ascii="黑体" w:hAnsi="黑体" w:eastAsia="黑体" w:cs="黑体"/>
          <w:sz w:val="32"/>
          <w:szCs w:val="32"/>
        </w:rPr>
        <w:t>一、2025年主要工作及成效</w:t>
      </w:r>
    </w:p>
    <w:p w14:paraId="7A15DC44">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（一）坚持高位推动，压实法治建设责任</w:t>
      </w:r>
    </w:p>
    <w:p w14:paraId="633C5B60">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 强化组织领导。 始终坚持党对法治政府建设的全面领导，调整完善局法治政府建设工作领导小组，由主要负责同志担任组长。全年召开党组会、专题会研究法治建设工作</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次，将法治建设纳入年度重点工作规划，与业务工作同部署、同推进、同考核。</w:t>
      </w:r>
    </w:p>
    <w:p w14:paraId="0132F8C4">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auto"/>
          <w:sz w:val="32"/>
          <w:szCs w:val="32"/>
        </w:rPr>
        <w:t>2. 健全责任体系。 严格落实党政主要负责人履行推进法治建设第一责任人职责，细化任务分工，明确责任</w:t>
      </w:r>
      <w:r>
        <w:rPr>
          <w:rFonts w:hint="eastAsia" w:ascii="仿宋_GB2312" w:hAnsi="仿宋_GB2312" w:eastAsia="仿宋_GB2312" w:cs="仿宋_GB2312"/>
          <w:color w:val="auto"/>
          <w:sz w:val="32"/>
          <w:szCs w:val="32"/>
          <w:lang w:eastAsia="zh-CN"/>
        </w:rPr>
        <w:t>股</w:t>
      </w:r>
      <w:r>
        <w:rPr>
          <w:rFonts w:hint="eastAsia" w:ascii="仿宋_GB2312" w:hAnsi="仿宋_GB2312" w:eastAsia="仿宋_GB2312" w:cs="仿宋_GB2312"/>
          <w:color w:val="auto"/>
          <w:sz w:val="32"/>
          <w:szCs w:val="32"/>
        </w:rPr>
        <w:t>室和完成时限，形成“主要领导亲自抓、分管领导具体抓、各</w:t>
      </w:r>
      <w:r>
        <w:rPr>
          <w:rFonts w:hint="eastAsia" w:ascii="仿宋_GB2312" w:hAnsi="仿宋_GB2312" w:eastAsia="仿宋_GB2312" w:cs="仿宋_GB2312"/>
          <w:color w:val="auto"/>
          <w:sz w:val="32"/>
          <w:szCs w:val="32"/>
          <w:lang w:eastAsia="zh-CN"/>
        </w:rPr>
        <w:t>股</w:t>
      </w:r>
      <w:r>
        <w:rPr>
          <w:rFonts w:hint="eastAsia" w:ascii="仿宋_GB2312" w:hAnsi="仿宋_GB2312" w:eastAsia="仿宋_GB2312" w:cs="仿宋_GB2312"/>
          <w:color w:val="auto"/>
          <w:sz w:val="32"/>
          <w:szCs w:val="32"/>
        </w:rPr>
        <w:t>室协同抓”的工作格局。</w:t>
      </w:r>
    </w:p>
    <w:p w14:paraId="66AC534A">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 深化理论学习。 将习近平法治思想纳入党组理论学习中心组学习和干部职工教育培训必修课。全年组织开展法治专题学习</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次，举办行政执法人员培训班</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期，实现全</w:t>
      </w:r>
      <w:r>
        <w:rPr>
          <w:rFonts w:hint="eastAsia" w:ascii="仿宋_GB2312" w:hAnsi="仿宋_GB2312" w:eastAsia="仿宋_GB2312" w:cs="仿宋_GB2312"/>
          <w:sz w:val="32"/>
          <w:szCs w:val="32"/>
          <w:lang w:eastAsia="zh-CN"/>
        </w:rPr>
        <w:t>局</w:t>
      </w:r>
      <w:r>
        <w:rPr>
          <w:rFonts w:hint="eastAsia" w:ascii="仿宋_GB2312" w:hAnsi="仿宋_GB2312" w:eastAsia="仿宋_GB2312" w:cs="仿宋_GB2312"/>
          <w:sz w:val="32"/>
          <w:szCs w:val="32"/>
        </w:rPr>
        <w:t>法治教育全覆盖，干部职工法治素养和依法履职能力有效提升。</w:t>
      </w:r>
    </w:p>
    <w:p w14:paraId="51A53345">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（二）坚持规范执法，提升依法行政水平</w:t>
      </w:r>
    </w:p>
    <w:p w14:paraId="553E73E4">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 严格依法决策。 健全重大行政决策机制，严格执行风险评估、合法性审查、集体讨论决定程序。</w:t>
      </w:r>
      <w:r>
        <w:rPr>
          <w:rFonts w:ascii="仿宋_GB2312" w:hAnsi="宋体" w:eastAsia="仿宋_GB2312" w:cs="仿宋_GB2312"/>
          <w:i w:val="0"/>
          <w:iCs w:val="0"/>
          <w:caps w:val="0"/>
          <w:color w:val="000000"/>
          <w:spacing w:val="0"/>
          <w:sz w:val="31"/>
          <w:szCs w:val="31"/>
          <w:shd w:val="clear" w:fill="FFFFFF"/>
        </w:rPr>
        <w:t>目前配备法律顾问</w:t>
      </w:r>
      <w:r>
        <w:rPr>
          <w:rFonts w:hint="eastAsia" w:ascii="仿宋_GB2312" w:hAnsi="宋体" w:eastAsia="仿宋_GB2312" w:cs="仿宋_GB2312"/>
          <w:i w:val="0"/>
          <w:iCs w:val="0"/>
          <w:caps w:val="0"/>
          <w:color w:val="000000"/>
          <w:spacing w:val="0"/>
          <w:sz w:val="31"/>
          <w:szCs w:val="31"/>
          <w:shd w:val="clear" w:fill="FFFFFF"/>
        </w:rPr>
        <w:t>1名</w:t>
      </w:r>
      <w:r>
        <w:rPr>
          <w:rFonts w:hint="eastAsia" w:ascii="仿宋_GB2312" w:hAnsi="宋体" w:eastAsia="仿宋_GB2312" w:cs="仿宋_GB2312"/>
          <w:i w:val="0"/>
          <w:iCs w:val="0"/>
          <w:caps w:val="0"/>
          <w:color w:val="000000"/>
          <w:spacing w:val="0"/>
          <w:sz w:val="31"/>
          <w:szCs w:val="31"/>
          <w:shd w:val="clear" w:fill="FFFFFF"/>
          <w:lang w:eastAsia="zh-CN"/>
        </w:rPr>
        <w:t>，</w:t>
      </w:r>
      <w:r>
        <w:rPr>
          <w:rFonts w:hint="eastAsia" w:ascii="仿宋_GB2312" w:hAnsi="仿宋_GB2312" w:eastAsia="仿宋_GB2312" w:cs="仿宋_GB2312"/>
          <w:sz w:val="32"/>
          <w:szCs w:val="32"/>
        </w:rPr>
        <w:t>全年完成重大行政决策合法性审查</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件，审查率100%，从源头上防范了决策风险。</w:t>
      </w:r>
    </w:p>
    <w:p w14:paraId="34488C94">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default" w:ascii="仿宋_GB2312" w:hAnsi="仿宋_GB2312" w:eastAsia="仿宋_GB2312" w:cs="仿宋_GB2312"/>
          <w:sz w:val="32"/>
          <w:szCs w:val="32"/>
        </w:rPr>
      </w:pPr>
      <w:r>
        <w:rPr>
          <w:rFonts w:hint="eastAsia" w:ascii="仿宋_GB2312" w:hAnsi="仿宋_GB2312" w:eastAsia="仿宋_GB2312" w:cs="仿宋_GB2312"/>
          <w:sz w:val="32"/>
          <w:szCs w:val="32"/>
        </w:rPr>
        <w:t>2.加强执法证件管理，提升理论业务水平</w:t>
      </w:r>
    </w:p>
    <w:p w14:paraId="68B8E54F">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为加强行政执法人员的管理，提升行政执法人员的业务素质，全面推行行政执法“三项制度”和贯彻落实《行政处罚法》，根据省市执法证件管理相关要求，严格执法证件管理工作。组织全局</w:t>
      </w:r>
      <w:r>
        <w:rPr>
          <w:rFonts w:hint="eastAsia" w:ascii="仿宋_GB2312" w:hAnsi="仿宋_GB2312" w:eastAsia="仿宋_GB2312" w:cs="仿宋_GB2312"/>
          <w:sz w:val="32"/>
          <w:szCs w:val="32"/>
          <w:lang w:val="en-US" w:eastAsia="zh-CN"/>
        </w:rPr>
        <w:t>97</w:t>
      </w:r>
      <w:r>
        <w:rPr>
          <w:rFonts w:hint="eastAsia" w:ascii="仿宋_GB2312" w:hAnsi="仿宋_GB2312" w:eastAsia="仿宋_GB2312" w:cs="仿宋_GB2312"/>
          <w:sz w:val="32"/>
          <w:szCs w:val="32"/>
        </w:rPr>
        <w:t>名执法人员参加2025年度执法人员法律知识考试，线上线下相结合切实提高人员理论知识和业务技能水平。</w:t>
      </w:r>
    </w:p>
    <w:p w14:paraId="346444C5">
      <w:pPr>
        <w:keepNext w:val="0"/>
        <w:keepLines w:val="0"/>
        <w:pageBreakBefore w:val="0"/>
        <w:widowControl w:val="0"/>
        <w:numPr>
          <w:ilvl w:val="0"/>
          <w:numId w:val="1"/>
        </w:numPr>
        <w:kinsoku/>
        <w:wordWrap/>
        <w:overflowPunct/>
        <w:topLinePunct w:val="0"/>
        <w:autoSpaceDE/>
        <w:autoSpaceDN/>
        <w:bidi w:val="0"/>
        <w:adjustRightInd/>
        <w:snapToGrid w:val="0"/>
        <w:spacing w:line="36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推行包容审慎监管。 全面落实“免罚轻罚”清单制度，对首次轻微违法且及时改正的行为不予处罚，推行“柔性执法”，做到执法力度与温度相统一，优化营商环境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2025年我局包容审慎免于处罚8件</w:t>
      </w:r>
      <w:r>
        <w:rPr>
          <w:rFonts w:hint="eastAsia" w:ascii="仿宋_GB2312" w:hAnsi="仿宋_GB2312" w:eastAsia="仿宋_GB2312" w:cs="仿宋_GB2312"/>
          <w:sz w:val="32"/>
          <w:szCs w:val="32"/>
        </w:rPr>
        <w:t>。</w:t>
      </w:r>
    </w:p>
    <w:p w14:paraId="16664ED1">
      <w:pPr>
        <w:pStyle w:val="2"/>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pacing w:before="0" w:beforeAutospacing="0" w:after="0" w:afterAutospacing="0" w:line="360" w:lineRule="auto"/>
        <w:ind w:left="0" w:leftChars="0" w:right="0" w:firstLine="640" w:firstLineChars="200"/>
        <w:jc w:val="both"/>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贯彻落实行动方案</w:t>
      </w:r>
    </w:p>
    <w:p w14:paraId="5B860E0E">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pacing w:before="0" w:beforeAutospacing="0" w:after="0" w:afterAutospacing="0" w:line="360" w:lineRule="auto"/>
        <w:ind w:left="0" w:leftChars="0" w:right="0" w:rightChars="0" w:firstLine="620" w:firstLineChars="200"/>
        <w:jc w:val="both"/>
        <w:textAlignment w:val="auto"/>
        <w:rPr>
          <w:rFonts w:hint="default" w:ascii="Times New Roman" w:hAnsi="Times New Roman" w:cs="Times New Roman"/>
          <w:i w:val="0"/>
          <w:iCs w:val="0"/>
          <w:caps w:val="0"/>
          <w:color w:val="000000"/>
          <w:spacing w:val="0"/>
          <w:sz w:val="21"/>
          <w:szCs w:val="21"/>
        </w:rPr>
      </w:pPr>
      <w:r>
        <w:rPr>
          <w:rFonts w:hint="eastAsia" w:ascii="仿宋_GB2312" w:hAnsi="Times New Roman" w:eastAsia="仿宋_GB2312" w:cs="仿宋_GB2312"/>
          <w:i w:val="0"/>
          <w:iCs w:val="0"/>
          <w:caps w:val="0"/>
          <w:color w:val="000000"/>
          <w:spacing w:val="0"/>
          <w:sz w:val="31"/>
          <w:szCs w:val="31"/>
          <w:shd w:val="clear" w:fill="FFFFFF"/>
          <w:lang w:val="en-US" w:eastAsia="zh-CN"/>
        </w:rPr>
        <w:t>2025年</w:t>
      </w:r>
      <w:r>
        <w:rPr>
          <w:rFonts w:ascii="仿宋_GB2312" w:hAnsi="Times New Roman" w:eastAsia="仿宋_GB2312" w:cs="仿宋_GB2312"/>
          <w:i w:val="0"/>
          <w:iCs w:val="0"/>
          <w:caps w:val="0"/>
          <w:color w:val="000000"/>
          <w:spacing w:val="0"/>
          <w:sz w:val="31"/>
          <w:szCs w:val="31"/>
          <w:shd w:val="clear" w:fill="FFFFFF"/>
        </w:rPr>
        <w:t>我局制定并印发《</w:t>
      </w:r>
      <w:r>
        <w:rPr>
          <w:rFonts w:hint="eastAsia" w:ascii="仿宋_GB2312" w:hAnsi="Times New Roman" w:eastAsia="仿宋_GB2312" w:cs="仿宋_GB2312"/>
          <w:i w:val="0"/>
          <w:iCs w:val="0"/>
          <w:caps w:val="0"/>
          <w:color w:val="000000"/>
          <w:spacing w:val="0"/>
          <w:sz w:val="31"/>
          <w:szCs w:val="31"/>
          <w:shd w:val="clear" w:fill="FFFFFF"/>
          <w:lang w:eastAsia="zh-CN"/>
        </w:rPr>
        <w:t>隆尧县</w:t>
      </w:r>
      <w:r>
        <w:rPr>
          <w:rFonts w:ascii="仿宋_GB2312" w:hAnsi="Times New Roman" w:eastAsia="仿宋_GB2312" w:cs="仿宋_GB2312"/>
          <w:i w:val="0"/>
          <w:iCs w:val="0"/>
          <w:caps w:val="0"/>
          <w:color w:val="000000"/>
          <w:spacing w:val="0"/>
          <w:sz w:val="31"/>
          <w:szCs w:val="31"/>
          <w:shd w:val="clear" w:fill="FFFFFF"/>
        </w:rPr>
        <w:t>城市管理</w:t>
      </w:r>
      <w:r>
        <w:rPr>
          <w:rFonts w:hint="eastAsia" w:ascii="仿宋_GB2312" w:hAnsi="Times New Roman" w:eastAsia="仿宋_GB2312" w:cs="仿宋_GB2312"/>
          <w:i w:val="0"/>
          <w:iCs w:val="0"/>
          <w:caps w:val="0"/>
          <w:color w:val="000000"/>
          <w:spacing w:val="0"/>
          <w:sz w:val="31"/>
          <w:szCs w:val="31"/>
          <w:shd w:val="clear" w:fill="FFFFFF"/>
          <w:lang w:eastAsia="zh-CN"/>
        </w:rPr>
        <w:t>综合行政执法局</w:t>
      </w:r>
      <w:r>
        <w:rPr>
          <w:rFonts w:ascii="仿宋_GB2312" w:hAnsi="Times New Roman" w:eastAsia="仿宋_GB2312" w:cs="仿宋_GB2312"/>
          <w:i w:val="0"/>
          <w:iCs w:val="0"/>
          <w:caps w:val="0"/>
          <w:color w:val="000000"/>
          <w:spacing w:val="0"/>
          <w:sz w:val="31"/>
          <w:szCs w:val="31"/>
          <w:shd w:val="clear" w:fill="FFFFFF"/>
        </w:rPr>
        <w:t>规范涉企行政执法专项行动实施方案》，为规范涉企执法提供了制度遵循和工作标准。从提升执法人员能力素质、推进严格规范公正文明执法、完善行政执法工作体系、强化行政执法保障能力等多方面全面提升行政执法质量和效能。</w:t>
      </w:r>
    </w:p>
    <w:p w14:paraId="6D6200A1">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pacing w:before="0" w:beforeAutospacing="0" w:after="0" w:afterAutospacing="0" w:line="360" w:lineRule="auto"/>
        <w:ind w:left="0" w:right="0" w:firstLine="645"/>
        <w:jc w:val="both"/>
        <w:textAlignment w:val="auto"/>
        <w:rPr>
          <w:rFonts w:hint="eastAsia" w:ascii="仿宋_GB2312" w:hAnsi="仿宋_GB2312" w:eastAsia="仿宋_GB2312" w:cs="仿宋_GB2312"/>
          <w:sz w:val="32"/>
          <w:szCs w:val="32"/>
        </w:rPr>
      </w:pPr>
      <w:r>
        <w:rPr>
          <w:rFonts w:hint="eastAsia" w:ascii="仿宋_GB2312" w:hAnsi="Times New Roman" w:eastAsia="仿宋_GB2312" w:cs="仿宋_GB2312"/>
          <w:i w:val="0"/>
          <w:iCs w:val="0"/>
          <w:caps w:val="0"/>
          <w:color w:val="000000"/>
          <w:spacing w:val="0"/>
          <w:sz w:val="31"/>
          <w:szCs w:val="31"/>
          <w:shd w:val="clear" w:fill="FFFFFF"/>
        </w:rPr>
        <w:t>针对“乱罚款、乱收费、乱检查、乱查封”及趋利执法、选择性执法、加重企业负担、违纪违法执法等重点问题，组织开展全覆盖、无死角的拉网式排查。建立问题清单与整改台账，。截至目前，共排查出</w:t>
      </w:r>
      <w:r>
        <w:rPr>
          <w:rFonts w:hint="eastAsia" w:ascii="仿宋_GB2312" w:hAnsi="Times New Roman" w:eastAsia="仿宋_GB2312" w:cs="仿宋_GB2312"/>
          <w:i w:val="0"/>
          <w:iCs w:val="0"/>
          <w:caps w:val="0"/>
          <w:color w:val="000000"/>
          <w:spacing w:val="0"/>
          <w:sz w:val="31"/>
          <w:szCs w:val="31"/>
          <w:shd w:val="clear" w:fill="FFFFFF"/>
          <w:lang w:val="en-US" w:eastAsia="zh-CN"/>
        </w:rPr>
        <w:t>2</w:t>
      </w:r>
      <w:r>
        <w:rPr>
          <w:rFonts w:hint="eastAsia" w:ascii="仿宋_GB2312" w:hAnsi="Times New Roman" w:eastAsia="仿宋_GB2312" w:cs="仿宋_GB2312"/>
          <w:i w:val="0"/>
          <w:iCs w:val="0"/>
          <w:caps w:val="0"/>
          <w:color w:val="000000"/>
          <w:spacing w:val="0"/>
          <w:sz w:val="31"/>
          <w:szCs w:val="31"/>
          <w:shd w:val="clear" w:fill="FFFFFF"/>
        </w:rPr>
        <w:t>项涉企执法不规范问题，均已完成整改。</w:t>
      </w:r>
    </w:p>
    <w:p w14:paraId="539564F3">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（三）坚持依法履职，深化政务服务改革</w:t>
      </w:r>
      <w:r>
        <w:rPr>
          <w:rFonts w:hint="eastAsia" w:ascii="仿宋_GB2312" w:hAnsi="仿宋_GB2312" w:eastAsia="仿宋_GB2312" w:cs="仿宋_GB2312"/>
          <w:sz w:val="32"/>
          <w:szCs w:val="32"/>
          <w:lang w:val="en-US" w:eastAsia="zh-CN"/>
        </w:rPr>
        <w:t xml:space="preserve">                                              </w:t>
      </w:r>
    </w:p>
    <w:p w14:paraId="54537A24">
      <w:pPr>
        <w:keepNext w:val="0"/>
        <w:keepLines w:val="0"/>
        <w:pageBreakBefore w:val="0"/>
        <w:widowControl w:val="0"/>
        <w:numPr>
          <w:ilvl w:val="0"/>
          <w:numId w:val="2"/>
        </w:numPr>
        <w:kinsoku/>
        <w:wordWrap/>
        <w:overflowPunct/>
        <w:topLinePunct w:val="0"/>
        <w:autoSpaceDE/>
        <w:autoSpaceDN/>
        <w:bidi w:val="0"/>
        <w:adjustRightInd/>
        <w:snapToGrid w:val="0"/>
        <w:spacing w:line="360" w:lineRule="auto"/>
        <w:ind w:left="0" w:leftChars="0" w:firstLine="838" w:firstLineChars="262"/>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优化政务服务流程。 深入推进“放管服”改革，全面梳理政务服务事项清单，精简审批材料，压缩办理时限。</w:t>
      </w:r>
    </w:p>
    <w:p w14:paraId="1D85F45E">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2. 推进政务公开。 坚持以公开为常态、不公开为例外，通过政府网站、政务公开栏等渠道，及时公开政策文件、执法结果、财政信息等，主动公开信息 </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条，保障了群众的知情权、参与权和监督权。</w:t>
      </w:r>
    </w:p>
    <w:p w14:paraId="59F64570">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（四）坚持普法先行，营造法治浓厚氛围</w:t>
      </w:r>
    </w:p>
    <w:p w14:paraId="79609103">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 落实普法责任制。 严格落实“谁执法谁普法、谁主管谁负责”普法责任制，结合“宪法宣传周”等重要节点，开展法治宣传活动</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 xml:space="preserve"> 场，发放宣传资料</w:t>
      </w:r>
      <w:r>
        <w:rPr>
          <w:rFonts w:hint="eastAsia" w:ascii="仿宋_GB2312" w:hAnsi="仿宋_GB2312" w:eastAsia="仿宋_GB2312" w:cs="仿宋_GB2312"/>
          <w:sz w:val="32"/>
          <w:szCs w:val="32"/>
          <w:lang w:val="en-US" w:eastAsia="zh-CN"/>
        </w:rPr>
        <w:t>500</w:t>
      </w:r>
      <w:r>
        <w:rPr>
          <w:rFonts w:hint="eastAsia" w:ascii="仿宋_GB2312" w:hAnsi="仿宋_GB2312" w:eastAsia="仿宋_GB2312" w:cs="仿宋_GB2312"/>
          <w:sz w:val="32"/>
          <w:szCs w:val="32"/>
        </w:rPr>
        <w:t>余份。</w:t>
      </w:r>
    </w:p>
    <w:p w14:paraId="3E3451A4">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 加强以案释法。 选取典型执法案例，通过以案释法方式，引导群众自觉尊法学法守法用法，营造了良好的法治环境。</w:t>
      </w:r>
    </w:p>
    <w:p w14:paraId="02FC7B9D">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（五）坚持强化监督，确保权力规范运行</w:t>
      </w:r>
    </w:p>
    <w:p w14:paraId="68E02537">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 强化内部监督。 加强对行政执法、重点岗位、关键环节的监督检查，建立健全行政执法责任追究制度，对执法不规范行为及时纠正、严肃问责。</w:t>
      </w:r>
    </w:p>
    <w:p w14:paraId="07DF4783">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2. 自觉接受外部监督。 自觉接受人大、政协、司法机关及社会各界监督。全年办理人大代表建议 </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 xml:space="preserve"> 件、政协委员提案 </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件，办结率、满意率均为100%。</w:t>
      </w:r>
    </w:p>
    <w:p w14:paraId="6210B01F">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二、存在的问题与不足</w:t>
      </w:r>
    </w:p>
    <w:p w14:paraId="425A40A8">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肯定成绩的同时，对照上级要求和群众期盼，我局法治政府建设工作仍存在一些差距：一是少数干部法治思维还不够深入，运用法治方式破解难题、推动工作的能力有待进一步提升；二是执法规范化水平仍需加强，个别案卷质量还有提升空间；三是普法创新力度不够，宣传形式较为传统，针对性和实效性有待增强。</w:t>
      </w:r>
    </w:p>
    <w:p w14:paraId="3A429963">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黑体" w:hAnsi="黑体" w:eastAsia="黑体" w:cs="黑体"/>
          <w:sz w:val="32"/>
          <w:szCs w:val="32"/>
          <w:lang w:eastAsia="zh-CN"/>
        </w:rPr>
      </w:pPr>
      <w:r>
        <w:rPr>
          <w:rFonts w:hint="eastAsia" w:ascii="黑体" w:hAnsi="黑体" w:eastAsia="黑体" w:cs="黑体"/>
          <w:sz w:val="32"/>
          <w:szCs w:val="32"/>
        </w:rPr>
        <w:t>三、</w:t>
      </w:r>
      <w:r>
        <w:rPr>
          <w:rFonts w:hint="eastAsia" w:ascii="黑体" w:hAnsi="黑体" w:eastAsia="黑体" w:cs="黑体"/>
          <w:sz w:val="32"/>
          <w:szCs w:val="32"/>
          <w:lang w:eastAsia="zh-CN"/>
        </w:rPr>
        <w:t>下一步工作安排</w:t>
      </w:r>
    </w:p>
    <w:p w14:paraId="4FB6095F">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2026年，我局将坚持问题导向、目标导向，持续用力、久久为功，重点抓好以下工作：</w:t>
      </w:r>
    </w:p>
    <w:p w14:paraId="253BBDAB">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（一）强化理论武装，筑牢法治思想根基</w:t>
      </w:r>
    </w:p>
    <w:p w14:paraId="3E665A2D">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持续深入学习贯彻习近平法治思想，把法治学习融入日常，提升全体干部职工法律素养和依法履职能力。</w:t>
      </w:r>
    </w:p>
    <w:p w14:paraId="61E218C5">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（二）规范执法行为，提升依法行政质效</w:t>
      </w:r>
    </w:p>
    <w:p w14:paraId="7507822C">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完善行政执法程序，严格执法“三项制度”，加强执法案卷评查和业务培训，全面提升行政执法规范化、标准化水平。</w:t>
      </w:r>
    </w:p>
    <w:p w14:paraId="7D0D2B6A">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二</w:t>
      </w:r>
      <w:r>
        <w:rPr>
          <w:rFonts w:hint="eastAsia" w:ascii="仿宋_GB2312" w:hAnsi="仿宋_GB2312" w:eastAsia="仿宋_GB2312" w:cs="仿宋_GB2312"/>
          <w:sz w:val="32"/>
          <w:szCs w:val="32"/>
        </w:rPr>
        <w:t>）深化改革创新，优化政务服务环境</w:t>
      </w:r>
    </w:p>
    <w:p w14:paraId="3D5E023F">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持续推进“放管服”改革，精简办事环节，提升政务服务效能。加大政务公开力度，推进法治政府建设与业务工作深度融合。</w:t>
      </w:r>
    </w:p>
    <w:p w14:paraId="3B1954D0">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三</w:t>
      </w:r>
      <w:r>
        <w:rPr>
          <w:rFonts w:hint="eastAsia" w:ascii="仿宋_GB2312" w:hAnsi="仿宋_GB2312" w:eastAsia="仿宋_GB2312" w:cs="仿宋_GB2312"/>
          <w:sz w:val="32"/>
          <w:szCs w:val="32"/>
        </w:rPr>
        <w:t>）创新普法载体，增强法治宣传实效</w:t>
      </w:r>
    </w:p>
    <w:p w14:paraId="7E4D4990">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丰富普法形式，利用新媒体平台开展精准普法，提升普法宣传的吸引力和感染力，营造更加浓厚的法治氛围。</w:t>
      </w:r>
    </w:p>
    <w:p w14:paraId="26FAE75B">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四</w:t>
      </w:r>
      <w:r>
        <w:rPr>
          <w:rFonts w:hint="eastAsia" w:ascii="仿宋_GB2312" w:hAnsi="仿宋_GB2312" w:eastAsia="仿宋_GB2312" w:cs="仿宋_GB2312"/>
          <w:sz w:val="32"/>
          <w:szCs w:val="32"/>
        </w:rPr>
        <w:t>）加强督察整改，健全长效工作机制</w:t>
      </w:r>
    </w:p>
    <w:p w14:paraId="2D931EDC">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针对存在的问题，建立长效整改机制，逐项整改落实，推动法治政府建设再上新台阶，为我区（县）经济社会高质量发展贡献法治力量。</w:t>
      </w:r>
    </w:p>
    <w:p w14:paraId="4E29DEAE">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仿宋_GB2312" w:hAnsi="仿宋_GB2312" w:eastAsia="仿宋_GB2312" w:cs="仿宋_GB2312"/>
          <w:sz w:val="32"/>
          <w:szCs w:val="32"/>
        </w:rPr>
      </w:pPr>
    </w:p>
    <w:p w14:paraId="1E7408A9">
      <w:pPr>
        <w:keepNext w:val="0"/>
        <w:keepLines w:val="0"/>
        <w:pageBreakBefore w:val="0"/>
        <w:widowControl w:val="0"/>
        <w:kinsoku/>
        <w:wordWrap/>
        <w:overflowPunct/>
        <w:topLinePunct w:val="0"/>
        <w:autoSpaceDE/>
        <w:autoSpaceDN/>
        <w:bidi w:val="0"/>
        <w:adjustRightInd/>
        <w:snapToGrid w:val="0"/>
        <w:spacing w:line="360" w:lineRule="auto"/>
        <w:ind w:firstLine="643" w:firstLineChars="200"/>
        <w:textAlignment w:val="auto"/>
        <w:rPr>
          <w:rFonts w:hint="eastAsia" w:ascii="仿宋_GB2312" w:hAnsi="仿宋_GB2312" w:eastAsia="仿宋_GB2312" w:cs="仿宋_GB2312"/>
          <w:b/>
          <w:bCs/>
          <w:sz w:val="32"/>
          <w:szCs w:val="32"/>
          <w:lang w:eastAsia="zh-CN"/>
        </w:rPr>
      </w:pPr>
      <w:r>
        <w:rPr>
          <w:rFonts w:hint="eastAsia" w:ascii="仿宋_GB2312" w:hAnsi="仿宋_GB2312" w:eastAsia="仿宋_GB2312" w:cs="仿宋_GB2312"/>
          <w:b/>
          <w:bCs/>
          <w:sz w:val="32"/>
          <w:szCs w:val="32"/>
          <w:lang w:eastAsia="zh-CN"/>
        </w:rPr>
        <w:t>本报告禁止转载</w:t>
      </w:r>
    </w:p>
    <w:p w14:paraId="0CC4C39A">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仿宋_GB2312" w:hAnsi="仿宋_GB2312" w:eastAsia="仿宋_GB2312" w:cs="仿宋_GB2312"/>
          <w:sz w:val="32"/>
          <w:szCs w:val="32"/>
        </w:rPr>
      </w:pPr>
    </w:p>
    <w:p w14:paraId="44FBB0DC">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仿宋_GB2312" w:hAnsi="仿宋_GB2312" w:eastAsia="仿宋_GB2312" w:cs="仿宋_GB2312"/>
          <w:sz w:val="32"/>
          <w:szCs w:val="32"/>
        </w:rPr>
      </w:pPr>
    </w:p>
    <w:p w14:paraId="29F15FDA">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仿宋_GB2312" w:hAnsi="仿宋_GB2312" w:eastAsia="仿宋_GB2312" w:cs="仿宋_GB2312"/>
          <w:sz w:val="32"/>
          <w:szCs w:val="32"/>
        </w:rPr>
      </w:pPr>
    </w:p>
    <w:p w14:paraId="765B21CF">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eastAsia" w:ascii="仿宋_GB2312" w:hAnsi="仿宋_GB2312" w:eastAsia="仿宋_GB2312" w:cs="仿宋_GB2312"/>
          <w:sz w:val="32"/>
          <w:szCs w:val="32"/>
        </w:rPr>
      </w:pPr>
      <w:bookmarkStart w:id="0" w:name="_GoBack"/>
      <w:bookmarkEnd w:id="0"/>
      <w:r>
        <w:rPr>
          <w:rFonts w:hint="eastAsia" w:ascii="仿宋_GB2312" w:hAnsi="仿宋_GB2312" w:eastAsia="仿宋_GB2312" w:cs="仿宋_GB2312"/>
          <w:sz w:val="32"/>
          <w:szCs w:val="32"/>
        </w:rPr>
        <w:t xml:space="preserve"> </w:t>
      </w:r>
    </w:p>
    <w:p w14:paraId="2D3B650C">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eastAsia" w:ascii="仿宋_GB2312" w:hAnsi="仿宋_GB2312" w:eastAsia="仿宋_GB2312" w:cs="仿宋_GB2312"/>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1BCDE21"/>
    <w:multiLevelType w:val="singleLevel"/>
    <w:tmpl w:val="01BCDE21"/>
    <w:lvl w:ilvl="0" w:tentative="0">
      <w:start w:val="1"/>
      <w:numFmt w:val="decimal"/>
      <w:lvlText w:val="%1."/>
      <w:lvlJc w:val="left"/>
      <w:pPr>
        <w:tabs>
          <w:tab w:val="left" w:pos="312"/>
        </w:tabs>
      </w:pPr>
    </w:lvl>
  </w:abstractNum>
  <w:abstractNum w:abstractNumId="1">
    <w:nsid w:val="186C22E5"/>
    <w:multiLevelType w:val="singleLevel"/>
    <w:tmpl w:val="186C22E5"/>
    <w:lvl w:ilvl="0" w:tentative="0">
      <w:start w:val="3"/>
      <w:numFmt w:val="decimal"/>
      <w:lvlText w:val="%1."/>
      <w:lvlJc w:val="left"/>
      <w:pPr>
        <w:tabs>
          <w:tab w:val="left" w:pos="312"/>
        </w:tabs>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E5272F"/>
    <w:rsid w:val="100F46FF"/>
    <w:rsid w:val="274D2852"/>
    <w:rsid w:val="399A3914"/>
    <w:rsid w:val="7EB33A7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2070</Words>
  <Characters>2115</Characters>
  <Lines>0</Lines>
  <Paragraphs>0</Paragraphs>
  <TotalTime>59</TotalTime>
  <ScaleCrop>false</ScaleCrop>
  <LinksUpToDate>false</LinksUpToDate>
  <CharactersWithSpaces>2195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2026-03-25T00:55:00Z</dcterms:created>
  <dc:creator>Administrator</dc:creator>
  <cp:lastModifiedBy>Administrator</cp:lastModifiedBy>
  <dcterms:modified xsi:type="dcterms:W3CDTF">2026-03-25T02:39:57Z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eyJoZGlkIjoiYzA5NWQwYzYwNmY5Zjc1YjE0OGE5ZjU3NzE1ZTA2NTUifQ==</vt:lpwstr>
  </property>
  <property fmtid="{D5CDD505-2E9C-101B-9397-08002B2CF9AE}" pid="4" name="ICV">
    <vt:lpwstr>FE7D50BAF847410EAF797698F228D075_12</vt:lpwstr>
  </property>
</Properties>
</file>