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spacing w:beforeAutospacing="0" w:afterAutospacing="0" w:line="600" w:lineRule="exact"/>
        <w:jc w:val="center"/>
        <w:rPr>
          <w:rFonts w:ascii="宋体" w:cs="宋体" w:hAnsi="宋体"/>
          <w:sz w:val="44"/>
          <w:szCs w:val="44"/>
        </w:rPr>
      </w:pPr>
      <w:r>
        <w:rPr>
          <w:rFonts w:ascii="宋体" w:cs="宋体" w:hAnsi="宋体" w:hint="eastAsia"/>
          <w:sz w:val="44"/>
          <w:szCs w:val="44"/>
        </w:rPr>
        <w:t>隆尧县水务局</w:t>
      </w:r>
    </w:p>
    <w:p>
      <w:pPr>
        <w:spacing w:beforeAutospacing="0" w:afterAutospacing="0" w:line="600" w:lineRule="exact"/>
        <w:jc w:val="center"/>
        <w:rPr>
          <w:rFonts w:ascii="宋体" w:cs="宋体" w:hAnsi="宋体" w:hint="eastAsia"/>
          <w:sz w:val="44"/>
          <w:szCs w:val="44"/>
        </w:rPr>
      </w:pPr>
      <w:r>
        <w:rPr>
          <w:rFonts w:ascii="宋体" w:cs="宋体" w:hAnsi="宋体"/>
          <w:sz w:val="44"/>
          <w:szCs w:val="44"/>
        </w:rPr>
        <w:t>关于</w:t>
      </w:r>
      <w:r>
        <w:rPr>
          <w:rFonts w:ascii="宋体" w:cs="宋体" w:hAnsi="宋体" w:hint="eastAsia"/>
          <w:sz w:val="44"/>
          <w:szCs w:val="44"/>
        </w:rPr>
        <w:t>2025年度法治政府建设工作报告</w:t>
      </w:r>
    </w:p>
    <w:p>
      <w:pPr>
        <w:spacing w:beforeAutospacing="0" w:afterAutospacing="0" w:line="600" w:lineRule="exact"/>
        <w:rPr>
          <w:rFonts w:ascii="仿宋" w:eastAsia="仿宋" w:cs="仿宋" w:hAnsi="仿宋"/>
          <w:sz w:val="32"/>
          <w:szCs w:val="32"/>
        </w:rPr>
      </w:pPr>
    </w:p>
    <w:p>
      <w:pPr>
        <w:spacing w:beforeAutospacing="0" w:afterAutospacing="0" w:line="60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2025年，隆尧县水务局在县委、县政府的坚强领导和县司法局的具体指导下，坚持以习近平法治思想为引领，紧紧围绕法治政府建设总体要求，全面推</w:t>
      </w:r>
      <w:bookmarkStart w:id="0" w:name="_GoBack"/>
      <w:bookmarkEnd w:id="0"/>
      <w:r>
        <w:rPr>
          <w:rFonts w:ascii="仿宋" w:eastAsia="仿宋" w:cs="仿宋" w:hAnsi="仿宋" w:hint="eastAsia"/>
          <w:sz w:val="32"/>
          <w:szCs w:val="32"/>
        </w:rPr>
        <w:t>进依法治水、依法管水，不断规范行政权力运行，提升水利治理能力和治理水平，圆满完成年度法治政府建设各项工作任务。现将有关情况报告如下：</w:t>
      </w:r>
    </w:p>
    <w:p>
      <w:pPr>
        <w:spacing w:beforeAutospacing="0" w:afterAutospacing="0" w:line="600" w:lineRule="exact"/>
        <w:ind w:firstLineChars="200" w:firstLine="640"/>
        <w:rPr>
          <w:rFonts w:ascii="仿宋" w:eastAsia="仿宋" w:cs="仿宋" w:hAnsi="仿宋" w:hint="eastAsia"/>
          <w:b/>
          <w:bCs/>
          <w:sz w:val="32"/>
          <w:szCs w:val="32"/>
        </w:rPr>
      </w:pPr>
      <w:r>
        <w:rPr>
          <w:rFonts w:ascii="仿宋" w:eastAsia="仿宋" w:cs="仿宋" w:hAnsi="仿宋" w:hint="eastAsia"/>
          <w:b/>
          <w:bCs/>
          <w:sz w:val="32"/>
          <w:szCs w:val="32"/>
        </w:rPr>
        <w:t>一、强化组织领导，压实法治建设主体责任</w:t>
      </w:r>
    </w:p>
    <w:p>
      <w:pPr>
        <w:spacing w:beforeAutospacing="0" w:afterAutospacing="0" w:line="60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（一）健全领导机制，落实第一责任人职责</w:t>
      </w:r>
    </w:p>
    <w:p>
      <w:pPr>
        <w:spacing w:beforeAutospacing="0" w:afterAutospacing="0" w:line="60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局党组高度重视法治政府建设工作，将其纳入水务工作年度重点任务和年度考核内容。成立由主要负责同志任组长、分管领导任副组长、各科室及下属单位负责人为成员的法治政府建设工作领导小组，定期召开专题会议研究部署法治工作，及时解决法治建设、行政执法、普法宣传等重点难点问题，形成主要领导亲自抓、分管领导具体抓、各科室协同抓的工作格局。</w:t>
      </w:r>
    </w:p>
    <w:p>
      <w:pPr>
        <w:spacing w:beforeAutospacing="0" w:afterAutospacing="0" w:line="60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（二）完善工作制度，细化任务落实</w:t>
      </w:r>
    </w:p>
    <w:p>
      <w:pPr>
        <w:spacing w:beforeAutospacing="0" w:afterAutospacing="0" w:line="60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制定《隆尧县水务局2025年法治政府建设工作要点》，明确目标任务、责任分工和完成时限，实行台账式管理、项目化推进。严格执行重大事项依法决策制度，坚持集体研究、合法性审查、民主决策，确保各项行政决策科学、合法、有效。</w:t>
      </w:r>
    </w:p>
    <w:p>
      <w:pPr>
        <w:spacing w:beforeAutospacing="0" w:afterAutospacing="0" w:line="60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（三）加强法治队伍建设</w:t>
      </w:r>
    </w:p>
    <w:p>
      <w:pPr>
        <w:spacing w:beforeAutospacing="0" w:afterAutospacing="0" w:line="60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组织全局干部职工、执法人员参加法治培训、行政执法资格考试和业务学习，确保所有执法人员持证上岗、亮证执法。积极参加市县组织的法治专题培训、案例研讨和业务练兵，不断提升干部职工法治思维和依法行政能力。</w:t>
      </w:r>
    </w:p>
    <w:p>
      <w:pPr>
        <w:spacing w:beforeAutospacing="0" w:afterAutospacing="0" w:line="600" w:lineRule="exact"/>
        <w:ind w:firstLineChars="200" w:firstLine="640"/>
        <w:rPr>
          <w:rFonts w:ascii="仿宋" w:eastAsia="仿宋" w:cs="仿宋" w:hAnsi="仿宋" w:hint="eastAsia"/>
          <w:b/>
          <w:bCs/>
          <w:sz w:val="32"/>
          <w:szCs w:val="32"/>
        </w:rPr>
      </w:pPr>
      <w:r>
        <w:rPr>
          <w:rFonts w:ascii="仿宋" w:eastAsia="仿宋" w:cs="仿宋" w:hAnsi="仿宋" w:hint="eastAsia"/>
          <w:b/>
          <w:bCs/>
          <w:sz w:val="32"/>
          <w:szCs w:val="32"/>
        </w:rPr>
        <w:t>二、健全制度机制，全面提升依法行政水平</w:t>
      </w:r>
    </w:p>
    <w:p>
      <w:pPr>
        <w:spacing w:beforeAutospacing="0" w:afterAutospacing="0" w:line="60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（一）严格合法性审查与公平竞争审查</w:t>
      </w:r>
    </w:p>
    <w:p>
      <w:pPr>
        <w:spacing w:beforeAutospacing="0" w:afterAutospacing="0" w:line="60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充分发挥法律顾问作用，对我局出台的规范性文件、签订的合同协议、重大行政执法决定等全部进行合法性审查，做到应审尽审。严格落实公平竞争审查制度，对涉及市场主体经济活动的政策文件逐项审查，从源头上防范法律风险，保障行政行为合法合规。</w:t>
      </w:r>
    </w:p>
    <w:p>
      <w:pPr>
        <w:spacing w:beforeAutospacing="0" w:afterAutospacing="0" w:line="60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（二）规范行政权力运行</w:t>
      </w:r>
    </w:p>
    <w:p>
      <w:pPr>
        <w:spacing w:beforeAutospacing="0" w:afterAutospacing="0" w:line="600" w:lineRule="exact"/>
        <w:ind w:firstLineChars="200" w:firstLine="640"/>
        <w:rPr>
          <w:rFonts w:ascii="仿宋" w:eastAsia="仿宋" w:cs="仿宋" w:hAnsi="仿宋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认真梳理行政权力清单、责任清单，明确执法事项、执法依据、执法流程，做到法无授权不可为、法定职责必须为。</w:t>
      </w:r>
    </w:p>
    <w:p>
      <w:pPr>
        <w:spacing w:beforeAutospacing="0" w:afterAutospacing="0" w:line="60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（三）强化制度执行与监督</w:t>
      </w:r>
    </w:p>
    <w:p>
      <w:pPr>
        <w:spacing w:beforeAutospacing="0" w:afterAutospacing="0" w:line="60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严格执行行政执法公示、执法全过程记录、重大执法决定法制审核“三项制度”，做到执法信息公开透明、执法过程全程留痕、重大决定审核把关，不断提升执法规范化水平。</w:t>
      </w:r>
    </w:p>
    <w:p>
      <w:pPr>
        <w:spacing w:beforeAutospacing="0" w:afterAutospacing="0" w:line="600" w:lineRule="exact"/>
        <w:ind w:firstLineChars="200" w:firstLine="640"/>
        <w:rPr>
          <w:rFonts w:ascii="仿宋" w:eastAsia="仿宋" w:cs="仿宋" w:hAnsi="仿宋" w:hint="eastAsia"/>
          <w:b/>
          <w:bCs/>
          <w:sz w:val="32"/>
          <w:szCs w:val="32"/>
        </w:rPr>
      </w:pPr>
      <w:r>
        <w:rPr>
          <w:rFonts w:ascii="仿宋" w:eastAsia="仿宋" w:cs="仿宋" w:hAnsi="仿宋" w:hint="eastAsia"/>
          <w:b/>
          <w:bCs/>
          <w:sz w:val="32"/>
          <w:szCs w:val="32"/>
        </w:rPr>
        <w:t>三、严格规范执法，维护县域水事秩序稳定</w:t>
      </w:r>
    </w:p>
    <w:p>
      <w:pPr>
        <w:spacing w:beforeAutospacing="0" w:afterAutospacing="0" w:line="60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（一）扎实开展水行政执法工作</w:t>
      </w:r>
    </w:p>
    <w:p>
      <w:pPr>
        <w:spacing w:beforeAutospacing="0" w:afterAutospacing="0" w:line="60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围绕水资源管理、河道管理、水土保持、水利工程设施保护等重点领域，开展常态化巡查检查和专项整治行动。加大对非法取水、侵占河道、破坏水利工程、非法采砂等违法行为的查处力度，做到发现一起、查处一起、整改一起，有效维护全县水事秩序稳定。</w:t>
      </w:r>
    </w:p>
    <w:p>
      <w:pPr>
        <w:spacing w:beforeAutospacing="0" w:afterAutospacing="0" w:line="60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（二）深化联合执法与协同监管</w:t>
      </w:r>
    </w:p>
    <w:p>
      <w:pPr>
        <w:spacing w:beforeAutospacing="0" w:afterAutospacing="0" w:line="60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加强与公安、自然资源、生态环境、乡镇政府等部门协调联动，开展联合执法行动，形成监管合力。严格落实“双随机、一公开”监管制度，规范检查频次和检查方式，做到依法监管、文明执法、公正执法。</w:t>
      </w:r>
    </w:p>
    <w:p>
      <w:pPr>
        <w:spacing w:beforeAutospacing="0" w:afterAutospacing="0" w:line="60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（三）依法化解水事矛盾纠纷</w:t>
      </w:r>
    </w:p>
    <w:p>
      <w:pPr>
        <w:spacing w:beforeAutospacing="0" w:afterAutospacing="0" w:line="60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健全水事纠纷排查调解机制，及时受理群众举报、投诉和信访事项，依法依规化解涉水矛盾纠纷。全年未发生因执法不当引发的行政复议、行政诉讼败诉案件，社会效果良好。</w:t>
      </w:r>
    </w:p>
    <w:p>
      <w:pPr>
        <w:spacing w:beforeAutospacing="0" w:afterAutospacing="0" w:line="600" w:lineRule="exact"/>
        <w:ind w:firstLineChars="200" w:firstLine="640"/>
        <w:rPr>
          <w:rFonts w:ascii="仿宋" w:eastAsia="仿宋" w:cs="仿宋" w:hAnsi="仿宋" w:hint="eastAsia"/>
          <w:b/>
          <w:bCs/>
          <w:sz w:val="32"/>
          <w:szCs w:val="32"/>
        </w:rPr>
      </w:pPr>
      <w:r>
        <w:rPr>
          <w:rFonts w:ascii="仿宋" w:eastAsia="仿宋" w:cs="仿宋" w:hAnsi="仿宋" w:hint="eastAsia"/>
          <w:b/>
          <w:bCs/>
          <w:sz w:val="32"/>
          <w:szCs w:val="32"/>
        </w:rPr>
        <w:t>四、深化普法宣传，营造依法治水良好氛围</w:t>
      </w:r>
    </w:p>
    <w:p>
      <w:pPr>
        <w:spacing w:beforeAutospacing="0" w:afterAutospacing="0" w:line="60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（一）落实“谁执法谁普法”责任制</w:t>
      </w:r>
    </w:p>
    <w:p>
      <w:pPr>
        <w:spacing w:beforeAutospacing="0" w:afterAutospacing="0" w:line="60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制定年度普法工作计划和普法责任清单，将普法宣传融入行政执法、日常监管全过程，实现执法办案与普法宣传同步推进。</w:t>
      </w:r>
    </w:p>
    <w:p>
      <w:pPr>
        <w:spacing w:beforeAutospacing="0" w:afterAutospacing="0" w:line="60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（二）开展主题法治宣传活动</w:t>
      </w:r>
    </w:p>
    <w:p>
      <w:pPr>
        <w:spacing w:beforeAutospacing="0" w:afterAutospacing="0" w:line="60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以“世界水日”“中国水周”为契机，通过悬挂标语、发放宣传资料、现场咨询、新媒体宣传、进企业、进校园等形式，广泛宣传《水法》《防洪法》《水土保持法》《河道管理条例》等法律法规，提升全社会节水、惜水、护水意识和法治观念。</w:t>
      </w:r>
    </w:p>
    <w:p>
      <w:pPr>
        <w:spacing w:beforeAutospacing="0" w:afterAutospacing="0" w:line="60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（三）强化内部学法用法</w:t>
      </w:r>
    </w:p>
    <w:p>
      <w:pPr>
        <w:spacing w:beforeAutospacing="0" w:afterAutospacing="0" w:line="60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坚持领导干部带头学法，党组理论学习中心组定期开展法治专题学习。组织干部职工学习习近平法治思想、宪法及涉水法律法规，不断提升全员法治素养和依法履职能力。</w:t>
      </w:r>
    </w:p>
    <w:p>
      <w:pPr>
        <w:spacing w:beforeAutospacing="0" w:afterAutospacing="0" w:line="600" w:lineRule="exact"/>
        <w:ind w:firstLineChars="200" w:firstLine="640"/>
        <w:rPr>
          <w:rFonts w:ascii="仿宋" w:eastAsia="仿宋" w:cs="仿宋" w:hAnsi="仿宋" w:hint="eastAsia"/>
          <w:b/>
          <w:bCs/>
          <w:sz w:val="32"/>
          <w:szCs w:val="32"/>
        </w:rPr>
      </w:pPr>
      <w:r>
        <w:rPr>
          <w:rFonts w:ascii="仿宋" w:eastAsia="仿宋" w:cs="仿宋" w:hAnsi="仿宋" w:hint="eastAsia"/>
          <w:b/>
          <w:bCs/>
          <w:sz w:val="32"/>
          <w:szCs w:val="32"/>
        </w:rPr>
        <w:t>五、存在的问题与不足</w:t>
      </w:r>
    </w:p>
    <w:p>
      <w:pPr>
        <w:spacing w:beforeAutospacing="0" w:afterAutospacing="0" w:line="60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在总结成绩的同时，我们也清醒认识到工作中存在的短板和不足：一是基层法治力量相对薄弱，专业法治人才不足；二是水行政执法能力有待进一步提升，执法装备和信息化水平需加强；三是普法宣传的针对性、创新性仍需增强；四是法治建设与水务业务工作深度融合不够，法治引领作用有待进一步发挥。</w:t>
      </w:r>
    </w:p>
    <w:p>
      <w:pPr>
        <w:spacing w:beforeAutospacing="0" w:afterAutospacing="0" w:line="600" w:lineRule="exact"/>
        <w:ind w:firstLineChars="200" w:firstLine="640"/>
        <w:rPr>
          <w:rFonts w:ascii="仿宋" w:eastAsia="仿宋" w:cs="仿宋" w:hAnsi="仿宋" w:hint="eastAsia"/>
          <w:b/>
          <w:bCs/>
          <w:sz w:val="32"/>
          <w:szCs w:val="32"/>
        </w:rPr>
      </w:pPr>
      <w:r>
        <w:rPr>
          <w:rFonts w:ascii="仿宋" w:eastAsia="仿宋" w:cs="仿宋" w:hAnsi="仿宋" w:hint="eastAsia"/>
          <w:b/>
          <w:bCs/>
          <w:sz w:val="32"/>
          <w:szCs w:val="32"/>
        </w:rPr>
        <w:t>六、2026年工作打算</w:t>
      </w:r>
    </w:p>
    <w:p>
      <w:pPr>
        <w:spacing w:beforeAutospacing="0" w:afterAutospacing="0" w:line="60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2026年，隆尧县水务局将继续深入贯彻落实法治政府建设各项部署要求，重点做好以下工作：一是持续压实法治建设责任，完善工作机制，推动法治水务建设走深走实；二是不断规范行政执法行为，深化“三项制度”落实，提升执法规范化、专业化水平；三是加强执法队伍和法治能力建设，强化培训练兵，提高依法履职能力；四是创新普法宣传方式，提升普法实效，营造更加浓厚的依法治水氛围；五是坚持以法治引领和保障水务中心工作，为全县水资源管理、河道治理、水利工程建设、水生态保护提供坚实法治支撑。</w:t>
      </w:r>
    </w:p>
    <w:p>
      <w:pPr>
        <w:spacing w:beforeAutospacing="0" w:afterAutospacing="0" w:line="600" w:lineRule="exact"/>
        <w:ind w:firstLineChars="1700" w:firstLine="5440"/>
        <w:rPr>
          <w:rFonts w:ascii="仿宋" w:eastAsia="仿宋" w:cs="仿宋" w:hAnsi="仿宋"/>
          <w:sz w:val="32"/>
          <w:szCs w:val="32"/>
        </w:rPr>
      </w:pPr>
    </w:p>
    <w:p>
      <w:pPr>
        <w:spacing w:beforeAutospacing="0" w:afterAutospacing="0" w:line="600" w:lineRule="exact"/>
        <w:ind w:firstLineChars="1700" w:firstLine="54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隆尧县水务局</w:t>
      </w:r>
    </w:p>
    <w:p>
      <w:pPr>
        <w:spacing w:beforeAutospacing="0" w:afterAutospacing="0" w:line="600" w:lineRule="exact"/>
        <w:ind w:firstLineChars="1600" w:firstLine="512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2026年</w:t>
      </w:r>
      <w:r>
        <w:rPr>
          <w:rFonts w:ascii="仿宋" w:eastAsia="仿宋" w:cs="仿宋" w:hAnsi="仿宋"/>
          <w:sz w:val="32"/>
          <w:szCs w:val="32"/>
        </w:rPr>
        <w:t>3</w:t>
      </w:r>
      <w:r>
        <w:rPr>
          <w:rFonts w:ascii="仿宋" w:eastAsia="仿宋" w:cs="仿宋" w:hAnsi="仿宋" w:hint="eastAsia"/>
          <w:sz w:val="32"/>
          <w:szCs w:val="32"/>
        </w:rPr>
        <w:t>月</w:t>
      </w:r>
      <w:r>
        <w:rPr>
          <w:rFonts w:ascii="仿宋" w:eastAsia="仿宋" w:cs="仿宋" w:hAnsi="仿宋"/>
          <w:sz w:val="32"/>
          <w:szCs w:val="32"/>
        </w:rPr>
        <w:t>25</w:t>
      </w:r>
      <w:r>
        <w:rPr>
          <w:rFonts w:ascii="仿宋" w:eastAsia="仿宋" w:cs="仿宋" w:hAnsi="仿宋" w:hint="eastAsia"/>
          <w:sz w:val="32"/>
          <w:szCs w:val="32"/>
        </w:rPr>
        <w:t>日</w:t>
      </w:r>
    </w:p>
    <w:sectPr>
      <w:pgSz w:w="11906" w:h="16838"/>
      <w:pgMar w:top="1984" w:right="1417" w:bottom="1417" w:left="1417" w:header="851" w:footer="992" w:gutter="0"/>
      <w:cols w:num="1" w:space="425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Times New Roman">
    <w:panose1 w:val="02020603050405020304"/>
    <w:charset w:val="00"/>
    <w:family w:val="auto"/>
    <w:pitch w:val="variable"/>
    <w:sig w:usb0="00000A87" w:usb1="00000000" w:usb2="00000000" w:usb3="00000000" w:csb0="400001BF" w:csb1="DFF7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displayBackgroundShape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noPunctuationKerning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ulTrailSpace/>
    <w:doNotExpandShiftReturn/>
    <w:adjustLineHeightInTable/>
    <w:compatSetting w:name="compatibilityMode" w:uri="http://schemas.microsoft.com/office/word" w:val="15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pPr>
      <w:widowControl w:val="0"/>
      <w:jc w:val="both"/>
    </w:pPr>
    <w:rPr>
      <w:rFonts w:ascii="Calibri" w:eastAsia="宋体" w:cs="Arial" w:hAnsi="Calibri"/>
      <w:kern w:val="2"/>
      <w:sz w:val="21"/>
      <w:szCs w:val="22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Calibri" w:eastAsia="宋体" w:cs="Arial" w:hAnsi="Calibri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黑体" w:cs="Arial" w:hAnsi="Calibri"/>
      <w:b/>
      <w:bCs/>
      <w:kern w:val="2"/>
      <w:sz w:val="32"/>
      <w:szCs w:val="32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Calibri" w:eastAsia="宋体" w:cs="Arial" w:hAnsi="Calibri"/>
      <w:b/>
      <w:bCs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qFormat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Relationship Id="rId4" Type="http://schemas.openxmlformats.org/officeDocument/2006/relationships/customXml" Target="../customXml/item1.xml"/><Relationship Id="rId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9050" cmpd="sng" cap="flat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algn="ctr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B82C0348-84FD-4099-998C-61D4F940BA02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12</TotalTime>
  <Application>Yozo_Office27021597764231189</Application>
  <Pages>4</Pages>
  <Words>0</Words>
  <Characters>1477</Characters>
  <Lines>0</Lines>
  <Paragraphs>39</Paragraphs>
  <CharactersWithSpaces>1970</CharactersWithSpaces>
  <Company>Yozosoft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User274</dc:creator>
  <cp:lastModifiedBy>Administrator</cp:lastModifiedBy>
  <cp:revision>1</cp:revision>
  <dcterms:created xsi:type="dcterms:W3CDTF">2021-05-08T07:28:00Z</dcterms:created>
  <dcterms:modified xsi:type="dcterms:W3CDTF">2026-03-25T00:08:18Z</dcterms:modified>
</cp:coreProperties>
</file>