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2026年部门预算信息公开目录</w:t>
      </w:r>
    </w:p>
    <w:p>
      <w:pPr>
        <w:jc w:val="center"/>
      </w:pPr>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55</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55</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56</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57</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6750.84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五、单位资金</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23.42</w:t>
            </w:r>
          </w:p>
        </w:tc>
      </w:tr>
      <w:tr>
        <w:trPr>
          <w:trHeight w:val="369"/>
        </w:trPr>
        <w:tc>
          <w:tcPr>
            <w:tcW w:w="850" w:type="dxa"/>
            <w:vAlign w:val="center"/>
          </w:tcPr>
          <w:p>
            <w:pPr>
              <w:pStyle w:val="21"/>
            </w:pPr>
            <w:r>
              <w:t>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2126" w:type="dxa"/>
            <w:vAlign w:val="center"/>
          </w:tcPr>
          <w:p>
            <w:pPr>
              <w:pStyle w:val="19"/>
            </w:pPr>
            <w:r>
              <w:t>10.75</w:t>
            </w:r>
          </w:p>
        </w:tc>
      </w:tr>
      <w:tr>
        <w:trPr>
          <w:trHeight w:val="369"/>
        </w:trPr>
        <w:tc>
          <w:tcPr>
            <w:tcW w:w="850" w:type="dxa"/>
            <w:vAlign w:val="center"/>
          </w:tcPr>
          <w:p>
            <w:pPr>
              <w:pStyle w:val="21"/>
            </w:pPr>
            <w:r>
              <w:t>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2126" w:type="dxa"/>
            <w:vAlign w:val="center"/>
          </w:tcPr>
          <w:p>
            <w:pPr>
              <w:pStyle w:val="19"/>
            </w:pPr>
            <w:r>
              <w:t>19.00</w:t>
            </w:r>
          </w:p>
        </w:tc>
      </w:tr>
      <w:tr>
        <w:trPr>
          <w:trHeight w:val="369"/>
        </w:trPr>
        <w:tc>
          <w:tcPr>
            <w:tcW w:w="850" w:type="dxa"/>
            <w:vAlign w:val="center"/>
          </w:tcPr>
          <w:p>
            <w:pPr>
              <w:pStyle w:val="21"/>
            </w:pPr>
            <w:r>
              <w:t>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2126" w:type="dxa"/>
            <w:vAlign w:val="center"/>
          </w:tcPr>
          <w:p>
            <w:pPr>
              <w:pStyle w:val="19"/>
            </w:pPr>
            <w:r>
              <w:t>8139.80</w:t>
            </w:r>
          </w:p>
        </w:tc>
      </w:tr>
      <w:tr>
        <w:trPr>
          <w:trHeight w:val="369"/>
        </w:trPr>
        <w:tc>
          <w:tcPr>
            <w:tcW w:w="850" w:type="dxa"/>
            <w:vAlign w:val="center"/>
          </w:tcPr>
          <w:p>
            <w:pPr>
              <w:pStyle w:val="21"/>
            </w:pPr>
            <w:r>
              <w:t>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2126" w:type="dxa"/>
            <w:vAlign w:val="center"/>
          </w:tcPr>
          <w:p>
            <w:pPr>
              <w:pStyle w:val="19"/>
            </w:pPr>
            <w:r>
              <w:t>17.86</w:t>
            </w:r>
          </w:p>
        </w:tc>
      </w:tr>
      <w:tr>
        <w:trPr>
          <w:trHeight w:val="369"/>
        </w:trPr>
        <w:tc>
          <w:tcPr>
            <w:tcW w:w="850" w:type="dxa"/>
            <w:vAlign w:val="center"/>
          </w:tcPr>
          <w:p>
            <w:pPr>
              <w:pStyle w:val="21"/>
            </w:pPr>
            <w:r>
              <w:t>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2126" w:type="dxa"/>
            <w:vAlign w:val="center"/>
          </w:tcPr>
          <w:p>
            <w:pPr>
              <w:pStyle w:val="23"/>
            </w:pPr>
            <w:r>
              <w:t>8210.84</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2126" w:type="dxa"/>
            <w:vAlign w:val="center"/>
          </w:tcPr>
          <w:p>
            <w:pPr>
              <w:pStyle w:val="23"/>
            </w:pPr>
            <w:r>
              <w:t>8210.84</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7959.46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7940.46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1986.14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1202.14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6750.84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6679.80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三十一、人行科目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2551" w:type="dxa"/>
            <w:vAlign w:val="center"/>
          </w:tcPr>
          <w:p>
            <w:pPr>
              <w:pStyle w:val="23"/>
            </w:pPr>
            <w:r>
              <w:t>6499.46</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6679.80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6480.46</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1986.14</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1202.14</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34.00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1662.33</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1295.39</w:t>
            </w: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366.94</w:t>
            </w:r>
          </w:p>
        </w:tc>
      </w:tr>
      <w:tr>
        <w:trPr>
          <w:trHeight w:val="369"/>
        </w:trPr>
        <w:tc>
          <w:tcPr>
            <w:tcW w:w="850" w:type="dxa"/>
            <w:vAlign w:val="center"/>
          </w:tcPr>
          <w:p>
            <w:pPr>
              <w:pStyle w:val="21"/>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2831.99</w:t>
            </w:r>
          </w:p>
        </w:tc>
      </w:tr>
      <w:tr>
        <w:trPr>
          <w:trHeight w:val="369"/>
        </w:trPr>
        <w:tc>
          <w:tcPr>
            <w:tcW w:w="850" w:type="dxa"/>
            <w:vAlign w:val="center"/>
          </w:tcPr>
          <w:p>
            <w:pPr>
              <w:pStyle w:val="21"/>
            </w:pPr>
            <w:r>
              <w:t>20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2831.99</w:t>
            </w:r>
          </w:p>
        </w:tc>
      </w:tr>
      <w:tr>
        <w:trPr>
          <w:trHeight w:val="369"/>
        </w:trPr>
        <w:tc>
          <w:tcPr>
            <w:tcW w:w="850" w:type="dxa"/>
            <w:vAlign w:val="center"/>
          </w:tcPr>
          <w:p>
            <w:pPr>
              <w:pStyle w:val="21"/>
            </w:pPr>
            <w:r>
              <w:t>21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22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231.63</w:t>
            </w:r>
          </w:p>
        </w:tc>
        <w:tc>
          <w:tcPr>
            <w:tcW w:w="2551" w:type="dxa"/>
            <w:vAlign w:val="center"/>
          </w:tcPr>
          <w:p>
            <w:pPr>
              <w:pStyle w:val="23"/>
            </w:pPr>
            <w:r>
              <w:t>19.74</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221.26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221.26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101.14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101.14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23.76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26.21</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26.21</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绩效工资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17.47</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0.65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0.65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19.74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19.74</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2.20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印刷费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差旅费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12.54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12.54</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对个人和家庭的补助</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退休费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2551" w:type="dxa"/>
            <w:vAlign w:val="center"/>
          </w:tcPr>
          <w:p>
            <w:pPr>
              <w:pStyle w:val="23"/>
            </w:pPr>
            <w:r>
              <w:t>1460.00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1460.00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310.00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310.00</w:t>
            </w: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400.00</w:t>
            </w: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400.00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bottom w:val="single" w:sz="6" w:space="0" w:color="000000"/>
              <w:right w:val="single" w:sz="6" w:space="0" w:color="000000"/>
            </w:tcBorders>
          </w:tc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pPr>
      <w:r>
        <w:rPr>
          <w:rFonts w:ascii="方正书宋_GBK" w:eastAsia="方正书宋_GBK" w:cs="方正书宋_GBK" w:hAnsi="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隆尧县城市管理综合行政执法局2026年部门预算信息公开情况说明</w:t>
      </w:r>
    </w:p>
    <w:p>
      <w:pPr>
        <w:jc w:val="center"/>
      </w:pPr>
      <w:r>
        <w:rPr>
          <w:rFonts w:ascii="方正小标宋_GBK" w:eastAsia="方正小标宋_GBK" w:cs="方正小标宋_GBK" w:hAnsi="方正小标宋_GBK"/>
          <w:color w:val="000000"/>
          <w:sz w:val="44"/>
        </w:rPr>
        <w:t>隆尧县城市管理综合行政执法局2026年部门预算信息公开情况说明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按照《中华人民共和国预算法》、《地方预决算公开操作规程》和《关于进一步推进预算公开工作的实施意见》规定，现将隆尧县城市管理综合行政执法局2026年部门预算公开如下：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shd w:val="clear" w:color="auto" w:fill="FFFFFF"/>
        <w:spacing w:before="240" w:after="240"/>
        <w:ind w:firstLineChars="200" w:firstLine="640"/>
        <w:rPr>
          <w:rFonts w:ascii="仿宋" w:eastAsia="仿宋" w:hAnsi="仿宋"/>
          <w:sz w:val="32"/>
          <w:szCs w:val="32"/>
        </w:rPr>
      </w:pPr>
      <w:r>
        <w:rPr>
          <w:rFonts w:ascii="Arial" w:eastAsia="仿宋" w:cs="Arial" w:hAnsi="Arial"/>
          <w:color w:val="000000"/>
          <w:sz w:val="32"/>
          <w:szCs w:val="32"/>
          <w:shd w:val="clear" w:color="auto" w:fill="FFFFFF"/>
        </w:rPr>
        <w:t> </w:t>
      </w:r>
      <w:r>
        <w:rPr>
          <w:rFonts w:ascii="仿宋" w:eastAsia="仿宋" w:cs="仿宋" w:hAnsi="仿宋" w:hint="eastAsia"/>
          <w:sz w:val="32"/>
          <w:szCs w:val="32"/>
        </w:rPr>
        <w:t>(</w:t>
      </w:r>
      <w:r>
        <w:rPr>
          <w:rFonts w:ascii="仿宋" w:eastAsia="仿宋" w:hAnsi="仿宋" w:hint="eastAsia"/>
          <w:sz w:val="32"/>
          <w:szCs w:val="32"/>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(二）负责全县城市管理工作  ，拟订城市管理的规范、标准、政 策并组织实施；参与城乡市容环卫、生活垃圾处置、园林绿化专业规 划的编制和实施；负责城市市容市貌、环境卫生、生活垃圾清理和处 理、环境综合整治工作；负责数字化城市管理工作。负责对全县城市管理工作的业务指导、监督检查和考核评价。</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(三）负责城市环境卫生管理。负责城市环卫设施建设和维护的 管理工作；负责城市建筑垃圾的处置和管理工作；负责城市消毒杀虫灭鼠工作；负责道路扬尘整治；负责城区河道管理。</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(四）负责城市园林绿化管理。参与制定城市绿化规划；负责城 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（五)负责城市公用设施运行管理。负责城市市政公用设施安全 运行；负责城市公共供水、节水、排水防涝、道路桥梁、照明设施运 行管理工作；负责城区道路、排水的翻建、改建、维护、管理；负责 全县燃气、县城集中供热设施建设和运行管理；指导全县燃气、县城集中供热行业完善落实安全管理制度；负责市政公用设施运行管理的监督检查和考核评价；负责编制市政公用设施维护资金计划以及到位 资金的使用和管理。指导乡镇生活垃圾及农村生活垃圾收运处置体系 建设。</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（六）负责城市容貌秩序管理。负责城市容貌、户外广告设置、门头牌匾及城市街道家具管理和露天烧烤整治工作。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（七）负责城市车辆停放管理。负责公共自行车建设管理、城区 道路机动车及非机动车停放管理、便道机动车停车场及临时泊位设置管理工作。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（八）负责城区防汛应急管理；负责道路清融雪、公园和广场应 急避难场所建设管理；负责城市道路、桥梁、照明、园林绿化的应急保障和供水、燃气、供热、污水处理的应急指导。</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（九）认真落实中央和省、市、县关于加强综合执法工作的部署 要求  ，继续深入推动城市管理跨领域跨部门综合执法  ，推进城市管理 领域行政处罚权相对集中。按照集中的范围  ，集中行使住建、市容环 境卫生、市政、绿化、供水、燃气、供热用热、排水与污水处理、公 安交通、环境保护、市场监管、水务等城市管理方面的行政处罚权及有关行政强制措施。</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（十）负责城管综合行政执法监督。指导全县城管执法工作；开 展城管执法行为监督与考核；负责城市管理行政执法协调工作；负责 城市管理行政执法中的投诉受理、应诉和行政复议工作；组织查处城 市管理领域违法违规案件、跨区域案件以及依法应由县城市管理综合行政执法局实施行政处罚的案件。</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（十一）负责规划区内违法建设治理  ，建立属地和部门协调联动的违法建设源头防控查处机制。</w:t>
      </w:r>
    </w:p>
    <w:p>
      <w:pPr>
        <w:shd w:val="clear" w:color="auto" w:fill="FFFFFF"/>
        <w:spacing w:before="240" w:after="240"/>
        <w:ind w:firstLineChars="200" w:firstLine="640"/>
        <w:rPr>
          <w:rFonts w:ascii="仿宋" w:eastAsia="仿宋" w:hAnsi="仿宋" w:hint="eastAsia"/>
          <w:sz w:val="32"/>
          <w:szCs w:val="32"/>
          <w:lang w:eastAsia="zh-CN"/>
        </w:rPr>
      </w:pPr>
      <w:r>
        <w:rPr>
          <w:rFonts w:ascii="仿宋" w:eastAsia="仿宋" w:hAnsi="仿宋" w:hint="eastAsia"/>
          <w:sz w:val="32"/>
          <w:szCs w:val="32"/>
        </w:rPr>
        <w:t>（十二）完成县委、县政府交办的其他任务。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隆尧县城市管理综合行政执法局本级</w:t>
            </w:r>
          </w:p>
        </w:tc>
        <w:tc>
          <w:tcPr>
            <w:tcW w:w="1843" w:type="dxa"/>
            <w:tcBorders>
              <w:top w:val="single" w:sz="6" w:space="0" w:color="000000"/>
              <w:left w:val="single" w:sz="6" w:space="0" w:color="000000"/>
              <w:bottom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按照预算管理有关规定，目前我局单位预算的编制实行综合预算管理，即全部收入和支出都反映在预算中。</w:t>
      </w:r>
    </w:p>
    <w:p>
      <w:pPr>
        <w:pStyle w:val="26"/>
      </w:pPr>
      <w:r>
        <w:t>1、收入说明</w:t>
      </w:r>
    </w:p>
    <w:p>
      <w:pPr>
        <w:pStyle w:val="26"/>
      </w:pPr>
      <w:r>
        <w:t>反映本单位当年全部收入。2026年预算收入8210.84万元，其中：一般公共预算收入6750.84万元，基金预算收入1460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城管局年度单位预算中支出预算的总体情况。2026年支出预算8210.84万元，其中基本支出251.37万元，包括人员经费231.63万元和日常公用经费19.74万元；项目支出6499.46万元，主要为城乡环卫一体化城区、一标段、二标段项目、生活垃圾焚烧转运处理费及生态补偿金等。</w:t>
      </w:r>
    </w:p>
    <w:p>
      <w:pPr>
        <w:pStyle w:val="26"/>
      </w:pPr>
      <w:r>
        <w:t>3、比上年增减情况</w:t>
      </w:r>
    </w:p>
    <w:p>
      <w:pPr>
        <w:pStyle w:val="26"/>
      </w:pPr>
      <w:r>
        <w:t>2026年预算收支安排8210.84万元，较2025年预算减少4888.04万元，其中：项目支出减少6314.51万元，主要原因，财力紧张，部分公共设施建设项目暂缓。</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Start w:id="12" w:name="_GoBack"/>
      <w:bookmarkEnd w:id="11"/>
      <w:bookmarkEnd w:id="12"/>
    </w:p>
    <w:p>
      <w:pPr>
        <w:pStyle w:val="27"/>
      </w:pPr>
      <w:r>
        <w:t>2025年，我部门经费共计安排19.74万元，主要用于日常维修、办公费用等日常运行支出。</w:t>
      </w:r>
    </w:p>
    <w:p>
      <w:pPr>
        <w:spacing w:before="10" w:after="10" w:line="360" w:lineRule="auto"/>
        <w:ind w:firstLine="640"/>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0万元，其中因公出国（境）费0万元；公务用车购置及运维费0万元（其中：公务用车购置费为0万元，公务用车运行维护费0万元)；公务接待费0万元。与2025年相比无变化。</w:t>
      </w:r>
    </w:p>
    <w:p>
      <w:pPr>
        <w:spacing w:before="10" w:after="10" w:line="360" w:lineRule="auto"/>
        <w:ind w:firstLine="640"/>
        <w:outlineLvl w:val="2"/>
      </w:pPr>
      <w:bookmarkStart w:id="14" w:name="_Toc_3_3_0000000014"/>
      <w:r>
        <w:rPr>
          <w:rFonts w:ascii="黑体" w:eastAsia="黑体" w:cs="黑体" w:hAnsi="黑体"/>
          <w:color w:val="000000"/>
          <w:sz w:val="32"/>
        </w:rPr>
        <w:t>五、部门整体绩效目标</w:t>
      </w:r>
      <w:bookmarkEnd w:id="14"/>
    </w:p>
    <w:p>
      <w:pPr>
        <w:spacing w:line="500" w:lineRule="exact"/>
        <w:ind w:firstLine="560"/>
      </w:pPr>
      <w:r>
        <w:rPr>
          <w:rFonts w:eastAsia="方正仿宋_GBK"/>
          <w:color w:val="000000"/>
          <w:sz w:val="28"/>
        </w:rPr>
        <w:t>（一）总体绩效目标</w:t>
      </w:r>
    </w:p>
    <w:p>
      <w:pPr>
        <w:pStyle w:val="29"/>
        <w:rPr>
          <w:rFonts w:ascii="仿宋" w:eastAsia="仿宋" w:hAnsi="仿宋"/>
          <w:sz w:val="32"/>
          <w:szCs w:val="32"/>
        </w:rPr>
      </w:pPr>
      <w:r>
        <w:rPr>
          <w:rFonts w:ascii="仿宋" w:eastAsia="仿宋" w:hAnsi="仿宋"/>
          <w:sz w:val="32"/>
          <w:szCs w:val="32"/>
        </w:rPr>
        <w:t>总体绩效目标：提升县城环境卫生、改善人居环境。加强城区市容市貌环境卫生管理, 城区内主要街道卫生干净、整洁;</w:t>
      </w:r>
    </w:p>
    <w:p>
      <w:pPr>
        <w:pStyle w:val="29"/>
        <w:rPr>
          <w:rFonts w:ascii="仿宋" w:eastAsia="仿宋" w:hAnsi="仿宋"/>
          <w:sz w:val="32"/>
          <w:szCs w:val="32"/>
        </w:rPr>
      </w:pPr>
      <w:r>
        <w:rPr>
          <w:rFonts w:ascii="仿宋" w:eastAsia="仿宋" w:hAnsi="仿宋"/>
          <w:sz w:val="32"/>
          <w:szCs w:val="32"/>
        </w:rPr>
        <w:t>提升县城绿化率，改善人居环境。加强管理，提高城市绿化率,提高城区绿地绿化质量, 城区公园、游园等绿地养护管理;</w:t>
      </w:r>
    </w:p>
    <w:p>
      <w:pPr>
        <w:pStyle w:val="29"/>
        <w:rPr>
          <w:rFonts w:ascii="仿宋" w:eastAsia="仿宋" w:hAnsi="仿宋"/>
          <w:sz w:val="32"/>
          <w:szCs w:val="32"/>
        </w:rPr>
      </w:pPr>
      <w:r>
        <w:rPr>
          <w:rFonts w:ascii="仿宋" w:eastAsia="仿宋" w:hAnsi="仿宋"/>
          <w:sz w:val="32"/>
          <w:szCs w:val="32"/>
        </w:rPr>
        <w:t>市政公用设施建设与管理,加强管理提高县城承载能力加强城市市政基础设施的建设、维护与管理;</w:t>
      </w:r>
    </w:p>
    <w:p>
      <w:pPr>
        <w:pStyle w:val="29"/>
        <w:rPr>
          <w:rFonts w:ascii="仿宋" w:eastAsia="仿宋" w:hAnsi="仿宋"/>
          <w:sz w:val="32"/>
          <w:szCs w:val="32"/>
        </w:rPr>
      </w:pPr>
      <w:r>
        <w:rPr>
          <w:rFonts w:ascii="仿宋" w:eastAsia="仿宋" w:hAnsi="仿宋"/>
          <w:sz w:val="32"/>
          <w:szCs w:val="32"/>
        </w:rPr>
        <w:t>城市市容市貌管理, 城市市容市貌综合整治, 维护城区市容市貌，无乱占道、乱堆杂物、乱贴乱画、乱搭棚亭、乱设广告等方面的违规违章行为;</w:t>
      </w:r>
    </w:p>
    <w:p>
      <w:pPr>
        <w:pStyle w:val="29"/>
        <w:rPr>
          <w:rFonts w:ascii="仿宋" w:eastAsia="仿宋" w:hAnsi="仿宋"/>
          <w:sz w:val="32"/>
          <w:szCs w:val="32"/>
        </w:rPr>
      </w:pPr>
      <w:r>
        <w:rPr>
          <w:rFonts w:ascii="仿宋" w:eastAsia="仿宋" w:hAnsi="仿宋"/>
          <w:sz w:val="32"/>
          <w:szCs w:val="32"/>
        </w:rPr>
        <w:t>集中行政处罚,维护城区市容市貌，环境卫生干净整洁，保证城区内无违规建筑.</w:t>
      </w:r>
    </w:p>
    <w:p>
      <w:pPr>
        <w:spacing w:line="500" w:lineRule="exact"/>
        <w:ind w:firstLine="560"/>
      </w:pPr>
      <w:r>
        <w:rPr>
          <w:rFonts w:eastAsia="方正仿宋_GBK"/>
          <w:color w:val="000000"/>
          <w:sz w:val="28"/>
        </w:rPr>
        <w:t>（二）分项绩效目标</w:t>
      </w:r>
    </w:p>
    <w:p>
      <w:pPr>
        <w:pStyle w:val="30"/>
        <w:rPr>
          <w:rFonts w:ascii="仿宋" w:eastAsia="仿宋" w:hAnsi="仿宋"/>
          <w:sz w:val="32"/>
          <w:szCs w:val="32"/>
        </w:rPr>
      </w:pPr>
      <w:r>
        <w:rPr>
          <w:rFonts w:ascii="仿宋" w:eastAsia="仿宋" w:hAnsi="仿宋"/>
          <w:sz w:val="32"/>
          <w:szCs w:val="32"/>
        </w:rPr>
        <w:t>分项绩效目标</w:t>
      </w:r>
    </w:p>
    <w:p>
      <w:pPr>
        <w:pStyle w:val="30"/>
        <w:rPr>
          <w:rFonts w:ascii="仿宋" w:eastAsia="仿宋" w:hAnsi="仿宋"/>
          <w:sz w:val="32"/>
          <w:szCs w:val="32"/>
        </w:rPr>
      </w:pPr>
      <w:r>
        <w:rPr>
          <w:rFonts w:ascii="仿宋" w:eastAsia="仿宋" w:hAnsi="仿宋"/>
          <w:sz w:val="32"/>
          <w:szCs w:val="32"/>
        </w:rPr>
        <w:t>环境卫生方面:提升县城环境卫生、改善人居环境。加强城区市容市貌环境卫生管理, 城区内主要街道卫生干净、整洁;</w:t>
      </w:r>
    </w:p>
    <w:p>
      <w:pPr>
        <w:pStyle w:val="30"/>
        <w:rPr>
          <w:rFonts w:ascii="仿宋" w:eastAsia="仿宋" w:hAnsi="仿宋"/>
          <w:sz w:val="32"/>
          <w:szCs w:val="32"/>
        </w:rPr>
      </w:pPr>
      <w:r>
        <w:rPr>
          <w:rFonts w:ascii="仿宋" w:eastAsia="仿宋" w:hAnsi="仿宋"/>
          <w:sz w:val="32"/>
          <w:szCs w:val="32"/>
        </w:rPr>
        <w:t>城市绿化方面:提升县城绿化率，改善人居环境。加强管理，提高城市绿化率,提高城区绿地绿化质量, 城区公园、游园等绿地养护管理;</w:t>
      </w:r>
    </w:p>
    <w:p>
      <w:pPr>
        <w:pStyle w:val="30"/>
        <w:rPr>
          <w:rFonts w:ascii="仿宋" w:eastAsia="仿宋" w:hAnsi="仿宋"/>
          <w:sz w:val="32"/>
          <w:szCs w:val="32"/>
        </w:rPr>
      </w:pPr>
      <w:r>
        <w:rPr>
          <w:rFonts w:ascii="仿宋" w:eastAsia="仿宋" w:hAnsi="仿宋"/>
          <w:sz w:val="32"/>
          <w:szCs w:val="32"/>
        </w:rPr>
        <w:t>市政方面:市政公用设施建设与管理,加强管理提高县城承载能力加强城市市政基础设施的建设、维护与管理;</w:t>
      </w:r>
    </w:p>
    <w:p>
      <w:pPr>
        <w:pStyle w:val="30"/>
        <w:rPr>
          <w:rFonts w:ascii="仿宋" w:eastAsia="仿宋" w:hAnsi="仿宋" w:hint="eastAsia"/>
          <w:sz w:val="32"/>
          <w:szCs w:val="32"/>
          <w:lang w:eastAsia="zh-CN"/>
        </w:rPr>
      </w:pPr>
      <w:r>
        <w:rPr>
          <w:rFonts w:ascii="仿宋" w:eastAsia="仿宋" w:hAnsi="仿宋"/>
          <w:sz w:val="32"/>
          <w:szCs w:val="32"/>
        </w:rPr>
        <w:t>市容市貌方面:城市市容市貌管理, 城市市容市貌综合整治, 维护城区市容市貌，无乱占道、乱堆杂物、乱贴乱画、乱搭棚亭、乱设广告等方面的违规违章行为;集中行政处罚,维护城区市容市貌，环境卫生干净整洁，保证城区内无违规建筑</w:t>
      </w:r>
      <w:r>
        <w:rPr>
          <w:rFonts w:ascii="仿宋" w:eastAsia="仿宋" w:hAnsi="仿宋" w:hint="eastAsia"/>
          <w:sz w:val="32"/>
          <w:szCs w:val="32"/>
          <w:lang w:eastAsia="zh-CN"/>
        </w:rPr>
        <w:t>。</w:t>
      </w:r>
    </w:p>
    <w:p>
      <w:pPr>
        <w:spacing w:line="500" w:lineRule="exact"/>
        <w:ind w:firstLine="560"/>
      </w:pPr>
      <w:r>
        <w:rPr>
          <w:rFonts w:eastAsia="方正仿宋_GBK"/>
          <w:color w:val="000000"/>
          <w:sz w:val="28"/>
        </w:rPr>
        <w:t>（三）工作保障措施</w:t>
      </w:r>
    </w:p>
    <w:p>
      <w:pPr>
        <w:pStyle w:val="31"/>
        <w:rPr>
          <w:rFonts w:hint="eastAsia"/>
          <w:lang w:eastAsia="zh-CN"/>
        </w:rPr>
      </w:pPr>
    </w:p>
    <w:p>
      <w:pPr>
        <w:pStyle w:val="31"/>
        <w:rPr>
          <w:rFonts w:ascii="仿宋" w:eastAsia="仿宋" w:hAnsi="仿宋"/>
          <w:sz w:val="32"/>
          <w:szCs w:val="32"/>
        </w:rPr>
      </w:pPr>
      <w:r>
        <w:rPr>
          <w:rFonts w:ascii="仿宋" w:eastAsia="仿宋" w:hAnsi="仿宋"/>
          <w:sz w:val="32"/>
          <w:szCs w:val="32"/>
        </w:rPr>
        <w:t>加强领导，卡死责任。各级领导干部要对照目标任务，对号入座，强化组织领导，严格实行“五个一”即一项工作，一个专班，一套人马，一线督导，一抓到底。分管领导对分管工作要靠前指挥、狠抓落实；各科室要全程参与，积极协助解决工作中的问题；各科室要建立“一把手”负责制，进一步细化实化任务目标，形成无缝隙责任链条。</w:t>
      </w:r>
    </w:p>
    <w:p>
      <w:pPr>
        <w:pStyle w:val="31"/>
        <w:rPr>
          <w:rFonts w:ascii="仿宋" w:eastAsia="仿宋" w:hAnsi="仿宋"/>
          <w:sz w:val="32"/>
          <w:szCs w:val="32"/>
        </w:rPr>
      </w:pPr>
      <w:r>
        <w:rPr>
          <w:rFonts w:ascii="仿宋" w:eastAsia="仿宋" w:hAnsi="仿宋"/>
          <w:sz w:val="32"/>
          <w:szCs w:val="32"/>
        </w:rPr>
        <w:t>协调联动，形成合力。要强化“四个意识”，加强沟通，协调联动，破除单位和部门利益的狭隘思想，形成合力，确保优质高效完成任务目标。要强化效能意识，克服等靠要思想，抢占工作先机。要开展分层次、多形式、精准化培训，加强职业教育，培育城市管理行业领军人才。</w:t>
      </w:r>
    </w:p>
    <w:p>
      <w:pPr>
        <w:pStyle w:val="31"/>
        <w:rPr>
          <w:rFonts w:ascii="仿宋" w:eastAsia="仿宋" w:hAnsi="仿宋"/>
          <w:sz w:val="32"/>
          <w:szCs w:val="32"/>
        </w:rPr>
      </w:pPr>
      <w:r>
        <w:rPr>
          <w:rFonts w:ascii="仿宋" w:eastAsia="仿宋" w:hAnsi="仿宋"/>
          <w:sz w:val="32"/>
          <w:szCs w:val="32"/>
        </w:rPr>
        <w:t>强化督查，强力推进。要坚持重点督查和专项督查相结合，坚持局领导分包督查、分管科室对口督查相结合，实行任务目标全程督导机制，实行每月排名通报、每季调度、半年小结、年终考评制度，完善任务分解、督导指导、现场调度、约谈后进等工作机制。</w:t>
      </w:r>
    </w:p>
    <w:p>
      <w:pPr>
        <w:pStyle w:val="31"/>
        <w:rPr>
          <w:rFonts w:ascii="仿宋" w:eastAsia="仿宋" w:hAnsi="仿宋"/>
          <w:sz w:val="32"/>
          <w:szCs w:val="32"/>
        </w:rPr>
      </w:pPr>
      <w:r>
        <w:rPr>
          <w:rFonts w:ascii="仿宋" w:eastAsia="仿宋" w:hAnsi="仿宋"/>
          <w:sz w:val="32"/>
          <w:szCs w:val="32"/>
        </w:rPr>
        <w:t>依法行政，全面加强。在城管系统开展以“提高执法公信力”为主题的“规范执法年”活动。深入推进行政执法公示、全过程记录和法制审核“三项制度”。强化行政复议监督，加大违法案件查处曝光力度。实行公开评议和定期通报制度。</w:t>
      </w:r>
    </w:p>
    <w:p>
      <w:pPr>
        <w:pStyle w:val="31"/>
        <w:rPr>
          <w:rFonts w:ascii="仿宋" w:eastAsia="仿宋" w:hAnsi="仿宋" w:hint="eastAsia"/>
          <w:sz w:val="32"/>
          <w:szCs w:val="32"/>
          <w:lang w:eastAsia="zh-CN"/>
        </w:rPr>
      </w:pPr>
      <w:r>
        <w:rPr>
          <w:rFonts w:ascii="仿宋" w:eastAsia="仿宋" w:hAnsi="仿宋"/>
          <w:sz w:val="32"/>
          <w:szCs w:val="32"/>
        </w:rPr>
        <w:t>宣传动员，营造氛围。要充分利用主流新闻媒体和新媒体，大力开展形式多样的宣传活动；要积极选树宣传先进典型和创新典型，营造创先争优浓厚氛围；要积极发动市民参与城市管理工作，进一步提高广大市民的文明意识和参与意识，努力营造全社会了解、支持、参与城市管理的良好氛围</w:t>
      </w:r>
      <w:r>
        <w:rPr>
          <w:rFonts w:ascii="仿宋" w:eastAsia="仿宋" w:hAnsi="仿宋" w:hint="eastAsia"/>
          <w:sz w:val="32"/>
          <w:szCs w:val="32"/>
          <w:lang w:eastAsia="zh-CN"/>
        </w:rPr>
        <w:t>。</w:t>
      </w:r>
      <w:bookmarkStart w:id="15" w:name="_Toc_3_3_0000000015"/>
    </w:p>
    <w:p>
      <w:pPr>
        <w:pStyle w:val="31"/>
        <w:rPr>
          <w:rFonts w:ascii="黑体" w:eastAsia="黑体" w:cs="黑体" w:hAnsi="黑体" w:hint="eastAsia"/>
          <w:color w:val="000000"/>
          <w:sz w:val="32"/>
          <w:lang w:eastAsia="zh-CN"/>
        </w:rPr>
      </w:pPr>
      <w:r>
        <w:rPr>
          <w:rFonts w:ascii="黑体" w:eastAsia="黑体" w:cs="黑体" w:hAnsi="黑体"/>
          <w:color w:val="000000"/>
          <w:sz w:val="32"/>
        </w:rPr>
        <w:t>六、部门主管专项资金预算安排情况及绩效目标</w:t>
      </w:r>
      <w:bookmarkEnd w:id="15"/>
    </w:p>
    <w:p>
      <w:pPr>
        <w:spacing w:before="10" w:after="10" w:line="360" w:lineRule="auto"/>
        <w:ind w:firstLineChars="450" w:firstLine="1440"/>
        <w:jc w:val="both"/>
        <w:outlineLvl w:val="2"/>
        <w:rPr>
          <w:rFonts w:hint="eastAsia"/>
          <w:lang w:eastAsia="zh-CN"/>
        </w:rPr>
        <w:sectPr>
          <w:pgSz w:w="16840" w:h="11900" w:orient="landscape"/>
          <w:pgMar w:top="1361" w:right="1020" w:bottom="1134" w:left="1020" w:header="720" w:footer="720" w:gutter="0"/>
          <w:cols w:num="1" w:space="720"/>
          <w:docGrid w:linePitch="326" w:charSpace="0"/>
        </w:sectPr>
      </w:pPr>
      <w:r>
        <w:rPr>
          <w:rFonts w:ascii="黑体" w:eastAsia="黑体" w:cs="黑体" w:hAnsi="黑体" w:hint="eastAsia"/>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ind w:firstLine="560"/>
      </w:pPr>
      <w:r>
        <w:rPr>
          <w:rFonts w:ascii="方正仿宋_GBK" w:eastAsia="方正仿宋_GBK" w:cs="方正仿宋_GBK" w:hAnsi="方正仿宋_GBK"/>
          <w:color w:val="000000"/>
          <w:sz w:val="28"/>
        </w:rPr>
        <w:t>1、办案补助/办公经费绩效目标表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13052526P00000110060L</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办案补助/办公经费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49.80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49.80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维持局机关正常运转</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1.维持局机关正常经费运转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≤3600元</w:t>
            </w:r>
          </w:p>
        </w:tc>
        <w:tc>
          <w:tcPr>
            <w:tcW w:w="1276" w:type="dxa"/>
            <w:vAlign w:val="center"/>
          </w:tcPr>
          <w:p>
            <w:pPr>
              <w:pStyle w:val="20"/>
            </w:pPr>
            <w:r>
              <w:t>局机关正常运转相关文件</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保障</w:t>
            </w:r>
          </w:p>
        </w:tc>
        <w:tc>
          <w:tcPr>
            <w:tcW w:w="1276" w:type="dxa"/>
            <w:vAlign w:val="center"/>
          </w:tcPr>
          <w:p>
            <w:pPr>
              <w:pStyle w:val="20"/>
            </w:pPr>
            <w:r>
              <w:t>局机关正常运转相关文件</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局机关正常运转相关文件</w:t>
            </w:r>
          </w:p>
        </w:tc>
      </w:tr>
    </w:tbl>
    <w:p>
      <w:pPr>
        <w:sectPr>
          <w:type w:val="continuous"/>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2、办案补助/扫黑除恶经费绩效目标表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13052526P00000110085E</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办案补助/扫黑除恶经费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0.20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0.20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办案补助扫黑除恶专项经费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1.办案补助扫黑除恶专项经费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≤3600元</w:t>
            </w:r>
          </w:p>
        </w:tc>
        <w:tc>
          <w:tcPr>
            <w:tcW w:w="1276" w:type="dxa"/>
            <w:vAlign w:val="center"/>
          </w:tcPr>
          <w:p>
            <w:pPr>
              <w:pStyle w:val="20"/>
            </w:pPr>
            <w:r>
              <w:t>扫黑除恶相关文件</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保障</w:t>
            </w:r>
          </w:p>
        </w:tc>
        <w:tc>
          <w:tcPr>
            <w:tcW w:w="1276" w:type="dxa"/>
            <w:vAlign w:val="center"/>
          </w:tcPr>
          <w:p>
            <w:pPr>
              <w:pStyle w:val="20"/>
            </w:pPr>
            <w:r>
              <w:t>扫黑除恶相关文件</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满意度调查表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3、办案补助/自支人员经费绩效目标表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13052526P00000210020T</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办案补助/自支人员经费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978.00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978.00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用于自收自支人员经费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1.足额支付自支人员经费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≥131人</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978万元</w:t>
            </w:r>
          </w:p>
        </w:tc>
        <w:tc>
          <w:tcPr>
            <w:tcW w:w="1276" w:type="dxa"/>
            <w:vAlign w:val="center"/>
          </w:tcPr>
          <w:p>
            <w:pPr>
              <w:pStyle w:val="20"/>
            </w:pPr>
            <w:r>
              <w:t>局工资执行表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局工资执行表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局工资执行表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4、餐厨垃圾处置费绩效目标表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13052526P00005510011P</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餐厨垃圾处置费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14.22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14.22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餐厨垃圾处置运营服务费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1.餐厨垃圾处置运营服务费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餐厨垃圾日清运数量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≥10吨/天</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餐厨余垃圾设备质量标准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清运餐厨余垃圾设备质量是否合格</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&lt;24小时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对周围生态环境质量有显著改善</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5、城管执法专项经费绩效目标表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13052526P00000210177Q</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城管执法专项经费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用于城管局专项业务正常开展</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1.保障城管局专项业务正常运转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拆违面积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拆违面积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≥300平方米</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违建拆除是否到位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违建拆除是否到位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到位</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违建拆除时效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违建拆除时效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≤48小时内</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拆违成本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拆违成本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19万元</w:t>
            </w:r>
          </w:p>
        </w:tc>
        <w:tc>
          <w:tcPr>
            <w:tcW w:w="1276" w:type="dxa"/>
            <w:vAlign w:val="center"/>
          </w:tcPr>
          <w:p>
            <w:pPr>
              <w:pStyle w:val="20"/>
            </w:pPr>
            <w:r>
              <w:t>合同</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受益群众满意度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受益群众满意度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6、城区环卫项目人员工资绩效目标表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13052526P000040100237</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城区环卫项目人员工资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794.00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794.00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城区环卫项目人员工资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1.城区环卫项目人员工资按时发放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794万元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7、城区环卫一体化项目运营费绩效目标表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13052526P000040100262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城区环卫一体化项目运营费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55.00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55.00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城区环卫一体化项目运营费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1.城区环卫一体化项目运营费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≥3处</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55万元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8、城区基础设施配套费/污水处理厂运营费绩效目标表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13052526P00005210020Y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城区基础设施配套费/污水处理厂运营费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污水处理厂运营费正常拨付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1.污水处理厂运营费正常拨付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≤750万元</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9、城区路灯电费绩效目标表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13052526P000003100266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城区路灯电费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54.00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54.00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保障隆尧县城区亮灯率</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1.保障隆尧县城区亮灯率</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新增亮灯街道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新增亮灯街道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亮化率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亮灯时间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亮灯时间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根据季节变化及时亮灯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10、城区市政维护费绩效目标表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13052526P000045100028</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城区市政维护费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100.00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100.00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隆尧县城区市政维修维护费用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1.隆尧县城区市政维修维护费用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公共设施维修数量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需维修公共设施占总数的比例</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公共设施维护质量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公共设施维护质量是否达标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维护响应时间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维护响应时间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11、城区园林绿化养护费绩效目标表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13052526P00004110002H</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城区园林绿化养护费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43.20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43.20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隆尧县城区绿化养护费用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1.隆尧县城区绿化养护费用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需养护绿地面积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需养护绿地面积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≥125万平方米</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绿化养护标准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绿化养护标准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二级标准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杂草清理时效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杂草清理时效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随时清理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城区绿化率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绿地面积占城区总面积比例</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12、城乡环卫一体化项目二标段人员工资绩效目标表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13052526P00004010022K</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城乡环卫一体化项目二标段人员工资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451.00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451.00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用于城乡环卫一体化二标段人员工资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1.城乡环卫一体化项目二标段人员工资按时发放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451万元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13、城乡环卫一体化项目二标段运营费绩效目标表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13052526P00004010025E</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城乡环卫一体化项目二标段运营费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城乡环卫一体化项目二标段运营费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1.城乡环卫一体化项目二标段运营费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垃圾收集转运类环卫专用车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年生产量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创建垃圾分类示范小区</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创建垃圾分类示范小区</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≥2个</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医疗垃圾清运时间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医疗垃圾清运时间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日清</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≥150吨</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满意率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满意率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14、城乡环卫一体化项目一标段人员工资绩效目标表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13052526P000040100210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城乡环卫一体化项目一标段人员工资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1151.00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1151.00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城乡环卫一体化项目一标段人员工资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1.城乡环卫一体化项目一标段人员工资按时发放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≥800人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1151万元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15、城乡环卫一体化项目一标段运营费绩效目标表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13052526P00004010024T</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城乡环卫一体化项目一标段运营费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城乡环卫一体化项目一标段运营费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1.城乡环卫一体化项目一标段运营费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≥3处</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29万元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16、大气环境治理运行维护费绩效目标表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13052526P00000210178C</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大气环境治理运行维护费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大气环境治理运行维护费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1.资金保障相关设备正常运转，维修维护及时</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购置设备数量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购置设备数量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≤5台</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设备维护次数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全年设备维护次数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维修设备时限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维修设备时限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是否改善周边生态环境质量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17、东方垃圾中转站运营费绩效目标表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13052526P000055100104</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东方垃圾中转站运营费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3.17</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3.17</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东方垃圾中转站运营费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1.东方垃圾中转站运营费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18、冀财建[2024]144号/下达城市地下管网及设施专项2024年中央基建投资预算/隆尧县老旧小区燃气管网更新改造工程绩效目标表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13052526P000014100140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冀财建[2024]144号/下达城市地下管网及设施专项2024年中央基建投资预算/隆尧县老旧小区燃气管网更新改造工程</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212.94</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212.94</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老旧小区燃气管网更新改造项目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1.老旧小区燃气管网更新改造项目</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涉及住户</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涉及住户</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≥7800户</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成果检验完成率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成果检验完成率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工程建设工期</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工程建设工期</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≤13个月</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预算控制数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预算控制数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可研报告，工作计划要求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是否提升居民燃气安全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是否提升居民燃气安全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可研报告，工作计划要求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群众安全感满意度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群众安全感满意度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可研报告，工作计划要求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19、冀财债[2023]42号专项债券/官庄桥停车场建设工程绩效目标表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13052526P00000210181Y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冀财债[2023]42号专项债券/官庄桥停车场建设工程</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47.99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47.99</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用于官庄桥停车场建设项目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1.官庄桥停车场建设项目按时完工</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路面硬化面积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路面硬化面积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≥8800平方米</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工程总日历天数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工程总日历天数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≤180天</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数据受众满意度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数据受众满意度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20、冀财债[2023]9号专项债券/隆尧县清洁能源供热建设项目绩效目标表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13052526P00000210180B</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冀财债[2023]9号专项债券/隆尧县清洁能源供热建设项目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1247.40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1247.40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用于清洁能源集中供热建设项目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1.清洁能源集中供热建设项目按期完工</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项目占地面积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项目占地面积（亩数）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≥19.98亩</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质量达标率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质量达标率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建设工期</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建设工期时长</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≤12月</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项目可研报告</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明显改善</w:t>
            </w:r>
          </w:p>
        </w:tc>
        <w:tc>
          <w:tcPr>
            <w:tcW w:w="1276" w:type="dxa"/>
            <w:vAlign w:val="center"/>
          </w:tcPr>
          <w:p>
            <w:pPr>
              <w:pStyle w:val="20"/>
            </w:pPr>
            <w:r>
              <w:t>项目可研报告</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项目可研报告</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21、莲洁垃圾处理厂运营费绩效目标表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13052526P000055100085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莲洁垃圾处理厂运营费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12.89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12.89</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莲洁垃圾处理厂费用补贴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1.莲洁垃圾处理厂费用补贴</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1座</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22、社保清欠工作养老保险和职业年金财政补助绩效目标表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13052526P000002101790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社保清欠工作养老保险和职业年金财政补助</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162.02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162.02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用于职工职业年金及养老保险</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1.足额缴纳职工职业年金及养老保险</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缴费人数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每年职业年金缴费人数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≥130人</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是否足额缴纳</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是否足额缴纳</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是否及时缴纳</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是否及时缴纳</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预算金额</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预算金额</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162.02万元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可持续影响指标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23、土地出让金/东方垃圾中转站运营费绩效目标表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13052526P000055100156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土地出让金/东方垃圾中转站运营费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东方垃圾中转站运营费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1.东方垃圾中转站运营费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24、土地出让金/垃圾焚烧处理费绩效目标表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13052526P00005510012B</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土地出让金/垃圾焚烧处理费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210.00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210.00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垃圾及时焚烧处理，费用及时结算</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1.垃圾及时焚烧处理，费用及时结算</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垃圾清运数量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日垃圾清运数量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垃圾清运情况</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清运垃圾占比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≥98%</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项目运行时间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本项目运行时间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≥40月</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对周围生态环境质量有显著改善</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25、土地出让金/莲洁垃圾处理厂运营费绩效目标表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13052526P00005510013Y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土地出让金/莲洁垃圾处理厂运营费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莲洁垃圾处理厂运营费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1.莲洁垃圾处理厂运营费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1座</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26、土地出让金/兴隆垃圾中转站运营费绩效目标表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13052526P00005510014J</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土地出让金/兴隆垃圾中转站运营费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30.00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30.00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27、退役军人公益岗绩效目标表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13052526P00870710028Y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退役军人公益岗</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12.12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12.12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足额保障退役军人专岗人员工资及社保</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1.足额保障退役军人专岗人员工资及社保</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3人</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≤12.13万元</w:t>
            </w:r>
          </w:p>
        </w:tc>
        <w:tc>
          <w:tcPr>
            <w:tcW w:w="1276" w:type="dxa"/>
            <w:vAlign w:val="center"/>
          </w:tcPr>
          <w:p>
            <w:pPr>
              <w:pStyle w:val="20"/>
            </w:pPr>
            <w:r>
              <w:t>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28、污水处理厂运营费绩效目标表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13052526P000052100180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污水处理厂运营费按时拨付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1.污水处理厂运营费按时拨付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29、污水处理费/污水处理厂运营费绩效目标表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13052526P00005210019K</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污水处理费/污水处理厂运营费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400.00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400.00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污水处理厂运营费按时拨付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1.污水处理厂运营费按时拨付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≥400万元</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30、兴隆垃圾处理厂运营费绩效目标表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13052526P00005510007H</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兴隆垃圾处理厂运营费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121.60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121.60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兴隆垃圾处理厂费用补贴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1.兴隆垃圾处理厂费用补贴</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1个</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31、兴隆垃圾中转站运营费绩效目标表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13052526P00005510009Q</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兴隆垃圾中转站运营费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6.91</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6.91</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32、执法执勤车辆运行费绩效目标表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13052526P000002101765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执法执勤车辆运行费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用于城管局执法车辆燃料等费用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1.保障城管局执法执勤车辆正常运转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11辆</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车辆正常使用情况</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车辆正常使用率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车辆维修时效性</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保障车辆维修时效性</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24小时内</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车辆年平均成本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车辆年平均成本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≤15万元</w:t>
            </w:r>
          </w:p>
        </w:tc>
        <w:tc>
          <w:tcPr>
            <w:tcW w:w="1276" w:type="dxa"/>
            <w:vAlign w:val="center"/>
          </w:tcPr>
          <w:p>
            <w:pPr>
              <w:pStyle w:val="20"/>
            </w:pPr>
            <w:r>
              <w:t>往年数据</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机动车年检率（%）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机动车年检率（%）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往年数据</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往年数据</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2"/>
      </w:pPr>
      <w:bookmarkStart w:id="17" w:name="_Toc_3_3_0000000017"/>
      <w:r>
        <w:rPr>
          <w:rFonts w:ascii="黑体" w:eastAsia="黑体" w:cs="黑体" w:hAnsi="黑体"/>
          <w:color w:val="000000"/>
          <w:sz w:val="32"/>
        </w:rPr>
        <w:t>八、政府采购预算情况</w:t>
      </w:r>
      <w:bookmarkEnd w:id="17"/>
    </w:p>
    <w:p>
      <w:pPr>
        <w:jc w:val="center"/>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vMerge/>
            <w:tcBorders>
              <w:top w:val="single" w:sz="6" w:space="0" w:color="000000"/>
              <w:left w:val="single" w:sz="6" w:space="0" w:color="000000"/>
              <w:bottom w:val="single" w:sz="6" w:space="0" w:color="000000"/>
              <w:right w:val="single" w:sz="6" w:space="0" w:color="000000"/>
            </w:tcBorders>
          </w:tcPr>
          <w:p/>
        </w:tc>
        <w:tc>
          <w:tcPr>
            <w:tcW w:w="709"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财政拨款结转</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2"/>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vAlign w:val="center"/>
          </w:tcPr>
          <w:p>
            <w:pPr>
              <w:pStyle w:val="23"/>
            </w:pPr>
            <w:r>
              <w:t>100.00</w:t>
            </w:r>
          </w:p>
        </w:tc>
      </w:tr>
      <w:tr>
        <w:tc>
          <w:tcPr>
            <w:tcW w:w="1701" w:type="dxa"/>
            <w:vAlign w:val="center"/>
          </w:tcPr>
          <w:p>
            <w:pPr>
              <w:pStyle w:val="22"/>
            </w:pPr>
            <w:r>
              <w:t>隆尧县城市管理综合行政执法局本级小计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2"/>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vAlign w:val="center"/>
          </w:tcPr>
          <w:p>
            <w:pPr>
              <w:pStyle w:val="23"/>
            </w:pPr>
            <w:r>
              <w:t>100.00</w:t>
            </w:r>
          </w:p>
        </w:tc>
      </w:tr>
      <w:tr>
        <w:tc>
          <w:tcPr>
            <w:tcW w:w="1701" w:type="dxa"/>
            <w:vAlign w:val="center"/>
          </w:tcPr>
          <w:p>
            <w:pPr>
              <w:pStyle w:val="20"/>
            </w:pPr>
            <w:r>
              <w:t>城区市政维护费</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r>
              <w:t>市政公用设施管理服务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r>
              <w:t>C13020000</w:t>
            </w: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1"/>
            </w:pPr>
            <w:r>
              <w:t>项</w:t>
            </w: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r>
              <w:t>1</w:t>
            </w: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vAlign w:val="center"/>
          </w:tcPr>
          <w:p>
            <w:pPr>
              <w:pStyle w:val="19"/>
            </w:pPr>
            <w:r>
              <w:t>100.00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_3_3_0000000018"/>
      <w:r>
        <w:rPr>
          <w:rFonts w:ascii="黑体" w:eastAsia="黑体" w:cs="黑体" w:hAnsi="黑体"/>
          <w:color w:val="000000"/>
          <w:sz w:val="32"/>
        </w:rPr>
        <w:t>九、国有资产信息</w:t>
      </w:r>
      <w:bookmarkEnd w:id="18"/>
    </w:p>
    <w:p>
      <w:pPr>
        <w:spacing w:line="500" w:lineRule="exact"/>
        <w:ind w:firstLine="560"/>
      </w:pPr>
      <w:r>
        <w:rPr>
          <w:rFonts w:eastAsia="方正仿宋_GBK"/>
          <w:color w:val="000000"/>
          <w:sz w:val="28"/>
        </w:rPr>
        <w:t>隆尧县城市管理综合行政执法局（含所属单位）上年末固定资产金额为2606.92万元（详见下表）。本年度拟购置固定资产总额为0.00万元，已按要求列入政府采购预算，详见政府采购预算表。</w:t>
      </w:r>
    </w:p>
    <w:p>
      <w:pPr>
        <w:jc w:val="center"/>
        <w:rPr>
          <w:rFonts w:ascii="方正小标宋_GBK" w:eastAsia="方正小标宋_GBK" w:cs="方正小标宋_GBK" w:hAnsi="方正小标宋_GBK" w:hint="eastAsia"/>
          <w:color w:val="000000"/>
          <w:sz w:val="36"/>
          <w:lang w:eastAsia="zh-CN"/>
        </w:rPr>
      </w:pPr>
    </w:p>
    <w:p>
      <w:pPr>
        <w:jc w:val="center"/>
        <w:rPr>
          <w:rFonts w:ascii="方正小标宋_GBK" w:eastAsia="方正小标宋_GBK" w:cs="方正小标宋_GBK" w:hAnsi="方正小标宋_GBK" w:hint="eastAsia"/>
          <w:color w:val="000000"/>
          <w:sz w:val="36"/>
          <w:lang w:eastAsia="zh-CN"/>
        </w:rPr>
      </w:pPr>
    </w:p>
    <w:p>
      <w:pPr>
        <w:jc w:val="center"/>
        <w:rPr>
          <w:rFonts w:ascii="方正小标宋_GBK" w:eastAsia="方正小标宋_GBK" w:cs="方正小标宋_GBK" w:hAnsi="方正小标宋_GBK" w:hint="eastAsia"/>
          <w:color w:val="000000"/>
          <w:sz w:val="36"/>
          <w:lang w:eastAsia="zh-CN"/>
        </w:rPr>
      </w:pPr>
    </w:p>
    <w:p>
      <w:pPr>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506隆尧县城市管理综合行政执法局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r>
              <w:t>2606.92</w:t>
            </w:r>
          </w:p>
        </w:tc>
      </w:tr>
      <w:tr>
        <w:tc>
          <w:tcPr>
            <w:tcW w:w="7370" w:type="dxa"/>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rPr>
                <w:rFonts w:hint="eastAsia"/>
                <w:lang w:eastAsia="zh-CN"/>
              </w:rPr>
            </w:pPr>
          </w:p>
        </w:tc>
        <w:tc>
          <w:tcPr>
            <w:tcW w:w="2835" w:type="dxa"/>
            <w:vAlign w:val="center"/>
          </w:tcPr>
          <w:p>
            <w:pPr>
              <w:pStyle w:val="19"/>
            </w:pPr>
            <w:r>
              <w:t>2606.92</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9"/>
      <w:r>
        <w:rPr>
          <w:rFonts w:ascii="黑体" w:eastAsia="黑体" w:cs="黑体" w:hAnsi="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eastAsia="黑体" w:cs="黑体" w:hAnsi="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文泉驿微米黑"/>
    <w:panose1 w:val="02010609060101010101"/>
    <w:charset w:val="86"/>
    <w:family w:val="modern"/>
    <w:pitch w:val="variable"/>
    <w:sig w:usb0="800002BF" w:usb1="38CF7CFA" w:usb2="00000016" w:usb3="00000000" w:csb0="00040001" w:csb1="00000000"/>
  </w:font>
  <w:font w:name="方正楷体_GBK">
    <w:altName w:val="宋体"/>
    <w:panose1 w:val="03000509000000000000"/>
    <w:charset w:val="86"/>
    <w:family w:val="script"/>
    <w:pitch w:val="variable"/>
    <w:sig w:usb0="00000001" w:usb1="080E0000" w:usb2="00000010" w:usb3="00000000" w:csb0="00040000" w:csb1="00000000"/>
  </w:font>
  <w:font w:name="方正小标宋_GBK">
    <w:altName w:val="微软雅黑"/>
    <w:panose1 w:val="03000509000000000000"/>
    <w:charset w:val="86"/>
    <w:family w:val="script"/>
    <w:pitch w:val="variable"/>
    <w:sig w:usb0="00000001" w:usb1="080E0000" w:usb2="00000010" w:usb3="00000000" w:csb0="00040000" w:csb1="00000000"/>
  </w:font>
  <w:font w:name="方正书宋_GBK">
    <w:altName w:val="微软雅黑"/>
    <w:panose1 w:val="03000509000000000000"/>
    <w:charset w:val="86"/>
    <w:family w:val="script"/>
    <w:pitch w:val="variable"/>
    <w:sig w:usb0="00000001" w:usb1="080E0000" w:usb2="00000010" w:usb3="00000000" w:csb0="00040000" w:csb1="00000000"/>
  </w:font>
  <w:font w:name="方正仿宋_GBK">
    <w:altName w:val="微软雅黑"/>
    <w:panose1 w:val="03000509000000000000"/>
    <w:charset w:val="86"/>
    <w:family w:val="script"/>
    <w:pitch w:val="variable"/>
    <w:sig w:usb0="00000001" w:usb1="080E0000" w:usb2="00000010" w:usb3="00000000" w:csb0="00040000" w:csb1="00000000"/>
  </w:font>
  <w:font w:name="Arial">
    <w:altName w:val="DejaVu Sans"/>
    <w:panose1 w:val="020B0604020202020204"/>
    <w:charset w:val="00"/>
    <w:family w:val="swiss"/>
    <w:pitch w:val="variable"/>
    <w:sig w:usb0="E0002AFF" w:usb1="C0007843" w:usb2="00000009" w:usb3="00000000" w:csb0="000001FF" w:csb1="00000000"/>
  </w:font>
  <w:font w:name="仿宋">
    <w:altName w:val="永中仿宋"/>
    <w:panose1 w:val="02010609060101010101"/>
    <w:charset w:val="86"/>
    <w:family w:val="modern"/>
    <w:pitch w:val="variable"/>
    <w:sig w:usb0="800002BF" w:usb1="38CF7CFA" w:usb2="00000016" w:usb3="00000000" w:csb0="00040001" w:csb1="00000000"/>
  </w:font>
  <w:font w:name="Times New Roman">
    <w:altName w:val="DejaVu Sans"/>
    <w:panose1 w:val="02020603050405020304"/>
    <w:charset w:val="00"/>
    <w:family w:val="roman"/>
    <w:pitch w:val="variable"/>
    <w:sig w:usb0="E0002AFF" w:usb1="C0007841" w:usb2="00000009" w:usb3="00000000" w:csb0="000001FF" w:csb1="00000000"/>
  </w:font>
  <w:font w:name="宋体">
    <w:altName w:val="文泉驿微米黑"/>
    <w:panose1 w:val="02010600030101010101"/>
    <w:charset w:val="86"/>
    <w:family w:val="auto"/>
    <w:pitch w:val="variable"/>
    <w:sig w:usb0="00000003" w:usb1="288F0000" w:usb2="00000016"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59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58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宋体"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jc w:val="right"/>
    </w:pPr>
    <w:rPr>
      <w:rFonts w:ascii="方正小标宋_GBK" w:eastAsia="方正小标宋_GBK" w:cs="方正小标宋_GBK" w:hAnsi="方正小标宋_GBK"/>
    </w:rPr>
  </w:style>
  <w:style w:type="paragraph" w:customStyle="1" w:styleId="16">
    <w:name w:val="单元格样式21"/>
    <w:basedOn w:val="0"/>
    <w:pPr>
      <w:jc w:val="center"/>
    </w:pPr>
    <w:rPr>
      <w:rFonts w:ascii="方正小标宋_GBK" w:eastAsia="方正小标宋_GBK" w:cs="方正小标宋_GBK" w:hAnsi="方正小标宋_GBK"/>
    </w:rPr>
  </w:style>
  <w:style w:type="paragraph" w:customStyle="1" w:styleId="17">
    <w:name w:val="单元格样式20"/>
    <w:basedOn w:val="0"/>
    <w:rPr>
      <w:rFonts w:ascii="方正小标宋_GBK" w:eastAsia="方正小标宋_GBK" w:cs="方正小标宋_GBK" w:hAnsi="方正小标宋_GBK"/>
    </w:rPr>
  </w:style>
  <w:style w:type="paragraph" w:customStyle="1" w:styleId="18">
    <w:name w:val="单元格样式1"/>
    <w:basedOn w:val="0"/>
    <w:pPr>
      <w:jc w:val="center"/>
    </w:pPr>
    <w:rPr>
      <w:rFonts w:ascii="方正书宋_GBK" w:eastAsia="方正书宋_GBK" w:cs="方正书宋_GBK" w:hAnsi="方正书宋_GBK"/>
      <w:b/>
      <w:sz w:val="21"/>
    </w:rPr>
  </w:style>
  <w:style w:type="paragraph" w:customStyle="1" w:styleId="19">
    <w:name w:val="单元格样式4"/>
    <w:basedOn w:val="0"/>
    <w:pPr>
      <w:jc w:val="right"/>
    </w:pPr>
    <w:rPr>
      <w:rFonts w:ascii="方正书宋_GBK" w:eastAsia="方正书宋_GBK" w:cs="方正书宋_GBK" w:hAnsi="方正书宋_GBK"/>
      <w:sz w:val="21"/>
    </w:rPr>
  </w:style>
  <w:style w:type="paragraph" w:customStyle="1" w:styleId="20">
    <w:name w:val="单元格样式2"/>
    <w:basedOn w:val="0"/>
    <w:rPr>
      <w:rFonts w:ascii="方正书宋_GBK" w:eastAsia="方正书宋_GBK" w:cs="方正书宋_GBK" w:hAnsi="方正书宋_GBK"/>
      <w:sz w:val="21"/>
    </w:rPr>
  </w:style>
  <w:style w:type="paragraph" w:customStyle="1" w:styleId="21">
    <w:name w:val="单元格样式3"/>
    <w:basedOn w:val="0"/>
    <w:pPr>
      <w:jc w:val="center"/>
    </w:pPr>
    <w:rPr>
      <w:rFonts w:ascii="方正书宋_GBK" w:eastAsia="方正书宋_GBK" w:cs="方正书宋_GBK" w:hAnsi="方正书宋_GBK"/>
      <w:sz w:val="21"/>
    </w:rPr>
  </w:style>
  <w:style w:type="paragraph" w:customStyle="1" w:styleId="22">
    <w:name w:val="单元格样式6"/>
    <w:basedOn w:val="0"/>
    <w:pPr>
      <w:jc w:val="center"/>
    </w:pPr>
    <w:rPr>
      <w:rFonts w:ascii="方正书宋_GBK" w:eastAsia="方正书宋_GBK" w:cs="方正书宋_GBK" w:hAnsi="方正书宋_GBK"/>
      <w:b/>
      <w:sz w:val="21"/>
    </w:rPr>
  </w:style>
  <w:style w:type="paragraph" w:customStyle="1" w:styleId="23">
    <w:name w:val="单元格样式7"/>
    <w:basedOn w:val="0"/>
    <w:pPr>
      <w:jc w:val="right"/>
    </w:pPr>
    <w:rPr>
      <w:rFonts w:ascii="方正书宋_GBK" w:eastAsia="方正书宋_GBK" w:cs="方正书宋_GBK" w:hAnsi="方正书宋_GBK"/>
      <w:b/>
      <w:sz w:val="21"/>
    </w:rPr>
  </w:style>
  <w:style w:type="paragraph" w:customStyle="1" w:styleId="24">
    <w:name w:val="单元格样式5"/>
    <w:basedOn w:val="0"/>
    <w:rPr>
      <w:rFonts w:ascii="方正书宋_GBK" w:eastAsia="方正书宋_GBK" w:cs="方正书宋_GBK" w:hAnsi="方正书宋_GBK"/>
      <w:b/>
      <w:sz w:val="21"/>
    </w:rPr>
  </w:style>
  <w:style w:type="paragraph" w:customStyle="1" w:styleId="25">
    <w:name w:val="插入文本样式-插入预算公开部门职责文件"/>
    <w:basedOn w:val="0"/>
    <w:pPr>
      <w:spacing w:line="500" w:lineRule="exact"/>
      <w:ind w:firstLine="560"/>
    </w:pPr>
    <w:rPr>
      <w:rFonts w:eastAsia="方正仿宋_GBK"/>
      <w:sz w:val="28"/>
    </w:rPr>
  </w:style>
  <w:style w:type="paragraph" w:customStyle="1" w:styleId="26">
    <w:name w:val="插入文本样式-插入预算公开部门预算安排的总体情况文件"/>
    <w:basedOn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29">
    <w:name w:val="插入文本样式-插入总体目标文件"/>
    <w:basedOn w:val="0"/>
    <w:pPr>
      <w:spacing w:line="500" w:lineRule="exact"/>
      <w:ind w:firstLine="560"/>
    </w:pPr>
    <w:rPr>
      <w:rFonts w:eastAsia="方正仿宋_GBK"/>
      <w:sz w:val="28"/>
    </w:rPr>
  </w:style>
  <w:style w:type="paragraph" w:customStyle="1" w:styleId="30">
    <w:name w:val="插入文本样式-插入职责分类绩效目标文件"/>
    <w:basedOn w:val="0"/>
    <w:pPr>
      <w:spacing w:line="500" w:lineRule="exact"/>
      <w:ind w:firstLine="560"/>
    </w:pPr>
    <w:rPr>
      <w:rFonts w:eastAsia="方正仿宋_GBK"/>
      <w:sz w:val="28"/>
    </w:rPr>
  </w:style>
  <w:style w:type="paragraph" w:customStyle="1" w:styleId="31">
    <w:name w:val="插入文本样式-插入实现年度发展规划目标的保障措施文件"/>
    <w:basedOn w:val="0"/>
    <w:pPr>
      <w:spacing w:line="500" w:lineRule="exact"/>
      <w:ind w:firstLine="560"/>
    </w:pPr>
    <w:rPr>
      <w:rFonts w:eastAsia="方正仿宋_GBK"/>
      <w:sz w:val="28"/>
    </w:rPr>
  </w:style>
  <w:style w:type="paragraph" w:customStyle="1" w:styleId="32">
    <w:name w:val="单元格样式23"/>
    <w:pPr>
      <w:jc w:val="right"/>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ind w:firstLine="560"/>
    </w:pPr>
    <w:rPr>
      <w:rFonts w:eastAsia="方正仿宋_GBK"/>
      <w:color w:val="000000"/>
      <w:sz w:val="28"/>
    </w:rPr>
  </w:style>
  <w:style w:type="paragraph" w:styleId="36">
    <w:name w:val="header"/>
    <w:basedOn w:val="0"/>
    <w:pPr>
      <w:pBdr>
        <w:bottom w:val="single" w:sz="6" w:space="1" w:color="auto"/>
      </w:pBdr>
      <w:tabs>
        <w:tab w:val="center" w:pos="4153"/>
        <w:tab w:val="right" w:pos="8306"/>
      </w:tabs>
      <w:snapToGrid w:val="0"/>
      <w:jc w:val="center"/>
    </w:pPr>
    <w:rPr>
      <w:sz w:val="18"/>
      <w:szCs w:val="18"/>
    </w:rPr>
  </w:style>
  <w:style w:type="paragraph" w:styleId="37">
    <w:name w:val="footer"/>
    <w:basedOn w:val="0"/>
    <w:pPr>
      <w:tabs>
        <w:tab w:val="center" w:pos="4153"/>
        <w:tab w:val="right" w:pos="8306"/>
      </w:tabs>
      <w:snapToGrid w:val="0"/>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2257F5F-F6CF-42D8-859C-E4F187F9F11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62</Pages>
  <Words>0</Words>
  <Characters>21532</Characters>
  <Lines>0</Lines>
  <Paragraphs>294</Paragraphs>
  <CharactersWithSpaces>28710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2</cp:revision>
  <dcterms:created xsi:type="dcterms:W3CDTF">2026-02-05T02:15:00Z</dcterms:created>
  <dcterms:modified xsi:type="dcterms:W3CDTF">2026-02-24T08:18:52Z</dcterms:modified>
</cp:coreProperties>
</file>