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color w:val="000000"/>
          <w:sz w:val="44"/>
        </w:rPr>
        <w:t>2026年单位预算信息公开目录</w:t>
      </w:r>
    </w:p>
    <w:p>
      <w:pPr>
        <w:jc w:val="center"/>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t>一、隆尧县城市管理综合行政执法局本级收支预算</w:t>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jc w:val="center"/>
        <w:outlineLvl w:val="3"/>
      </w:pPr>
      <w:bookmarkStart w:id="0" w:name="_Toc_4_4_0000000001"/>
      <w:r>
        <w:rPr>
          <w:rFonts w:ascii="方正小标宋_GBK" w:eastAsia="方正小标宋_GBK" w:cs="方正小标宋_GBK" w:hAnsi="方正小标宋_GBK"/>
          <w:color w:val="000000"/>
          <w:sz w:val="44"/>
        </w:rPr>
        <w:t>一、隆尧县城市管理综合行政执法局本级收支预算</w:t>
      </w:r>
      <w:bookmarkEnd w:id="0"/>
    </w:p>
    <w:p>
      <w:pPr>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506001隆尧县城市管理综合行政执法局本级</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r>
              <w:t>6750.84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r>
              <w:t>1460.00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四、财政专户管理资金收入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五、单位资金</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23.42</w:t>
            </w:r>
          </w:p>
        </w:tc>
      </w:tr>
      <w:tr>
        <w:trPr>
          <w:trHeight w:val="369"/>
        </w:trPr>
        <w:tc>
          <w:tcPr>
            <w:tcW w:w="850" w:type="dxa"/>
            <w:vAlign w:val="center"/>
          </w:tcPr>
          <w:p>
            <w:pPr>
              <w:pStyle w:val="21"/>
            </w:pPr>
            <w:r>
              <w:t>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十、卫生健康支出</w:t>
            </w:r>
          </w:p>
        </w:tc>
        <w:tc>
          <w:tcPr>
            <w:tcW w:w="2126" w:type="dxa"/>
            <w:vAlign w:val="center"/>
          </w:tcPr>
          <w:p>
            <w:pPr>
              <w:pStyle w:val="19"/>
            </w:pPr>
            <w:r>
              <w:t>10.75</w:t>
            </w:r>
          </w:p>
        </w:tc>
      </w:tr>
      <w:tr>
        <w:trPr>
          <w:trHeight w:val="369"/>
        </w:trPr>
        <w:tc>
          <w:tcPr>
            <w:tcW w:w="850" w:type="dxa"/>
            <w:vAlign w:val="center"/>
          </w:tcPr>
          <w:p>
            <w:pPr>
              <w:pStyle w:val="21"/>
            </w:pPr>
            <w:r>
              <w:t>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十一、节能环保支出</w:t>
            </w:r>
          </w:p>
        </w:tc>
        <w:tc>
          <w:tcPr>
            <w:tcW w:w="2126" w:type="dxa"/>
            <w:vAlign w:val="center"/>
          </w:tcPr>
          <w:p>
            <w:pPr>
              <w:pStyle w:val="19"/>
            </w:pPr>
            <w:r>
              <w:t>19.00</w:t>
            </w:r>
          </w:p>
        </w:tc>
      </w:tr>
      <w:tr>
        <w:trPr>
          <w:trHeight w:val="369"/>
        </w:trPr>
        <w:tc>
          <w:tcPr>
            <w:tcW w:w="850" w:type="dxa"/>
            <w:vAlign w:val="center"/>
          </w:tcPr>
          <w:p>
            <w:pPr>
              <w:pStyle w:val="21"/>
            </w:pPr>
            <w:r>
              <w:t>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十二、城乡社区支出</w:t>
            </w:r>
          </w:p>
        </w:tc>
        <w:tc>
          <w:tcPr>
            <w:tcW w:w="2126" w:type="dxa"/>
            <w:vAlign w:val="center"/>
          </w:tcPr>
          <w:p>
            <w:pPr>
              <w:pStyle w:val="19"/>
            </w:pPr>
            <w:r>
              <w:t>8139.80</w:t>
            </w:r>
          </w:p>
        </w:tc>
      </w:tr>
      <w:tr>
        <w:trPr>
          <w:trHeight w:val="369"/>
        </w:trPr>
        <w:tc>
          <w:tcPr>
            <w:tcW w:w="850" w:type="dxa"/>
            <w:vAlign w:val="center"/>
          </w:tcPr>
          <w:p>
            <w:pPr>
              <w:pStyle w:val="21"/>
            </w:pPr>
            <w:r>
              <w:t>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二十、住房保障支出</w:t>
            </w:r>
          </w:p>
        </w:tc>
        <w:tc>
          <w:tcPr>
            <w:tcW w:w="2126" w:type="dxa"/>
            <w:vAlign w:val="center"/>
          </w:tcPr>
          <w:p>
            <w:pPr>
              <w:pStyle w:val="19"/>
            </w:pPr>
            <w:r>
              <w:t>17.86</w:t>
            </w:r>
          </w:p>
        </w:tc>
      </w:tr>
      <w:tr>
        <w:trPr>
          <w:trHeight w:val="369"/>
        </w:trPr>
        <w:tc>
          <w:tcPr>
            <w:tcW w:w="850" w:type="dxa"/>
            <w:vAlign w:val="center"/>
          </w:tcPr>
          <w:p>
            <w:pPr>
              <w:pStyle w:val="21"/>
            </w:pPr>
            <w:r>
              <w:t>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本年收入合计</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本年支出合计</w:t>
            </w:r>
          </w:p>
        </w:tc>
        <w:tc>
          <w:tcPr>
            <w:tcW w:w="2126" w:type="dxa"/>
            <w:vAlign w:val="center"/>
          </w:tcPr>
          <w:p>
            <w:pPr>
              <w:pStyle w:val="23"/>
            </w:pPr>
            <w:r>
              <w:t>8210.84</w:t>
            </w:r>
          </w:p>
        </w:tc>
      </w:tr>
      <w:tr>
        <w:trPr>
          <w:trHeight w:val="369"/>
        </w:trPr>
        <w:tc>
          <w:tcPr>
            <w:tcW w:w="850" w:type="dxa"/>
            <w:vAlign w:val="center"/>
          </w:tcPr>
          <w:p>
            <w:pPr>
              <w:pStyle w:val="21"/>
            </w:pPr>
            <w:r>
              <w:t>32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上年结转结余</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收入总计</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支出总计</w:t>
            </w:r>
          </w:p>
        </w:tc>
        <w:tc>
          <w:tcPr>
            <w:tcW w:w="2126" w:type="dxa"/>
            <w:vAlign w:val="center"/>
          </w:tcPr>
          <w:p>
            <w:pPr>
              <w:pStyle w:val="23"/>
            </w:pPr>
            <w:r>
              <w:t>8210.84</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506001隆尧县城市管理综合行政执法局本级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9072" w:type="dxa"/>
            <w:gridSpan w:val="8"/>
            <w:tcBorders>
              <w:top w:val="single" w:sz="6" w:space="0" w:color="000000"/>
              <w:left w:val="single" w:sz="6" w:space="0" w:color="000000"/>
              <w:bottom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科目    编码</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1134" w:type="dxa"/>
            <w:vMerge/>
            <w:tcBorders>
              <w:top w:val="single" w:sz="6" w:space="0" w:color="000000"/>
              <w:left w:val="single" w:sz="6" w:space="0" w:color="000000"/>
              <w:bottom w:val="single" w:sz="6" w:space="0" w:color="000000"/>
              <w:right w:val="single" w:sz="6" w:space="0" w:color="000000"/>
            </w:tcBorders>
          </w:tc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小计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财政拨款 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财政专户 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事业收入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经营收入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上级补助收入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附属单位上缴收入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10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节能环保支出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21103</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污染防治</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2110301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大气</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城乡社区支出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8139.80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8139.80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8139.80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城乡社区管理事务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2185.48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2185.48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2185.48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1401.48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1401.48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1401.48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2120104</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城管执法</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2120199</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其他城乡社区管理事务支出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城乡社区公共设施</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2120303</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小城镇基础设施建设</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2120399</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其他城乡社区公共设施支出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2120501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21208</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国有土地使用权出让收入安排的支出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2120816</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农业农村生态环境支出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21213</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城市基础设施配套费安排的支出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2121302</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城市环境卫生</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21214</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污水处理费安排的支出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2121401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污水处理设施建设和运营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506001隆尧县城市管理综合行政执法局本级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项目支出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经营支出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科目    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251.37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7959.46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节能环保支出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污染防治</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2110301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大气</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8139.80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7940.46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城乡社区管理事务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2185.48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1986.14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1401.48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1202.14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2120104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城管执法</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2120199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其他城乡社区管理事务支出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城乡社区公共设施</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小城镇基础设施建设</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2120399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其他城乡社区公共设施支出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2120501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国有土地使用权出让收入安排的支出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2120816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农业农村生态环境支出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城市基础设施配套费安排的支出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城市环境卫生</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污水处理费安排的支出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2121401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污水处理设施建设和运营</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506001隆尧县城市管理综合行政执法局本级</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金额</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一般公共预算财政拨款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6750.84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一、一般公共服务支出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1460.00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二、外交支出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三、国防支出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四、公共安全支出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五、教育支出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六、科学技术支出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七、文化旅游体育与传媒支出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八、社会保障和就业支出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九、社会保险基金支出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十、卫生健康支出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十一、节能环保支出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十二、城乡社区支出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8139.80</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6679.80</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1460.00</w:t>
            </w: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十三、农林水支出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十四、交通运输支出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十五、资源勘探工业信息等支出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十六、商业服务业等支出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十七、金融支出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十八、援助其他地区支出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十九、自然资源海洋气象等支出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二十、住房保障支出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二十一、粮油物资储备支出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二十二、国有资本经营预算支出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二十三、灾害防治及应急管理支出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二十四、预备费</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二十五、其他支出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二十六、转移性支出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二十七、债务还本支出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二十八、债务付息支出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二十九、债务发行费用支出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三十、抗疫特别国债安排的支出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三十一、人行科目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本年收入合计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本年支出合计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6750.84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1460.00</w:t>
            </w: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年初财政拨款结转和结余</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年末财政拨款结转和结余</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收入总计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支出总计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8210.84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6750.84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1460.00</w:t>
            </w:r>
          </w:p>
        </w:tc>
        <w:tc>
          <w:tcPr>
            <w:tcW w:w="1474" w:type="dxa"/>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506001隆尧县城市管理综合行政执法局本级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6750.84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251.37</w:t>
            </w:r>
          </w:p>
        </w:tc>
        <w:tc>
          <w:tcPr>
            <w:tcW w:w="2551" w:type="dxa"/>
            <w:vAlign w:val="center"/>
          </w:tcPr>
          <w:p>
            <w:pPr>
              <w:pStyle w:val="23"/>
            </w:pPr>
            <w:r>
              <w:t>6499.46</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节能环保支出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19.00</w:t>
            </w:r>
          </w:p>
        </w:tc>
      </w:tr>
      <w:tr>
        <w:trPr>
          <w:trHeight w:val="369"/>
        </w:trPr>
        <w:tc>
          <w:tcPr>
            <w:tcW w:w="850" w:type="dxa"/>
            <w:vAlign w:val="center"/>
          </w:tcPr>
          <w:p>
            <w:pPr>
              <w:pStyle w:val="21"/>
            </w:pPr>
            <w:r>
              <w:t>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21103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污染防治</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19.00</w:t>
            </w:r>
          </w:p>
        </w:tc>
      </w:tr>
      <w:tr>
        <w:trPr>
          <w:trHeight w:val="369"/>
        </w:trPr>
        <w:tc>
          <w:tcPr>
            <w:tcW w:w="850" w:type="dxa"/>
            <w:vAlign w:val="center"/>
          </w:tcPr>
          <w:p>
            <w:pPr>
              <w:pStyle w:val="21"/>
            </w:pPr>
            <w:r>
              <w:t>10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2110301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大气</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19.00</w:t>
            </w:r>
          </w:p>
        </w:tc>
      </w:tr>
      <w:tr>
        <w:trPr>
          <w:trHeight w:val="369"/>
        </w:trPr>
        <w:tc>
          <w:tcPr>
            <w:tcW w:w="850" w:type="dxa"/>
            <w:vAlign w:val="center"/>
          </w:tcPr>
          <w:p>
            <w:pPr>
              <w:pStyle w:val="21"/>
            </w:pPr>
            <w:r>
              <w:t>11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6679.80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2551" w:type="dxa"/>
            <w:vAlign w:val="center"/>
          </w:tcPr>
          <w:p>
            <w:pPr>
              <w:pStyle w:val="19"/>
            </w:pPr>
            <w:r>
              <w:t>6480.46</w:t>
            </w:r>
          </w:p>
        </w:tc>
      </w:tr>
      <w:tr>
        <w:trPr>
          <w:trHeight w:val="369"/>
        </w:trPr>
        <w:tc>
          <w:tcPr>
            <w:tcW w:w="850" w:type="dxa"/>
            <w:vAlign w:val="center"/>
          </w:tcPr>
          <w:p>
            <w:pPr>
              <w:pStyle w:val="21"/>
            </w:pPr>
            <w:r>
              <w:t>12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城乡社区管理事务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2185.48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2551" w:type="dxa"/>
            <w:vAlign w:val="center"/>
          </w:tcPr>
          <w:p>
            <w:pPr>
              <w:pStyle w:val="19"/>
            </w:pPr>
            <w:r>
              <w:t>1986.14</w:t>
            </w:r>
          </w:p>
        </w:tc>
      </w:tr>
      <w:tr>
        <w:trPr>
          <w:trHeight w:val="369"/>
        </w:trPr>
        <w:tc>
          <w:tcPr>
            <w:tcW w:w="850" w:type="dxa"/>
            <w:vAlign w:val="center"/>
          </w:tcPr>
          <w:p>
            <w:pPr>
              <w:pStyle w:val="21"/>
            </w:pPr>
            <w:r>
              <w:t>13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1401.48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199.34</w:t>
            </w:r>
          </w:p>
        </w:tc>
        <w:tc>
          <w:tcPr>
            <w:tcW w:w="2551" w:type="dxa"/>
            <w:vAlign w:val="center"/>
          </w:tcPr>
          <w:p>
            <w:pPr>
              <w:pStyle w:val="19"/>
            </w:pPr>
            <w:r>
              <w:t>1202.14</w:t>
            </w:r>
          </w:p>
        </w:tc>
      </w:tr>
      <w:tr>
        <w:trPr>
          <w:trHeight w:val="369"/>
        </w:trPr>
        <w:tc>
          <w:tcPr>
            <w:tcW w:w="850" w:type="dxa"/>
            <w:vAlign w:val="center"/>
          </w:tcPr>
          <w:p>
            <w:pPr>
              <w:pStyle w:val="21"/>
            </w:pPr>
            <w:r>
              <w:t>14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2120104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城管执法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34.00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34.00</w:t>
            </w:r>
          </w:p>
        </w:tc>
      </w:tr>
      <w:tr>
        <w:trPr>
          <w:trHeight w:val="369"/>
        </w:trPr>
        <w:tc>
          <w:tcPr>
            <w:tcW w:w="850" w:type="dxa"/>
            <w:vAlign w:val="center"/>
          </w:tcPr>
          <w:p>
            <w:pPr>
              <w:pStyle w:val="21"/>
            </w:pPr>
            <w:r>
              <w:t>15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2120199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其他城乡社区管理事务支出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750.00</w:t>
            </w:r>
          </w:p>
        </w:tc>
      </w:tr>
      <w:tr>
        <w:trPr>
          <w:trHeight w:val="369"/>
        </w:trPr>
        <w:tc>
          <w:tcPr>
            <w:tcW w:w="850" w:type="dxa"/>
            <w:vAlign w:val="center"/>
          </w:tcPr>
          <w:p>
            <w:pPr>
              <w:pStyle w:val="21"/>
            </w:pPr>
            <w:r>
              <w:t>16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城乡社区公共设施</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1662.33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1662.33</w:t>
            </w:r>
          </w:p>
        </w:tc>
      </w:tr>
      <w:tr>
        <w:trPr>
          <w:trHeight w:val="369"/>
        </w:trPr>
        <w:tc>
          <w:tcPr>
            <w:tcW w:w="850" w:type="dxa"/>
            <w:vAlign w:val="center"/>
          </w:tcPr>
          <w:p>
            <w:pPr>
              <w:pStyle w:val="21"/>
            </w:pPr>
            <w:r>
              <w:t>17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2120303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小城镇基础设施建设</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1295.39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1295.39</w:t>
            </w:r>
          </w:p>
        </w:tc>
      </w:tr>
      <w:tr>
        <w:trPr>
          <w:trHeight w:val="369"/>
        </w:trPr>
        <w:tc>
          <w:tcPr>
            <w:tcW w:w="850" w:type="dxa"/>
            <w:vAlign w:val="center"/>
          </w:tcPr>
          <w:p>
            <w:pPr>
              <w:pStyle w:val="21"/>
            </w:pPr>
            <w:r>
              <w:t>18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2120399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其他城乡社区公共设施支出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366.94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366.94</w:t>
            </w:r>
          </w:p>
        </w:tc>
      </w:tr>
      <w:tr>
        <w:trPr>
          <w:trHeight w:val="369"/>
        </w:trPr>
        <w:tc>
          <w:tcPr>
            <w:tcW w:w="850" w:type="dxa"/>
            <w:vAlign w:val="center"/>
          </w:tcPr>
          <w:p>
            <w:pPr>
              <w:pStyle w:val="21"/>
            </w:pPr>
            <w:r>
              <w:t>19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2831.99</w:t>
            </w:r>
          </w:p>
        </w:tc>
      </w:tr>
      <w:tr>
        <w:trPr>
          <w:trHeight w:val="369"/>
        </w:trPr>
        <w:tc>
          <w:tcPr>
            <w:tcW w:w="850" w:type="dxa"/>
            <w:vAlign w:val="center"/>
          </w:tcPr>
          <w:p>
            <w:pPr>
              <w:pStyle w:val="21"/>
            </w:pPr>
            <w:r>
              <w:t>20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2120501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城乡社区环境卫生</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2831.99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2831.99</w:t>
            </w:r>
          </w:p>
        </w:tc>
      </w:tr>
      <w:tr>
        <w:trPr>
          <w:trHeight w:val="369"/>
        </w:trPr>
        <w:tc>
          <w:tcPr>
            <w:tcW w:w="850" w:type="dxa"/>
            <w:vAlign w:val="center"/>
          </w:tcPr>
          <w:p>
            <w:pPr>
              <w:pStyle w:val="21"/>
            </w:pPr>
            <w:r>
              <w:t>21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vAlign w:val="center"/>
          </w:tcPr>
          <w:p>
            <w:pPr>
              <w:pStyle w:val="19"/>
            </w:pPr>
          </w:p>
        </w:tc>
      </w:tr>
      <w:tr>
        <w:trPr>
          <w:trHeight w:val="369"/>
        </w:trPr>
        <w:tc>
          <w:tcPr>
            <w:tcW w:w="850" w:type="dxa"/>
            <w:vAlign w:val="center"/>
          </w:tcPr>
          <w:p>
            <w:pPr>
              <w:pStyle w:val="21"/>
            </w:pPr>
            <w:r>
              <w:t>22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vAlign w:val="center"/>
          </w:tcPr>
          <w:p>
            <w:pPr>
              <w:pStyle w:val="19"/>
            </w:pPr>
          </w:p>
        </w:tc>
      </w:tr>
      <w:tr>
        <w:trPr>
          <w:trHeight w:val="369"/>
        </w:trPr>
        <w:tc>
          <w:tcPr>
            <w:tcW w:w="850" w:type="dxa"/>
            <w:vAlign w:val="center"/>
          </w:tcPr>
          <w:p>
            <w:pPr>
              <w:pStyle w:val="21"/>
            </w:pPr>
            <w:r>
              <w:t>23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506001隆尧县城市管理综合行政执法局本级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251.37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231.63</w:t>
            </w:r>
          </w:p>
        </w:tc>
        <w:tc>
          <w:tcPr>
            <w:tcW w:w="2551" w:type="dxa"/>
            <w:vAlign w:val="center"/>
          </w:tcPr>
          <w:p>
            <w:pPr>
              <w:pStyle w:val="23"/>
            </w:pPr>
            <w:r>
              <w:t>19.74</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工资福利支出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221.26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221.26</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基本工资</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101.14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101.14</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津贴补贴</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23.76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23.76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奖金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26.21</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26.21</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绩效工资</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17.47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17.47</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23.42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职工基本医疗保险缴费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10.75</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其他社会保障缴费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0.65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0.65</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17.86</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商品和服务支出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19.74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19.74</w:t>
            </w:r>
          </w:p>
        </w:tc>
      </w:tr>
      <w:tr>
        <w:trPr>
          <w:trHeight w:val="369"/>
        </w:trPr>
        <w:tc>
          <w:tcPr>
            <w:tcW w:w="850" w:type="dxa"/>
            <w:vAlign w:val="center"/>
          </w:tcPr>
          <w:p>
            <w:pPr>
              <w:pStyle w:val="21"/>
            </w:pPr>
            <w:r>
              <w:t>12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办公费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2.20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2.20</w:t>
            </w:r>
          </w:p>
        </w:tc>
      </w:tr>
      <w:tr>
        <w:trPr>
          <w:trHeight w:val="369"/>
        </w:trPr>
        <w:tc>
          <w:tcPr>
            <w:tcW w:w="850" w:type="dxa"/>
            <w:vAlign w:val="center"/>
          </w:tcPr>
          <w:p>
            <w:pPr>
              <w:pStyle w:val="21"/>
            </w:pPr>
            <w:r>
              <w:t>13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印刷费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差旅费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15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30239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其他交通费用</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12.54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12.54</w:t>
            </w:r>
          </w:p>
        </w:tc>
      </w:tr>
      <w:tr>
        <w:trPr>
          <w:trHeight w:val="369"/>
        </w:trPr>
        <w:tc>
          <w:tcPr>
            <w:tcW w:w="850" w:type="dxa"/>
            <w:vAlign w:val="center"/>
          </w:tcPr>
          <w:p>
            <w:pPr>
              <w:pStyle w:val="21"/>
            </w:pPr>
            <w:r>
              <w:t>16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30299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其他商品和服务支出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对个人和家庭的补助</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10.37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10.37</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退休费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10.37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10.37</w:t>
            </w:r>
          </w:p>
        </w:tc>
        <w:tc>
          <w:tcPr>
            <w:tcW w:w="2551" w:type="dxa"/>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506001隆尧县城市管理综合行政执法局本级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1460.00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2551" w:type="dxa"/>
            <w:vAlign w:val="center"/>
          </w:tcPr>
          <w:p>
            <w:pPr>
              <w:pStyle w:val="23"/>
            </w:pPr>
            <w:r>
              <w:t>1460.00</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城乡社区支出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1460.00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1460.00</w:t>
            </w:r>
          </w:p>
        </w:tc>
      </w:tr>
      <w:tr>
        <w:trPr>
          <w:trHeight w:val="369"/>
        </w:trPr>
        <w:tc>
          <w:tcPr>
            <w:tcW w:w="850" w:type="dxa"/>
            <w:vAlign w:val="center"/>
          </w:tcPr>
          <w:p>
            <w:pPr>
              <w:pStyle w:val="21"/>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国有土地使用权出让收入安排的支出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310.00</w:t>
            </w:r>
          </w:p>
        </w:tc>
      </w:tr>
      <w:tr>
        <w:trPr>
          <w:trHeight w:val="369"/>
        </w:trPr>
        <w:tc>
          <w:tcPr>
            <w:tcW w:w="850" w:type="dxa"/>
            <w:vAlign w:val="center"/>
          </w:tcPr>
          <w:p>
            <w:pPr>
              <w:pStyle w:val="21"/>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2120816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农业农村生态环境支出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310.00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310.00</w:t>
            </w:r>
          </w:p>
        </w:tc>
      </w:tr>
      <w:tr>
        <w:trPr>
          <w:trHeight w:val="369"/>
        </w:trPr>
        <w:tc>
          <w:tcPr>
            <w:tcW w:w="850" w:type="dxa"/>
            <w:vAlign w:val="center"/>
          </w:tcPr>
          <w:p>
            <w:pPr>
              <w:pStyle w:val="21"/>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城市基础设施配套费安排的支出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750.00</w:t>
            </w:r>
          </w:p>
        </w:tc>
      </w:tr>
      <w:tr>
        <w:trPr>
          <w:trHeight w:val="369"/>
        </w:trPr>
        <w:tc>
          <w:tcPr>
            <w:tcW w:w="850" w:type="dxa"/>
            <w:vAlign w:val="center"/>
          </w:tcPr>
          <w:p>
            <w:pPr>
              <w:pStyle w:val="21"/>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2121302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城市环境卫生</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750.00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750.00</w:t>
            </w:r>
          </w:p>
        </w:tc>
      </w:tr>
      <w:tr>
        <w:trPr>
          <w:trHeight w:val="369"/>
        </w:trPr>
        <w:tc>
          <w:tcPr>
            <w:tcW w:w="850" w:type="dxa"/>
            <w:vAlign w:val="center"/>
          </w:tcPr>
          <w:p>
            <w:pPr>
              <w:pStyle w:val="21"/>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21214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污水处理费安排的支出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400.00</w:t>
            </w:r>
          </w:p>
        </w:tc>
      </w:tr>
      <w:tr>
        <w:trPr>
          <w:trHeight w:val="369"/>
        </w:trPr>
        <w:tc>
          <w:tcPr>
            <w:tcW w:w="850" w:type="dxa"/>
            <w:vAlign w:val="center"/>
          </w:tcPr>
          <w:p>
            <w:pPr>
              <w:pStyle w:val="21"/>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2121401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污水处理设施建设和运营</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400.00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400.00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506001隆尧县城市管理综合行政执法局本级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506001隆尧县城市管理综合行政执法局本级</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000000"/>
              <w:left w:val="single" w:sz="6" w:space="0" w:color="000000"/>
              <w:bottom w:val="single" w:sz="6" w:space="0" w:color="000000"/>
              <w:right w:val="single" w:sz="6" w:space="0" w:color="000000"/>
            </w:tcBorders>
          </w:tc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              财政拨款</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vAlign w:val="center"/>
          </w:tcPr>
          <w:p>
            <w:pPr>
              <w:pStyle w:val="19"/>
            </w:pPr>
          </w:p>
        </w:tc>
      </w:tr>
    </w:tbl>
    <w:p>
      <w:pPr>
        <w:ind w:firstLine="42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000000"/>
          <w:sz w:val="21"/>
        </w:rPr>
        <w:t>注：无财政拨款“三公”经费支出预算，空表列示。</w:t>
      </w:r>
    </w:p>
    <w:p>
      <w:pPr>
        <w:jc w:val="center"/>
        <w:outlineLvl w:val="4"/>
      </w:pPr>
      <w:r>
        <w:rPr>
          <w:rFonts w:ascii="方正小标宋_GBK" w:eastAsia="方正小标宋_GBK" w:cs="方正小标宋_GBK" w:hAnsi="方正小标宋_GBK"/>
          <w:color w:val="000000"/>
          <w:sz w:val="44"/>
        </w:rPr>
        <w:t>隆尧县城市管理综合行政执法局本级2026年单位预算信息公开情况说明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按照《中华人民共和国预算法》、《地方预决算公开操作规程》和《关于进一步推进预算公开工作的实施意见》规定，现将隆尧县城市管理综合行政执法局本级2026年单位预算公开如下：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rPr>
          <w:rFonts w:ascii="方正楷体_GBK" w:eastAsia="方正楷体_GBK" w:cs="方正楷体_GBK" w:hAnsi="方正楷体_GBK" w:hint="eastAsia"/>
          <w:b/>
          <w:color w:val="000000"/>
          <w:sz w:val="32"/>
          <w:lang w:eastAsia="zh-CN"/>
        </w:rPr>
      </w:pPr>
      <w:r>
        <w:rPr>
          <w:rFonts w:ascii="方正楷体_GBK" w:eastAsia="方正楷体_GBK" w:cs="方正楷体_GBK" w:hAnsi="方正楷体_GBK"/>
          <w:b/>
          <w:color w:val="000000"/>
          <w:sz w:val="32"/>
        </w:rPr>
        <w:t>单位职责：</w:t>
      </w:r>
    </w:p>
    <w:p>
      <w:pPr>
        <w:shd w:val="clear" w:color="auto" w:fill="FFFFFF"/>
        <w:spacing w:before="240" w:after="240"/>
        <w:ind w:firstLineChars="200" w:firstLine="640"/>
        <w:rPr>
          <w:rFonts w:ascii="仿宋" w:eastAsia="仿宋" w:hAnsi="仿宋"/>
          <w:sz w:val="32"/>
          <w:szCs w:val="32"/>
        </w:rPr>
      </w:pPr>
      <w:r>
        <w:rPr>
          <w:rFonts w:ascii="Arial" w:eastAsia="仿宋" w:cs="Arial" w:hAnsi="Arial"/>
          <w:color w:val="000000"/>
          <w:sz w:val="32"/>
          <w:szCs w:val="32"/>
          <w:shd w:val="clear" w:color="auto" w:fill="FFFFFF"/>
        </w:rPr>
        <w:t> </w:t>
      </w:r>
      <w:r>
        <w:rPr>
          <w:rFonts w:ascii="仿宋" w:eastAsia="仿宋" w:cs="仿宋" w:hAnsi="仿宋" w:hint="eastAsia"/>
          <w:sz w:val="32"/>
          <w:szCs w:val="32"/>
        </w:rPr>
        <w:t>(</w:t>
      </w:r>
      <w:r>
        <w:rPr>
          <w:rFonts w:ascii="仿宋" w:eastAsia="仿宋" w:hAnsi="仿宋" w:hint="eastAsia"/>
          <w:sz w:val="32"/>
          <w:szCs w:val="32"/>
        </w:rPr>
        <w:t>一)贯彻执行国家和省、市城市管理方面的方针、政策和法律、法规。拟订全县城市管理方面的规章制度和管理办法并组织实施；拟订全县城市管理方面发展规划并组织实施；研究提出城市管理方面重大问题的政策建议。</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(二）负责全县城市管理工作  ，拟订城市管理的规范、标准、政 策并组织实施；参与城乡市容环卫、生活垃圾处置、园林绿化专业规 划的编制和实施；负责城市市容市貌、环境卫生、生活垃圾清理和处 理、环境综合整治工作；负责数字化城市管理工作。负责对全县城市管理工作的业务指导、监督检查和考核评价。</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(三）负责城市环境卫生管理。负责城市环卫设施建设和维护的 管理工作；负责城市建筑垃圾的处置和管理工作；负责城市消毒杀虫灭鼠工作；负责道路扬尘整治；负责城区河道管理。</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(四）负责城市园林绿化管理。参与制定城市绿化规划；负责城 市公园和园林绿化建设管理；负责城市园林水域安全监管工作；负责城区园林设施建设和维护的管理工作；负责城区风景林地的管护工作。负责园林城市和生态园林城市创建工作；承担城镇古树名木保护工作；会同有关部门负责历史文化名城（镇、村）的保护和监督管理工作。</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（五)负责城市公用设施运行管理。负责城市市政公用设施安全 运行；负责城市公共供水、节水、排水防涝、道路桥梁、照明设施运 行管理工作；负责城区道路、排水的翻建、改建、维护、管理；负责 全县燃气、县城集中供热设施建设和运行管理；指导全县燃气、县城集中供热行业完善落实安全管理制度；负责市政公用设施运行管理的监督检查和考核评价；负责编制市政公用设施维护资金计划以及到位 资金的使用和管理。指导乡镇生活垃圾及农村生活垃圾收运处置体系 建设。</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（六）负责城市容貌秩序管理。负责城市容貌、户外广告设置、门头牌匾及城市街道家具管理和露天烧烤整治工作。</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（七）负责城市车辆停放管理。负责公共自行车建设管理、城区 道路机动车及非机动车停放管理、便道机动车停车场及临时泊位设置管理工作。</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（八）负责城区防汛应急管理；负责道路清融雪、公园和广场应 急避难场所建设管理；负责城市道路、桥梁、照明、园林绿化的应急保障和供水、燃气、供热、污水处理的应急指导。</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（九）认真落实中央和省、市、县关于加强综合执法工作的部署 要求  ，继续深入推动城市管理跨领域跨部门综合执法  ，推进城市管理 领域行政处罚权相对集中。按照集中的范围  ，集中行使住建、市容环 境卫生、市政、绿化、供水、燃气、供热用热、排水与污水处理、公 安交通、环境保护、市场监管、水务等城市管理方面的行政处罚权及有关行政强制措施。</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（十）负责城管综合行政执法监督。指导全县城管执法工作；开 展城管执法行为监督与考核；负责城市管理行政执法协调工作；负责 城市管理行政执法中的投诉受理、应诉和行政复议工作；组织查处城 市管理领域违法违规案件、跨区域案件以及依法应由县城市管理综合行政执法局实施行政处罚的案件。</w:t>
      </w:r>
    </w:p>
    <w:p>
      <w:pPr>
        <w:shd w:val="clear" w:color="auto" w:fill="FFFFFF"/>
        <w:spacing w:before="240" w:after="240"/>
        <w:ind w:firstLineChars="200" w:firstLine="640"/>
        <w:rPr>
          <w:rFonts w:ascii="仿宋" w:eastAsia="仿宋" w:hAnsi="仿宋"/>
          <w:sz w:val="32"/>
          <w:szCs w:val="32"/>
        </w:rPr>
      </w:pPr>
      <w:r>
        <w:rPr>
          <w:rFonts w:ascii="仿宋" w:eastAsia="仿宋" w:hAnsi="仿宋" w:hint="eastAsia"/>
          <w:sz w:val="32"/>
          <w:szCs w:val="32"/>
        </w:rPr>
        <w:t>（十一）负责规划区内违法建设治理  ，建立属地和部门协调联动的违法建设源头防控查处机制。</w:t>
      </w:r>
    </w:p>
    <w:p>
      <w:pPr>
        <w:shd w:val="clear" w:color="auto" w:fill="FFFFFF"/>
        <w:spacing w:before="240" w:after="240"/>
        <w:ind w:firstLineChars="200" w:firstLine="640"/>
        <w:rPr>
          <w:rFonts w:ascii="仿宋" w:eastAsia="仿宋" w:hAnsi="仿宋"/>
          <w:sz w:val="32"/>
          <w:szCs w:val="32"/>
          <w:lang w:eastAsia="zh-CN"/>
        </w:rPr>
      </w:pPr>
      <w:r>
        <w:rPr>
          <w:rFonts w:ascii="仿宋" w:eastAsia="仿宋" w:hAnsi="仿宋" w:hint="eastAsia"/>
          <w:sz w:val="32"/>
          <w:szCs w:val="32"/>
        </w:rPr>
        <w:t>（十二）完成县委、县政府交办的其他任务。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隆尧县城市管理综合行政执法局本级</w:t>
            </w:r>
          </w:p>
        </w:tc>
        <w:tc>
          <w:tcPr>
            <w:tcW w:w="1843" w:type="dxa"/>
            <w:tcBorders>
              <w:top w:val="single" w:sz="6" w:space="0" w:color="000000"/>
              <w:left w:val="single" w:sz="6" w:space="0" w:color="000000"/>
              <w:bottom w:val="single" w:sz="6" w:space="0" w:color="000000"/>
              <w:right w:val="single" w:sz="6" w:space="0" w:color="000000"/>
            </w:tcBorders>
            <w:vAlign w:val="center"/>
          </w:tcPr>
          <w:p>
            <w:pPr>
              <w:pStyle w:val="21"/>
            </w:pPr>
            <w:r>
              <w:t>行政</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ind w:firstLine="640"/>
        <w:outlineLvl w:val="5"/>
      </w:pPr>
      <w:r>
        <w:rPr>
          <w:rFonts w:ascii="黑体" w:eastAsia="黑体" w:cs="黑体" w:hAnsi="黑体"/>
          <w:color w:val="000000"/>
          <w:sz w:val="32"/>
        </w:rPr>
        <w:t>二、单位预算安排的总体情况</w:t>
      </w:r>
    </w:p>
    <w:p>
      <w:pPr>
        <w:pStyle w:val="26"/>
      </w:pPr>
      <w:r>
        <w:t>按照预算管理有关规定，目前我局单位预算的编制实行综合预算管理，即全部收入和支出都反映在预算中。</w:t>
      </w:r>
    </w:p>
    <w:p>
      <w:pPr>
        <w:pStyle w:val="26"/>
      </w:pPr>
      <w:r>
        <w:t>1、收入说明</w:t>
      </w:r>
    </w:p>
    <w:p>
      <w:pPr>
        <w:pStyle w:val="26"/>
      </w:pPr>
      <w:r>
        <w:t>反映本单位当年全部收入。2026年预算收入8210.84万元，其中：一般公共预算收入6750.84万元，基金预算收入1460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收支预算总表支出栏、基本支出表、项目支出表按经济分类和支出功能分类科目编制，反映隆尧县城管局年度单位预算中支出预算的总体情况。2026年支出预算8210.84万元，其中基本支出2</w:t>
      </w:r>
      <w:bookmarkStart w:id="1" w:name="_GoBack"/>
      <w:bookmarkEnd w:id="1"/>
      <w:r>
        <w:t>51.37万元，包括人员经费231.63万元和日常公用经费19.74万元；项目支出6499.46万元，主要为城乡环卫一体化城区、一标段、二标段项目、生活垃圾焚烧转运处理费及生态补偿金等。</w:t>
      </w:r>
    </w:p>
    <w:p>
      <w:pPr>
        <w:pStyle w:val="26"/>
      </w:pPr>
      <w:r>
        <w:t>3、比上年增减情况</w:t>
      </w:r>
    </w:p>
    <w:p>
      <w:pPr>
        <w:pStyle w:val="26"/>
      </w:pPr>
      <w:r>
        <w:t>2026年预算收支安排8210.84万元，较2025年预算减少4888.04万元，其中：项目支出减少6314.51万元，主要原因，财力紧张，部分公共设施建设项目暂缓。</w:t>
      </w:r>
    </w:p>
    <w:p>
      <w:pPr>
        <w:spacing w:before="10" w:after="10"/>
        <w:ind w:firstLine="640"/>
        <w:outlineLvl w:val="5"/>
      </w:pPr>
      <w:r>
        <w:rPr>
          <w:rFonts w:ascii="黑体" w:eastAsia="黑体" w:cs="黑体" w:hAnsi="黑体"/>
          <w:color w:val="000000"/>
          <w:sz w:val="32"/>
        </w:rPr>
        <w:t>三、机关运行经费安排情况</w:t>
      </w:r>
    </w:p>
    <w:p>
      <w:pPr>
        <w:pStyle w:val="27"/>
      </w:pPr>
      <w:r>
        <w:t>2025年，我单位经费共计安排19.74万元，主要用于日常维修、办公费用等日常运行支出。</w:t>
      </w:r>
    </w:p>
    <w:p>
      <w:pPr>
        <w:spacing w:before="10" w:after="10"/>
        <w:ind w:firstLine="640"/>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0万元，其中因公出国（境）费0万元；公务用车购置及运维费0万元（其中：公务用车购置费为0万元，公务用车运行维护费0万元)；公务接待费0万元。与2025年相比无变化。</w:t>
      </w:r>
    </w:p>
    <w:p>
      <w:pPr>
        <w:spacing w:before="10" w:after="10"/>
        <w:ind w:firstLine="640"/>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五、单位项目预算安排情况及绩效目标</w:t>
      </w:r>
    </w:p>
    <w:p>
      <w:pPr>
        <w:ind w:firstLine="560"/>
      </w:pPr>
      <w:r>
        <w:rPr>
          <w:rFonts w:ascii="方正仿宋_GBK" w:eastAsia="方正仿宋_GBK" w:cs="方正仿宋_GBK" w:hAnsi="方正仿宋_GBK"/>
          <w:b/>
          <w:color w:val="000000"/>
          <w:sz w:val="28"/>
        </w:rPr>
        <w:t>1、办案补助/办公经费绩效目标表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13052526P00000110060L</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办案补助/办公经费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49.80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49.80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维持局机关正常运转</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1.维持局机关正常经费运转</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办公设施完好率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办公设施完好率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≥90百分比</w:t>
            </w:r>
          </w:p>
        </w:tc>
        <w:tc>
          <w:tcPr>
            <w:tcW w:w="1276" w:type="dxa"/>
            <w:vAlign w:val="center"/>
          </w:tcPr>
          <w:p>
            <w:pPr>
              <w:pStyle w:val="20"/>
            </w:pPr>
            <w:r>
              <w:t>局机关正常运转相关文件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办公用品合格率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办公用品合格率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≥90百分比</w:t>
            </w:r>
          </w:p>
        </w:tc>
        <w:tc>
          <w:tcPr>
            <w:tcW w:w="1276" w:type="dxa"/>
            <w:vAlign w:val="center"/>
          </w:tcPr>
          <w:p>
            <w:pPr>
              <w:pStyle w:val="20"/>
            </w:pPr>
            <w:r>
              <w:t>局机关正常运转相关文件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维修改造办公设施时限</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维修改造办公设施时限</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≤48小时</w:t>
            </w:r>
          </w:p>
        </w:tc>
        <w:tc>
          <w:tcPr>
            <w:tcW w:w="1276" w:type="dxa"/>
            <w:vAlign w:val="center"/>
          </w:tcPr>
          <w:p>
            <w:pPr>
              <w:pStyle w:val="20"/>
            </w:pPr>
            <w:r>
              <w:t>局机关正常运转相关文件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集中办公人均费用</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集中办公人均费用</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≤3600元</w:t>
            </w:r>
          </w:p>
        </w:tc>
        <w:tc>
          <w:tcPr>
            <w:tcW w:w="1276" w:type="dxa"/>
            <w:vAlign w:val="center"/>
          </w:tcPr>
          <w:p>
            <w:pPr>
              <w:pStyle w:val="20"/>
            </w:pPr>
            <w:r>
              <w:t>局机关正常运转相关文件</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保障正常办公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保障正常办公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保障</w:t>
            </w:r>
          </w:p>
        </w:tc>
        <w:tc>
          <w:tcPr>
            <w:tcW w:w="1276" w:type="dxa"/>
            <w:vAlign w:val="center"/>
          </w:tcPr>
          <w:p>
            <w:pPr>
              <w:pStyle w:val="20"/>
            </w:pPr>
            <w:r>
              <w:t>局机关正常运转相关文件</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干部职工满意度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干部职工满意度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局机关正常运转相关文件</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2、办案补助/扫黑除恶经费绩效目标表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13052526P00000110085E</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办案补助/扫黑除恶经费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0.20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0.20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办案补助扫黑除恶专项经费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1.办案补助扫黑除恶专项经费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办公设施完好率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办公设施完好率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≥90百分比</w:t>
            </w:r>
          </w:p>
        </w:tc>
        <w:tc>
          <w:tcPr>
            <w:tcW w:w="1276" w:type="dxa"/>
            <w:vAlign w:val="center"/>
          </w:tcPr>
          <w:p>
            <w:pPr>
              <w:pStyle w:val="20"/>
            </w:pPr>
            <w:r>
              <w:t>扫黑除恶相关文件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办公用品合格率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办公用品合格率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≥90百分比</w:t>
            </w:r>
          </w:p>
        </w:tc>
        <w:tc>
          <w:tcPr>
            <w:tcW w:w="1276" w:type="dxa"/>
            <w:vAlign w:val="center"/>
          </w:tcPr>
          <w:p>
            <w:pPr>
              <w:pStyle w:val="20"/>
            </w:pPr>
            <w:r>
              <w:t>扫黑除恶相关文件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维修改造办公设施时限</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维修改造办公设施时限</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≤48小时</w:t>
            </w:r>
          </w:p>
        </w:tc>
        <w:tc>
          <w:tcPr>
            <w:tcW w:w="1276" w:type="dxa"/>
            <w:vAlign w:val="center"/>
          </w:tcPr>
          <w:p>
            <w:pPr>
              <w:pStyle w:val="20"/>
            </w:pPr>
            <w:r>
              <w:t>扫黑除恶相关文件</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集中办公人均费用</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集中办公人均费用</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≤3600元</w:t>
            </w:r>
          </w:p>
        </w:tc>
        <w:tc>
          <w:tcPr>
            <w:tcW w:w="1276" w:type="dxa"/>
            <w:vAlign w:val="center"/>
          </w:tcPr>
          <w:p>
            <w:pPr>
              <w:pStyle w:val="20"/>
            </w:pPr>
            <w:r>
              <w:t>扫黑除恶相关文件</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保障正常办公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保障正常办公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保障</w:t>
            </w:r>
          </w:p>
        </w:tc>
        <w:tc>
          <w:tcPr>
            <w:tcW w:w="1276" w:type="dxa"/>
            <w:vAlign w:val="center"/>
          </w:tcPr>
          <w:p>
            <w:pPr>
              <w:pStyle w:val="20"/>
            </w:pPr>
            <w:r>
              <w:t>扫黑除恶相关文件</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干部职工满意度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干部职工满意度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满意度调查表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3、办案补助/自支人员经费绩效目标表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13052526P00000210020T</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办案补助/自支人员经费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978.00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978.00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用于自收自支人员经费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1.足额支付自支人员经费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保障工资人数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发放工资人数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≥131人</w:t>
            </w:r>
          </w:p>
        </w:tc>
        <w:tc>
          <w:tcPr>
            <w:tcW w:w="1276" w:type="dxa"/>
            <w:vAlign w:val="center"/>
          </w:tcPr>
          <w:p>
            <w:pPr>
              <w:pStyle w:val="20"/>
            </w:pPr>
            <w:r>
              <w:t>局工资执行表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≥95百分比</w:t>
            </w:r>
          </w:p>
        </w:tc>
        <w:tc>
          <w:tcPr>
            <w:tcW w:w="1276" w:type="dxa"/>
            <w:vAlign w:val="center"/>
          </w:tcPr>
          <w:p>
            <w:pPr>
              <w:pStyle w:val="20"/>
            </w:pPr>
            <w:r>
              <w:t>局工资执行表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工资发放及时率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工资发放是否及时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局工资执行表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978万元</w:t>
            </w:r>
          </w:p>
        </w:tc>
        <w:tc>
          <w:tcPr>
            <w:tcW w:w="1276" w:type="dxa"/>
            <w:vAlign w:val="center"/>
          </w:tcPr>
          <w:p>
            <w:pPr>
              <w:pStyle w:val="20"/>
            </w:pPr>
            <w:r>
              <w:t>局工资执行表</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局工资执行表</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局工资执行表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4、餐厨垃圾处置费绩效目标表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13052526P00005510011P</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餐厨垃圾处置费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14.22</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14.22</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餐厨垃圾处置运营服务费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1.餐厨垃圾处置运营服务费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餐厨垃圾清运数量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餐厨垃圾日清运数量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≥10吨/天</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餐厨余垃圾设备质量标准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清运餐厨余垃圾设备质量是否合格</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餐厨垃圾清运时间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餐厨垃圾清运时间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&lt;24小时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改善生态环境质量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对周围生态环境质量有显著改善</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调查问卷</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5、城管执法专项经费绩效目标表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13052526P00000210177Q</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城管执法专项经费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19.00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19.00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用于城管局专项业务正常开展</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1.保障城管局专项业务正常运转</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拆违面积</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拆违面积</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≥300平方米</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违建拆除是否到位</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违建拆除是否到位</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到位</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违建拆除时效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违建拆除时效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≤48小时内</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拆违成本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拆违成本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19万元</w:t>
            </w:r>
          </w:p>
        </w:tc>
        <w:tc>
          <w:tcPr>
            <w:tcW w:w="1276" w:type="dxa"/>
            <w:vAlign w:val="center"/>
          </w:tcPr>
          <w:p>
            <w:pPr>
              <w:pStyle w:val="20"/>
            </w:pPr>
            <w:r>
              <w:t>合同</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合同</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受益群众满意度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受益群众满意度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合同</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6、城区环卫项目人员工资绩效目标表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13052526P000040100237</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城区环卫项目人员工资</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794.00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794.00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城区环卫项目人员工资</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1.城区环卫项目人员工资按时发放</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保障工资人数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发放工资人数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≥300人</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工资发放及时率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工资发放是否及时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794万元</w:t>
            </w:r>
          </w:p>
        </w:tc>
        <w:tc>
          <w:tcPr>
            <w:tcW w:w="1276" w:type="dxa"/>
            <w:vAlign w:val="center"/>
          </w:tcPr>
          <w:p>
            <w:pPr>
              <w:pStyle w:val="20"/>
            </w:pPr>
            <w:r>
              <w:t>项目工资表</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7、城区环卫一体化项目运营费绩效目标表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13052526P000040100262</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城区环卫一体化项目运营费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55.00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55.00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城区环卫一体化项目运营费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1.城区环卫一体化项目运营费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新增垃圾分类收集设施数量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新增垃圾分类收集设施数量。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≥3处</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创建垃圾分类示范街道，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创建垃圾分类示范街道，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≥1条</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城区垃圾清运时效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城区垃圾清运时效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55万元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城市生活垃圾处理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8、城区基础设施配套费/污水处理厂运营费绩效目标表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13052526P00005210020Y</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城区基础设施配套费/污水处理厂运营费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750.00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750.00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污水处理厂运营费正常拨付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1.污水处理厂运营费正常拨付</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水质综合合格率（COD、PH、SS、BOD）</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根据项目设计出水标准,COD、PH、SS、BOD</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抽检合格率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环境监测部门抽检合格率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完成及时率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各项任务完成及时率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项目运营成本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≤750万元</w:t>
            </w:r>
          </w:p>
        </w:tc>
        <w:tc>
          <w:tcPr>
            <w:tcW w:w="1276" w:type="dxa"/>
            <w:vAlign w:val="center"/>
          </w:tcPr>
          <w:p>
            <w:pPr>
              <w:pStyle w:val="20"/>
            </w:pPr>
            <w:r>
              <w:t>预算</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9、城区路灯电费绩效目标表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13052526P000003100266</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城区路灯电费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54.00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54.00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保障隆尧县城区亮灯率</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1.保障隆尧县城区亮灯率</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新增亮灯街道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新增亮灯街道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≥3条</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亮化率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路灯亮化率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亮灯时间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亮灯时间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根据季节变化及时亮灯</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路灯亮化率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路灯亮化率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10、城区市政维护费绩效目标表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13052526P000045100028</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城区市政维护费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100.00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100.00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隆尧县城区市政维修维护费用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1.隆尧县城区市政维修维护费用</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公共设施维修数量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需维修公共设施占总数的比例</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公共设施维护质量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公共设施维护质量是否达标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维护响应时间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维护响应时间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≤48小时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设施完好率(％)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设施完好率(％)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11、城区园林绿化养护费绩效目标表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13052526P00004110002H</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城区园林绿化养护费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43.20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43.20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隆尧县城区绿化养护费用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1.隆尧县城区绿化养护费用</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需养护绿地面积</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需养护绿地面积</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≥125万平方米</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绿化养护标准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绿化养护标准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二级标准</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杂草清理时效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杂草清理时效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随时清理</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城区绿化率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绿地面积占城区总面积比例</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12、城乡环卫一体化项目二标段人员工资绩效目标表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13052526P00004010022K</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城乡环卫一体化项目二标段人员工资</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451.00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451.00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用于城乡环卫一体化二标段人员工资</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1.城乡环卫一体化项目二标段人员工资按时发放</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保障工资人数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发放工资人数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≥400人</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≥95百分比</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工资发放及时率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工资发放是否及时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451万元</w:t>
            </w:r>
          </w:p>
        </w:tc>
        <w:tc>
          <w:tcPr>
            <w:tcW w:w="1276" w:type="dxa"/>
            <w:vAlign w:val="center"/>
          </w:tcPr>
          <w:p>
            <w:pPr>
              <w:pStyle w:val="20"/>
            </w:pPr>
            <w:r>
              <w:t>项目工资表</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13、城乡环卫一体化项目二标段运营费绩效目标表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13052526P00004010025E</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城乡环卫一体化项目二标段运营费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150.00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150.00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城乡环卫一体化项目二标段运营费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1.城乡环卫一体化项目二标段运营费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垃圾收集转运类环卫专用车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年生产量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≥10辆</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创建垃圾分类示范小区</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创建垃圾分类示范小区</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≥2个</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医疗垃圾清运时间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医疗垃圾清运时间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日清</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城市生活垃圾处理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≥150吨</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满意率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满意率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14、城乡环卫一体化项目一标段人员工资绩效目标表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13052526P000040100210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城乡环卫一体化项目一标段人员工资</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1151.00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1151.00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城乡环卫一体化项目一标段人员工资</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1.城乡环卫一体化项目一标段人员工资按时发放</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保障工资人数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发放工资人数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≥800人</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工资发放及时率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工资发放是否及时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项目工资表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1151万元</w:t>
            </w:r>
          </w:p>
        </w:tc>
        <w:tc>
          <w:tcPr>
            <w:tcW w:w="1276" w:type="dxa"/>
            <w:vAlign w:val="center"/>
          </w:tcPr>
          <w:p>
            <w:pPr>
              <w:pStyle w:val="20"/>
            </w:pPr>
            <w:r>
              <w:t>项目工资表</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项目工资表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15、城乡环卫一体化项目一标段运营费绩效目标表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13052526P00004010024T</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城乡环卫一体化项目一标段运营费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29.00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29.00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城乡环卫一体化项目一标段运营费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1.城乡环卫一体化项目一标段运营费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新增垃圾分类收集设施数量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新增垃圾分类收集设施数量。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≥3处</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创建垃圾分类示范街道，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创建垃圾分类示范街道，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≥1条</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城区垃圾清运时效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城区垃圾清运时效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29万元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城市生活垃圾处理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16、大气环境治理运行维护费绩效目标表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13052526P00000210178C</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大气环境治理运行维护费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19.00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19.00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大气环境治理运行维护费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1.资金保障相关设备正常运转，维修维护及时</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购置设备数量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购置设备数量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≤5台</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设备维护次数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全年设备维护次数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≤40次</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维修设备时限</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维修设备时限</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≤48小时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19万元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改善生态环境质量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是否改善周边生态环境质量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调查问卷</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17、东方垃圾中转站运营费绩效目标表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13052526P000055100104</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东方垃圾中转站运营费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3.17</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3.17</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东方垃圾中转站运营费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1.东方垃圾中转站运营费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合格</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18、冀财建[2024]144号/下达城市地下管网及设施专项2024年中央基建投资预算/隆尧县老旧小区燃气管网更新改造工程绩效目标表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13052526P000014100140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冀财建[2024]144号/下达城市地下管网及设施专项2024年中央基建投资预算/隆尧县老旧小区燃气管网更新改造工程</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212.94</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212.94</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老旧小区燃气管网更新改造项目</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1.老旧小区燃气管网更新改造项目</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涉及住户</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涉及住户</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≥7800户</w:t>
            </w:r>
          </w:p>
        </w:tc>
        <w:tc>
          <w:tcPr>
            <w:tcW w:w="1276" w:type="dxa"/>
            <w:vAlign w:val="center"/>
          </w:tcPr>
          <w:p>
            <w:pPr>
              <w:pStyle w:val="20"/>
            </w:pPr>
            <w:r>
              <w:t>可研报告，工作计划要求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成果检验完成率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成果检验完成率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可研报告，工作计划要求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工程建设工期</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工程建设工期</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≤13个月</w:t>
            </w:r>
          </w:p>
        </w:tc>
        <w:tc>
          <w:tcPr>
            <w:tcW w:w="1276" w:type="dxa"/>
            <w:vAlign w:val="center"/>
          </w:tcPr>
          <w:p>
            <w:pPr>
              <w:pStyle w:val="20"/>
            </w:pPr>
            <w:r>
              <w:t>可研报告，工作计划要求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预算控制数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预算控制数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可研报告，工作计划要求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是否提升居民燃气安全</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是否提升居民燃气安全</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可研报告，工作计划要求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群众安全感满意度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群众安全感满意度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可研报告，工作计划要求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19、冀财债[2023]42号专项债券/官庄桥停车场建设工程绩效目标表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13052526P00000210181Y</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冀财债[2023]42号专项债券/官庄桥停车场建设工程</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47.99</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47.99</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用于官庄桥停车场建设项目</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1.官庄桥停车场建设项目按时完工</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路面硬化面积</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路面硬化面积</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≥8800平方米</w:t>
            </w:r>
          </w:p>
        </w:tc>
        <w:tc>
          <w:tcPr>
            <w:tcW w:w="1276" w:type="dxa"/>
            <w:vAlign w:val="center"/>
          </w:tcPr>
          <w:p>
            <w:pPr>
              <w:pStyle w:val="20"/>
            </w:pPr>
            <w:r>
              <w:t>合同要求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工程质量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工程质量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合格</w:t>
            </w:r>
          </w:p>
        </w:tc>
        <w:tc>
          <w:tcPr>
            <w:tcW w:w="1276" w:type="dxa"/>
            <w:vAlign w:val="center"/>
          </w:tcPr>
          <w:p>
            <w:pPr>
              <w:pStyle w:val="20"/>
            </w:pPr>
            <w:r>
              <w:t>合同要求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工程总日历天数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工程总日历天数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≤180天</w:t>
            </w:r>
          </w:p>
        </w:tc>
        <w:tc>
          <w:tcPr>
            <w:tcW w:w="1276" w:type="dxa"/>
            <w:vAlign w:val="center"/>
          </w:tcPr>
          <w:p>
            <w:pPr>
              <w:pStyle w:val="20"/>
            </w:pPr>
            <w:r>
              <w:t>合同要求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合同要求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合同要求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数据受众满意度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数据受众满意度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合同要求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20、冀财债[2023]9号专项债券/隆尧县清洁能源供热建设项目绩效目标表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13052526P00000210180B</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冀财债[2023]9号专项债券/隆尧县清洁能源供热建设项目</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1247.40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1247.40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用于清洁能源集中供热建设项目</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1.清洁能源集中供热建设项目按期完工</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项目占地面积</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项目占地面积（亩数）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≥19.98亩</w:t>
            </w:r>
          </w:p>
        </w:tc>
        <w:tc>
          <w:tcPr>
            <w:tcW w:w="1276" w:type="dxa"/>
            <w:vAlign w:val="center"/>
          </w:tcPr>
          <w:p>
            <w:pPr>
              <w:pStyle w:val="20"/>
            </w:pPr>
            <w:r>
              <w:t>项目可研报告</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质量达标率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质量达标率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≥95百分比</w:t>
            </w:r>
          </w:p>
        </w:tc>
        <w:tc>
          <w:tcPr>
            <w:tcW w:w="1276" w:type="dxa"/>
            <w:vAlign w:val="center"/>
          </w:tcPr>
          <w:p>
            <w:pPr>
              <w:pStyle w:val="20"/>
            </w:pPr>
            <w:r>
              <w:t>项目可研报告</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建设工期</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建设工期时长</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≤12月</w:t>
            </w:r>
          </w:p>
        </w:tc>
        <w:tc>
          <w:tcPr>
            <w:tcW w:w="1276" w:type="dxa"/>
            <w:vAlign w:val="center"/>
          </w:tcPr>
          <w:p>
            <w:pPr>
              <w:pStyle w:val="20"/>
            </w:pPr>
            <w:r>
              <w:t>项目可研报告</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预算执行率（%）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项目可研报告</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改善生态环境质量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改善生态环境质量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明显改善</w:t>
            </w:r>
          </w:p>
        </w:tc>
        <w:tc>
          <w:tcPr>
            <w:tcW w:w="1276" w:type="dxa"/>
            <w:vAlign w:val="center"/>
          </w:tcPr>
          <w:p>
            <w:pPr>
              <w:pStyle w:val="20"/>
            </w:pPr>
            <w:r>
              <w:t>项目可研报告</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项目可研报告</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21、莲洁垃圾处理厂运营费绩效目标表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13052526P000055100085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莲洁垃圾处理厂运营费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12.89</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12.89</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莲洁垃圾处理厂费用补贴</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1.莲洁垃圾处理厂费用补贴</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1座</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处理时间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处理时间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22、社保清欠工作养老保险和职业年金财政补助绩效目标表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13052526P000002101790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社保清欠工作养老保险和职业年金财政补助</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162.02</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162.02</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用于职工职业年金及养老保险</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1.足额缴纳职工职业年金及养老保险</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缴费人数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每年职业年金缴费人数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≥130人</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是否足额缴纳</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是否足额缴纳</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是否及时缴纳</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是否及时缴纳</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预算金额</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预算金额</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162.02万元</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可持续影响指标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23、土地出让金/东方垃圾中转站运营费绩效目标表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13052526P000055100156</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土地出让金/东方垃圾中转站运营费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20.00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20.00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东方垃圾中转站运营费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1.东方垃圾中转站运营费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合格</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24、土地出让金/垃圾焚烧处理费绩效目标表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13052526P00005510012B</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土地出让金/垃圾焚烧处理费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210.00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210.00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垃圾及时焚烧处理，费用及时结算</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1.垃圾及时焚烧处理，费用及时结算</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垃圾清运数量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日垃圾清运数量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垃圾清运情况</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清运垃圾占比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≥98%</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项目运行时间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本项目运行时间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≥40月</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改善生态环境质量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对周围生态环境质量有显著改善</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是</w:t>
            </w:r>
          </w:p>
        </w:tc>
        <w:tc>
          <w:tcPr>
            <w:tcW w:w="1276" w:type="dxa"/>
            <w:vAlign w:val="center"/>
          </w:tcPr>
          <w:p>
            <w:pPr>
              <w:pStyle w:val="20"/>
            </w:pPr>
            <w:r>
              <w:t>调查问卷</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25、土地出让金/莲洁垃圾处理厂运营费绩效目标表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13052526P00005510013Y</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土地出让金/莲洁垃圾处理厂运营费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50.00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50.00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莲洁垃圾处理厂运营费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1.莲洁垃圾处理厂运营费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1座</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处理时间</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处理时间</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26、土地出让金/兴隆垃圾中转站运营费绩效目标表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13052526P00005510014J</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土地出让金/兴隆垃圾中转站运营费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30.00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30.00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兴隆垃圾中转站运营费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1.兴隆垃圾中转站运营费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合格</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27、退役军人公益岗绩效目标表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13052526P00870710028Y</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退役军人公益岗</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12.12</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12.12</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足额保障退役军人专岗人员工资及社保</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1.足额保障退役军人专岗人员工资及社保</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保障工资人数</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发放工资人数</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3人</w:t>
            </w:r>
          </w:p>
        </w:tc>
        <w:tc>
          <w:tcPr>
            <w:tcW w:w="1276" w:type="dxa"/>
            <w:vAlign w:val="center"/>
          </w:tcPr>
          <w:p>
            <w:pPr>
              <w:pStyle w:val="20"/>
            </w:pPr>
            <w:r>
              <w:t>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职工工资发放率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工资发放及时率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工资发放是否及时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工资表</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项目预算成本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≤12.13万元</w:t>
            </w:r>
          </w:p>
        </w:tc>
        <w:tc>
          <w:tcPr>
            <w:tcW w:w="1276" w:type="dxa"/>
            <w:vAlign w:val="center"/>
          </w:tcPr>
          <w:p>
            <w:pPr>
              <w:pStyle w:val="20"/>
            </w:pPr>
            <w:r>
              <w:t>工资表</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工资表</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在职人员满意度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满意</w:t>
            </w:r>
          </w:p>
        </w:tc>
        <w:tc>
          <w:tcPr>
            <w:tcW w:w="1276" w:type="dxa"/>
            <w:vAlign w:val="center"/>
          </w:tcPr>
          <w:p>
            <w:pPr>
              <w:pStyle w:val="20"/>
            </w:pPr>
            <w:r>
              <w:t>工资表</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28、污水处理厂运营费绩效目标表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13052526P000052100180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污水处理厂运营费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750.00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750.00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污水处理厂运营费按时拨付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1.污水处理厂运营费按时拨付</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水质综合合格率（COD、PH、SS、BOD）</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根据项目设计出水标准,COD、PH、SS、BOD</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抽检合格率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环境监测部门抽检合格率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完成及时率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各项任务完成及时率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项目运营成本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预算</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29、污水处理费/污水处理厂运营费绩效目标表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13052526P00005210019K</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污水处理费/污水处理厂运营费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400.00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400.00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污水处理厂运营费按时拨付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1.污水处理厂运营费按时拨付</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水质综合合格率（COD、PH、SS、BOD）</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根据项目设计出水标准,COD、PH、SS、BOD</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抽检合格率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环境监测部门抽检合格率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完成及时率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各项任务完成及时率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合同</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项目运营成本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≥400万元</w:t>
            </w:r>
          </w:p>
        </w:tc>
        <w:tc>
          <w:tcPr>
            <w:tcW w:w="1276" w:type="dxa"/>
            <w:vAlign w:val="center"/>
          </w:tcPr>
          <w:p>
            <w:pPr>
              <w:pStyle w:val="20"/>
            </w:pPr>
            <w:r>
              <w:t>预算</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项目实施满意度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工作要求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30、兴隆垃圾处理厂运营费绩效目标表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13052526P00005510007H</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兴隆垃圾处理厂运营费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121.60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121.60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兴隆垃圾处理厂费用补贴</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1.兴隆垃圾处理厂费用补贴</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补贴单位</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1个</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日处理数量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≥300吨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处理时效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处理时效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资金的使用效率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31、兴隆垃圾中转站运营费绩效目标表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13052526P00005510009Q</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兴隆垃圾中转站运营费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6.91</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6.91</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兴隆垃圾中转站运营费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1.兴隆垃圾中转站运营费</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日中转垃圾数量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≥500吨</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中转设备质量标准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合格</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转运时效</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w:t>
            </w:r>
          </w:p>
        </w:tc>
        <w:tc>
          <w:tcPr>
            <w:tcW w:w="1276" w:type="dxa"/>
            <w:vAlign w:val="center"/>
          </w:tcPr>
          <w:p>
            <w:pPr>
              <w:pStyle w:val="20"/>
            </w:pPr>
            <w:r>
              <w:t>工作计划要求</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成本控制</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预算内</w:t>
            </w:r>
          </w:p>
        </w:tc>
        <w:tc>
          <w:tcPr>
            <w:tcW w:w="1276" w:type="dxa"/>
            <w:vAlign w:val="center"/>
          </w:tcPr>
          <w:p>
            <w:pPr>
              <w:pStyle w:val="20"/>
            </w:pPr>
            <w:r>
              <w:t>工作计划要求</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生态效益指标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垃圾收集及运输</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及时</w:t>
            </w:r>
          </w:p>
        </w:tc>
        <w:tc>
          <w:tcPr>
            <w:tcW w:w="1276" w:type="dxa"/>
            <w:vAlign w:val="center"/>
          </w:tcPr>
          <w:p>
            <w:pPr>
              <w:pStyle w:val="20"/>
            </w:pPr>
            <w:r>
              <w:t>工作计划要求</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100百分比</w:t>
            </w:r>
          </w:p>
        </w:tc>
        <w:tc>
          <w:tcPr>
            <w:tcW w:w="1276" w:type="dxa"/>
            <w:vAlign w:val="center"/>
          </w:tcPr>
          <w:p>
            <w:pPr>
              <w:pStyle w:val="20"/>
            </w:pPr>
            <w:r>
              <w:t>工作计划要求</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32、执法执勤车辆运行费绩效目标表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13052526P000002101765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执法执勤车辆运行费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15.00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15.00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用于城管局执法车辆燃料等费用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3544" w:type="dxa"/>
            <w:gridSpan w:val="2"/>
            <w:vAlign w:val="center"/>
          </w:tcPr>
          <w:p>
            <w:pPr>
              <w:pStyle w:val="21"/>
            </w:pPr>
            <w:r>
              <w:t>25%</w:t>
            </w:r>
          </w:p>
        </w:tc>
      </w:tr>
      <w:tr>
        <w:trPr>
          <w:trHeight w:val="369"/>
        </w:trPr>
        <w:tc>
          <w:tcPr>
            <w:tcW w:w="1276" w:type="dxa"/>
            <w:vAlign w:val="center"/>
          </w:tcPr>
          <w:p>
            <w:pPr>
              <w:pStyle w:val="18"/>
            </w:pPr>
            <w:r>
              <w:t>绩效目标</w:t>
            </w:r>
          </w:p>
        </w:tc>
        <w:tc>
          <w:tcPr>
            <w:tcW w:w="14033" w:type="dxa"/>
            <w:gridSpan w:val="6"/>
            <w:vAlign w:val="center"/>
          </w:tcPr>
          <w:p>
            <w:pPr>
              <w:pStyle w:val="20"/>
            </w:pPr>
            <w:r>
              <w:t>1.保障城管局执法执勤车辆正常运转</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车辆数量</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车辆数量</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11辆</w:t>
            </w:r>
          </w:p>
        </w:tc>
        <w:tc>
          <w:tcPr>
            <w:tcW w:w="1276" w:type="dxa"/>
            <w:vAlign w:val="center"/>
          </w:tcPr>
          <w:p>
            <w:pPr>
              <w:pStyle w:val="20"/>
            </w:pPr>
            <w:r>
              <w:t>往年数据</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车辆正常使用情况</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车辆正常使用率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≥90百分比</w:t>
            </w:r>
          </w:p>
        </w:tc>
        <w:tc>
          <w:tcPr>
            <w:tcW w:w="1276" w:type="dxa"/>
            <w:vAlign w:val="center"/>
          </w:tcPr>
          <w:p>
            <w:pPr>
              <w:pStyle w:val="20"/>
            </w:pPr>
            <w:r>
              <w:t>往年数据</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车辆维修时效性</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保障车辆维修时效性</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24小时内</w:t>
            </w:r>
          </w:p>
        </w:tc>
        <w:tc>
          <w:tcPr>
            <w:tcW w:w="1276" w:type="dxa"/>
            <w:vAlign w:val="center"/>
          </w:tcPr>
          <w:p>
            <w:pPr>
              <w:pStyle w:val="20"/>
            </w:pPr>
            <w:r>
              <w:t>往年数据</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车辆年平均成本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车辆年平均成本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≤15万元</w:t>
            </w:r>
          </w:p>
        </w:tc>
        <w:tc>
          <w:tcPr>
            <w:tcW w:w="1276" w:type="dxa"/>
            <w:vAlign w:val="center"/>
          </w:tcPr>
          <w:p>
            <w:pPr>
              <w:pStyle w:val="20"/>
            </w:pPr>
            <w:r>
              <w:t>往年数据</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经济效益指标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机动车年检率（%）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机动车年检率（%）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往年数据</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群众满意度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往年数据</w:t>
            </w:r>
          </w:p>
        </w:tc>
      </w:tr>
    </w:tbl>
    <w:p>
      <w:pPr>
        <w:sectPr>
          <w:pgSz w:w="16840" w:h="11900" w:orient="landscape"/>
          <w:pgMar w:top="1361" w:right="1020" w:bottom="1134" w:left="1020" w:header="720" w:footer="720" w:gutter="0"/>
          <w:cols w:num="1" w:space="720"/>
          <w:docGrid w:linePitch="326" w:charSpace="0"/>
        </w:sectPr>
      </w:pPr>
    </w:p>
    <w:p>
      <w:pPr>
        <w:spacing w:before="10" w:after="10"/>
        <w:ind w:firstLine="640"/>
        <w:outlineLvl w:val="5"/>
      </w:pPr>
      <w:r>
        <w:rPr>
          <w:rFonts w:ascii="黑体" w:eastAsia="黑体" w:cs="黑体" w:hAnsi="黑体"/>
          <w:color w:val="000000"/>
          <w:sz w:val="32"/>
        </w:rPr>
        <w:t>六、政府采购预算情况</w:t>
      </w:r>
    </w:p>
    <w:p>
      <w:pPr>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506001隆尧县城市管理综合行政执法局本级</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采购物品名称</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政府采购目录序号</w:t>
            </w:r>
          </w:p>
        </w:tc>
        <w:tc>
          <w:tcPr>
            <w:tcW w:w="709"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计量  单位</w:t>
            </w:r>
          </w:p>
        </w:tc>
        <w:tc>
          <w:tcPr>
            <w:tcW w:w="850"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数量</w:t>
            </w:r>
          </w:p>
        </w:tc>
        <w:tc>
          <w:tcPr>
            <w:tcW w:w="850"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单价</w:t>
            </w:r>
          </w:p>
        </w:tc>
        <w:tc>
          <w:tcPr>
            <w:tcW w:w="7712" w:type="dxa"/>
            <w:gridSpan w:val="8"/>
            <w:tcBorders>
              <w:top w:val="single" w:sz="6" w:space="0" w:color="000000"/>
              <w:left w:val="single" w:sz="6" w:space="0" w:color="000000"/>
              <w:bottom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预算    资金</w:t>
            </w:r>
          </w:p>
        </w:tc>
        <w:tc>
          <w:tcPr>
            <w:tcW w:w="1134" w:type="dxa"/>
            <w:vMerge/>
            <w:tcBorders>
              <w:top w:val="single" w:sz="6" w:space="0" w:color="000000"/>
              <w:left w:val="single" w:sz="6" w:space="0" w:color="000000"/>
              <w:bottom w:val="single" w:sz="6" w:space="0" w:color="000000"/>
              <w:right w:val="single" w:sz="6" w:space="0" w:color="000000"/>
            </w:tcBorders>
          </w:tcPr>
          <w:p/>
        </w:tc>
        <w:tc>
          <w:tcPr>
            <w:tcW w:w="1134" w:type="dxa"/>
            <w:vMerge/>
            <w:tcBorders>
              <w:top w:val="single" w:sz="6" w:space="0" w:color="000000"/>
              <w:left w:val="single" w:sz="6" w:space="0" w:color="000000"/>
              <w:bottom w:val="single" w:sz="6" w:space="0" w:color="000000"/>
              <w:right w:val="single" w:sz="6" w:space="0" w:color="000000"/>
            </w:tcBorders>
          </w:tcPr>
          <w:p/>
        </w:tc>
        <w:tc>
          <w:tcPr>
            <w:tcW w:w="709" w:type="dxa"/>
            <w:vMerge/>
            <w:tcBorders>
              <w:top w:val="single" w:sz="6" w:space="0" w:color="000000"/>
              <w:left w:val="single" w:sz="6" w:space="0" w:color="000000"/>
              <w:bottom w:val="single" w:sz="6" w:space="0" w:color="000000"/>
              <w:right w:val="single" w:sz="6" w:space="0" w:color="000000"/>
            </w:tcBorders>
          </w:tcPr>
          <w:p/>
        </w:tc>
        <w:tc>
          <w:tcPr>
            <w:tcW w:w="850" w:type="dxa"/>
            <w:vMerge/>
            <w:tcBorders>
              <w:top w:val="single" w:sz="6" w:space="0" w:color="000000"/>
              <w:left w:val="single" w:sz="6" w:space="0" w:color="000000"/>
              <w:bottom w:val="single" w:sz="6" w:space="0" w:color="000000"/>
              <w:right w:val="single" w:sz="6" w:space="0" w:color="000000"/>
            </w:tcBorders>
          </w:tcPr>
          <w:p/>
        </w:tc>
        <w:tc>
          <w:tcPr>
            <w:tcW w:w="850" w:type="dxa"/>
            <w:vMerge/>
            <w:tcBorders>
              <w:top w:val="single" w:sz="6" w:space="0" w:color="000000"/>
              <w:left w:val="single" w:sz="6" w:space="0" w:color="000000"/>
              <w:bottom w:val="single" w:sz="6" w:space="0" w:color="000000"/>
              <w:right w:val="single" w:sz="6" w:space="0" w:color="000000"/>
            </w:tcBorders>
          </w:tc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基金预算拨款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国有资本经营预算拨款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财政专户核拨</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单位    资金</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财政拨款结转</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2"/>
            </w:pPr>
            <w:r>
              <w:t>合  计</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709" w:type="dxa"/>
            <w:tcBorders>
              <w:top w:val="single" w:sz="6" w:space="0" w:color="000000"/>
              <w:left w:val="single" w:sz="6" w:space="0" w:color="000000"/>
              <w:bottom w:val="single" w:sz="6" w:space="0" w:color="000000"/>
              <w:right w:val="single" w:sz="6" w:space="0" w:color="000000"/>
            </w:tcBorders>
            <w:vAlign w:val="center"/>
          </w:tcPr>
          <w:p>
            <w:pPr>
              <w:pStyle w:val="22"/>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vAlign w:val="center"/>
          </w:tcPr>
          <w:p>
            <w:pPr>
              <w:pStyle w:val="23"/>
            </w:pPr>
            <w:r>
              <w:t>100.00</w:t>
            </w:r>
          </w:p>
        </w:tc>
      </w:tr>
      <w:tr>
        <w:tc>
          <w:tcPr>
            <w:tcW w:w="1701" w:type="dxa"/>
            <w:vAlign w:val="center"/>
          </w:tcPr>
          <w:p>
            <w:pPr>
              <w:pStyle w:val="22"/>
            </w:pPr>
            <w:r>
              <w:t>隆尧县城市管理综合行政执法局本级小计</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709" w:type="dxa"/>
            <w:tcBorders>
              <w:top w:val="single" w:sz="6" w:space="0" w:color="000000"/>
              <w:left w:val="single" w:sz="6" w:space="0" w:color="000000"/>
              <w:bottom w:val="single" w:sz="6" w:space="0" w:color="000000"/>
              <w:right w:val="single" w:sz="6" w:space="0" w:color="000000"/>
            </w:tcBorders>
            <w:vAlign w:val="center"/>
          </w:tcPr>
          <w:p>
            <w:pPr>
              <w:pStyle w:val="22"/>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964" w:type="dxa"/>
            <w:vAlign w:val="center"/>
          </w:tcPr>
          <w:p>
            <w:pPr>
              <w:pStyle w:val="23"/>
            </w:pPr>
            <w:r>
              <w:t>100.00</w:t>
            </w:r>
          </w:p>
        </w:tc>
      </w:tr>
      <w:tr>
        <w:tc>
          <w:tcPr>
            <w:tcW w:w="1701" w:type="dxa"/>
            <w:vAlign w:val="center"/>
          </w:tcPr>
          <w:p>
            <w:pPr>
              <w:pStyle w:val="20"/>
            </w:pPr>
            <w:r>
              <w:t>城区市政维护费</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r>
              <w:t>100.00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0"/>
            </w:pPr>
            <w:r>
              <w:t>市政公用设施管理服务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0"/>
            </w:pPr>
            <w:r>
              <w:t>C13020000</w:t>
            </w:r>
          </w:p>
        </w:tc>
        <w:tc>
          <w:tcPr>
            <w:tcW w:w="709" w:type="dxa"/>
            <w:tcBorders>
              <w:top w:val="single" w:sz="6" w:space="0" w:color="000000"/>
              <w:left w:val="single" w:sz="6" w:space="0" w:color="000000"/>
              <w:bottom w:val="single" w:sz="6" w:space="0" w:color="000000"/>
              <w:right w:val="single" w:sz="6" w:space="0" w:color="000000"/>
            </w:tcBorders>
            <w:vAlign w:val="center"/>
          </w:tcPr>
          <w:p>
            <w:pPr>
              <w:pStyle w:val="21"/>
            </w:pPr>
            <w:r>
              <w:t>项</w:t>
            </w: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19"/>
            </w:pPr>
            <w:r>
              <w:t>1</w:t>
            </w: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19"/>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r>
              <w:t>100.00</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vAlign w:val="center"/>
          </w:tcPr>
          <w:p>
            <w:pPr>
              <w:pStyle w:val="19"/>
            </w:pPr>
            <w:r>
              <w:t>100.00</w:t>
            </w: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七、国有资产信息</w:t>
      </w:r>
    </w:p>
    <w:p>
      <w:pPr>
        <w:spacing w:line="500" w:lineRule="exact"/>
        <w:ind w:firstLine="560"/>
      </w:pPr>
      <w:r>
        <w:rPr>
          <w:rFonts w:eastAsia="方正仿宋_GBK"/>
          <w:color w:val="000000"/>
          <w:sz w:val="28"/>
        </w:rPr>
        <w:t>隆尧县城市管理综合行政执法局本级上年末固定资产金额为2606.92万元（详见下表）。本年度拟购置固定资产总额为0.00万元，已按要求列入政府采购预算，详见政府采购预算表。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506001隆尧县城市管理综合行政执法局本级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r>
              <w:t>2606.92</w:t>
            </w:r>
          </w:p>
        </w:tc>
      </w:tr>
      <w:tr>
        <w:tc>
          <w:tcPr>
            <w:tcW w:w="7370" w:type="dxa"/>
            <w:vAlign w:val="center"/>
          </w:tcPr>
          <w:p>
            <w:pPr>
              <w:pStyle w:val="20"/>
            </w:pPr>
            <w:r>
              <w:t>1、房屋（平方米）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r>
              <w:t>2606.92</w:t>
            </w:r>
          </w:p>
        </w:tc>
      </w:tr>
    </w:tbl>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eastAsia="黑体" w:cs="黑体" w:hAnsi="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文泉驿微米黑"/>
    <w:panose1 w:val="02010609060101010101"/>
    <w:charset w:val="86"/>
    <w:family w:val="modern"/>
    <w:pitch w:val="variable"/>
    <w:sig w:usb0="800002BF" w:usb1="38CF7CFA" w:usb2="00000016" w:usb3="00000000" w:csb0="00040001" w:csb1="00000000"/>
  </w:font>
  <w:font w:name="方正小标宋_GBK">
    <w:altName w:val="微软雅黑"/>
    <w:panose1 w:val="03000509000000000000"/>
    <w:charset w:val="86"/>
    <w:family w:val="script"/>
    <w:pitch w:val="variable"/>
    <w:sig w:usb0="00000001" w:usb1="080E0000" w:usb2="00000010" w:usb3="00000000" w:csb0="00040000" w:csb1="00000000"/>
  </w:font>
  <w:font w:name="方正书宋_GBK">
    <w:altName w:val="微软雅黑"/>
    <w:panose1 w:val="03000509000000000000"/>
    <w:charset w:val="86"/>
    <w:family w:val="script"/>
    <w:pitch w:val="variable"/>
    <w:sig w:usb0="00000001" w:usb1="080E0000" w:usb2="00000010" w:usb3="00000000" w:csb0="00040000" w:csb1="00000000"/>
  </w:font>
  <w:font w:name="方正仿宋_GBK">
    <w:altName w:val="微软雅黑"/>
    <w:panose1 w:val="03000509000000000000"/>
    <w:charset w:val="86"/>
    <w:family w:val="script"/>
    <w:pitch w:val="variable"/>
    <w:sig w:usb0="00000001" w:usb1="080E0000" w:usb2="00000010" w:usb3="00000000" w:csb0="00040000" w:csb1="00000000"/>
  </w:font>
  <w:font w:name="方正楷体_GBK">
    <w:altName w:val="宋体"/>
    <w:panose1 w:val="03000509000000000000"/>
    <w:charset w:val="86"/>
    <w:family w:val="script"/>
    <w:pitch w:val="variable"/>
    <w:sig w:usb0="00000001" w:usb1="080E0000" w:usb2="00000010" w:usb3="00000000" w:csb0="00040000" w:csb1="00000000"/>
  </w:font>
  <w:font w:name="Arial">
    <w:altName w:val="DejaVu Sans"/>
    <w:panose1 w:val="020B0604020202020204"/>
    <w:charset w:val="00"/>
    <w:family w:val="swiss"/>
    <w:pitch w:val="variable"/>
    <w:sig w:usb0="E0002AFF" w:usb1="C0007843" w:usb2="00000009" w:usb3="00000000" w:csb0="000001FF" w:csb1="00000000"/>
  </w:font>
  <w:font w:name="仿宋">
    <w:altName w:val="永中仿宋"/>
    <w:panose1 w:val="02010609060101010101"/>
    <w:charset w:val="86"/>
    <w:family w:val="modern"/>
    <w:pitch w:val="variable"/>
    <w:sig w:usb0="800002BF" w:usb1="38CF7CFA" w:usb2="00000016" w:usb3="00000000" w:csb0="00040001" w:csb1="00000000"/>
  </w:font>
  <w:font w:name="Times New Roman">
    <w:altName w:val="DejaVu Sans"/>
    <w:panose1 w:val="02020603050405020304"/>
    <w:charset w:val="00"/>
    <w:family w:val="roman"/>
    <w:pitch w:val="variable"/>
    <w:sig w:usb0="E0002AFF" w:usb1="C0007841" w:usb2="00000009" w:usb3="00000000" w:csb0="000001FF" w:csb1="00000000"/>
  </w:font>
  <w:font w:name="宋体">
    <w:altName w:val="文泉驿微米黑"/>
    <w:panose1 w:val="02010600030101010101"/>
    <w:charset w:val="86"/>
    <w:family w:val="auto"/>
    <w:pitch w:val="variable"/>
    <w:sig w:usb0="00000003" w:usb1="288F0000" w:usb2="00000016"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文泉驿微米黑">
    <w:panose1 w:val="020B0606030804020204"/>
    <w:charset w:val="86"/>
    <w:family w:val="auto"/>
    <w:pitch w:val="variable"/>
    <w:sig w:usb0="E10002EF" w:usb1="6BDFFCFB" w:usb2="00800036" w:usb3="00000000" w:csb0="603E01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57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56</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宋体"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文泉驿微米黑" w:eastAsia="黑体" w:hAnsi="文泉驿微米黑"/>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jc w:val="right"/>
    </w:pPr>
    <w:rPr>
      <w:rFonts w:ascii="方正小标宋_GBK" w:eastAsia="方正小标宋_GBK" w:cs="方正小标宋_GBK" w:hAnsi="方正小标宋_GBK"/>
      <w:sz w:val="24"/>
      <w:szCs w:val="20"/>
      <w:lang w:val="en-US" w:eastAsia="zh-CN" w:bidi="ar-SA"/>
    </w:rPr>
  </w:style>
  <w:style w:type="paragraph" w:customStyle="1" w:styleId="16">
    <w:name w:val="单元格样式21"/>
    <w:pPr>
      <w:jc w:val="center"/>
    </w:pPr>
    <w:rPr>
      <w:rFonts w:ascii="方正小标宋_GBK" w:eastAsia="方正小标宋_GBK" w:cs="方正小标宋_GBK" w:hAnsi="方正小标宋_GBK"/>
      <w:sz w:val="24"/>
      <w:szCs w:val="20"/>
      <w:lang w:val="en-US" w:eastAsia="zh-CN" w:bidi="ar-SA"/>
    </w:rPr>
  </w:style>
  <w:style w:type="paragraph" w:customStyle="1" w:styleId="17">
    <w:name w:val="单元格样式20"/>
    <w:rPr>
      <w:rFonts w:ascii="方正小标宋_GBK" w:eastAsia="方正小标宋_GBK" w:cs="方正小标宋_GBK" w:hAnsi="方正小标宋_GBK"/>
      <w:sz w:val="24"/>
      <w:szCs w:val="20"/>
      <w:lang w:val="en-US" w:eastAsia="zh-CN" w:bidi="ar-SA"/>
    </w:rPr>
  </w:style>
  <w:style w:type="paragraph" w:customStyle="1" w:styleId="18">
    <w:name w:val="单元格样式1"/>
    <w:pPr>
      <w:jc w:val="center"/>
    </w:pPr>
    <w:rPr>
      <w:rFonts w:ascii="方正书宋_GBK" w:eastAsia="方正书宋_GBK" w:cs="方正书宋_GBK" w:hAnsi="方正书宋_GBK"/>
      <w:b/>
      <w:sz w:val="21"/>
      <w:szCs w:val="20"/>
      <w:lang w:val="en-US" w:eastAsia="zh-CN" w:bidi="ar-SA"/>
    </w:rPr>
  </w:style>
  <w:style w:type="paragraph" w:customStyle="1" w:styleId="19">
    <w:name w:val="单元格样式4"/>
    <w:pPr>
      <w:jc w:val="right"/>
    </w:pPr>
    <w:rPr>
      <w:rFonts w:ascii="方正书宋_GBK" w:eastAsia="方正书宋_GBK" w:cs="方正书宋_GBK" w:hAnsi="方正书宋_GBK"/>
      <w:sz w:val="21"/>
      <w:szCs w:val="20"/>
      <w:lang w:val="en-US" w:eastAsia="zh-CN" w:bidi="ar-SA"/>
    </w:rPr>
  </w:style>
  <w:style w:type="paragraph" w:customStyle="1" w:styleId="20">
    <w:name w:val="单元格样式2"/>
    <w:rPr>
      <w:rFonts w:ascii="方正书宋_GBK" w:eastAsia="方正书宋_GBK" w:cs="方正书宋_GBK" w:hAnsi="方正书宋_GBK"/>
      <w:sz w:val="21"/>
      <w:szCs w:val="20"/>
      <w:lang w:val="en-US" w:eastAsia="zh-CN" w:bidi="ar-SA"/>
    </w:rPr>
  </w:style>
  <w:style w:type="paragraph" w:customStyle="1" w:styleId="21">
    <w:name w:val="单元格样式3"/>
    <w:pPr>
      <w:jc w:val="center"/>
    </w:pPr>
    <w:rPr>
      <w:rFonts w:ascii="方正书宋_GBK" w:eastAsia="方正书宋_GBK" w:cs="方正书宋_GBK" w:hAnsi="方正书宋_GBK"/>
      <w:sz w:val="21"/>
      <w:szCs w:val="20"/>
      <w:lang w:val="en-US" w:eastAsia="zh-CN" w:bidi="ar-SA"/>
    </w:rPr>
  </w:style>
  <w:style w:type="paragraph" w:customStyle="1" w:styleId="22">
    <w:name w:val="单元格样式6"/>
    <w:pPr>
      <w:jc w:val="center"/>
    </w:pPr>
    <w:rPr>
      <w:rFonts w:ascii="方正书宋_GBK" w:eastAsia="方正书宋_GBK" w:cs="方正书宋_GBK" w:hAnsi="方正书宋_GBK"/>
      <w:b/>
      <w:sz w:val="21"/>
      <w:szCs w:val="20"/>
      <w:lang w:val="en-US" w:eastAsia="zh-CN" w:bidi="ar-SA"/>
    </w:rPr>
  </w:style>
  <w:style w:type="paragraph" w:customStyle="1" w:styleId="23">
    <w:name w:val="单元格样式7"/>
    <w:pPr>
      <w:jc w:val="right"/>
    </w:pPr>
    <w:rPr>
      <w:rFonts w:ascii="方正书宋_GBK" w:eastAsia="方正书宋_GBK" w:cs="方正书宋_GBK" w:hAnsi="方正书宋_GBK"/>
      <w:b/>
      <w:sz w:val="21"/>
      <w:szCs w:val="20"/>
      <w:lang w:val="en-US" w:eastAsia="zh-CN" w:bidi="ar-SA"/>
    </w:rPr>
  </w:style>
  <w:style w:type="paragraph" w:customStyle="1" w:styleId="24">
    <w:name w:val="单元格样式5"/>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9">
    <w:name w:val="单元格样式23"/>
    <w:pPr>
      <w:jc w:val="right"/>
    </w:pPr>
    <w:rPr>
      <w:rFonts w:ascii="方正书宋_GBK" w:eastAsia="方正书宋_GBK" w:cs="方正书宋_GBK" w:hAnsi="方正书宋_GBK"/>
      <w:sz w:val="24"/>
      <w:szCs w:val="20"/>
      <w:lang w:val="en-US" w:eastAsia="zh-CN" w:bidi="ar-SA"/>
    </w:rPr>
  </w:style>
  <w:style w:type="paragraph" w:customStyle="1" w:styleId="30">
    <w:name w:val="TOC 4"/>
    <w:basedOn w:val="0"/>
    <w:pPr>
      <w:ind w:left="720"/>
    </w:pPr>
  </w:style>
  <w:style w:type="paragraph" w:customStyle="1" w:styleId="31">
    <w:name w:val="TOC 1"/>
    <w:basedOn w:val="0"/>
    <w:pPr>
      <w:spacing w:before="120"/>
      <w:ind w:firstLine="560"/>
    </w:pPr>
    <w:rPr>
      <w:rFonts w:eastAsia="方正仿宋_GBK"/>
      <w:color w:val="000000"/>
      <w:sz w:val="28"/>
    </w:rPr>
  </w:style>
  <w:style w:type="paragraph" w:styleId="32">
    <w:name w:val="header"/>
    <w:basedOn w:val="0"/>
    <w:pPr>
      <w:pBdr>
        <w:bottom w:val="single" w:sz="6" w:space="1" w:color="auto"/>
      </w:pBdr>
      <w:tabs>
        <w:tab w:val="center" w:pos="4153"/>
        <w:tab w:val="right" w:pos="8306"/>
      </w:tabs>
      <w:snapToGrid w:val="0"/>
      <w:jc w:val="center"/>
    </w:pPr>
    <w:rPr>
      <w:sz w:val="18"/>
      <w:szCs w:val="18"/>
    </w:rPr>
  </w:style>
  <w:style w:type="paragraph" w:styleId="33">
    <w:name w:val="footer"/>
    <w:basedOn w:val="0"/>
    <w:pPr>
      <w:tabs>
        <w:tab w:val="center" w:pos="4153"/>
        <w:tab w:val="right" w:pos="8306"/>
      </w:tabs>
      <w:snapToGrid w:val="0"/>
    </w:pPr>
    <w:rPr>
      <w:sz w:val="18"/>
      <w:szCs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ACF3DCD7-0C3B-42D1-8A41-2C5458270C99}">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Yozo_Office27021597764231179</Application>
  <Pages>58</Pages>
  <Words>0</Words>
  <Characters>19352</Characters>
  <Lines>0</Lines>
  <Paragraphs>247</Paragraphs>
  <CharactersWithSpaces>25803</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huawei</cp:lastModifiedBy>
  <cp:revision>2</cp:revision>
  <dcterms:created xsi:type="dcterms:W3CDTF">2026-02-05T02:02:00Z</dcterms:created>
  <dcterms:modified xsi:type="dcterms:W3CDTF">2026-02-24T08:19:17Z</dcterms:modified>
</cp:coreProperties>
</file>